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400" w:after="100"/>
        <w:jc w:val="center"/>
      </w:pPr>
      <w:r>
        <w:rPr>
          <w:rFonts w:ascii="Arial" w:cs="Arial" w:eastAsia="Arial" w:hAnsi="Arial"/>
          <w:b/>
          <w:bCs/>
          <w:color w:val="1B4F72"/>
          <w:sz w:val="56"/>
          <w:szCs w:val="56"/>
        </w:rPr>
        <w:t xml:space="preserve">INCIDENTSTANDARD.COM</w:t>
      </w:r>
    </w:p>
    <w:p>
      <w:pPr>
        <w:spacing w:before="100" w:after="200"/>
        <w:jc w:val="center"/>
      </w:pPr>
      <w:r>
        <w:rPr>
          <w:rFonts w:ascii="Arial" w:cs="Arial" w:eastAsia="Arial" w:hAnsi="Arial"/>
          <w:i/>
          <w:iCs/>
          <w:color w:val="2E86C1"/>
          <w:sz w:val="30"/>
          <w:szCs w:val="30"/>
        </w:rPr>
        <w:t xml:space="preserve">The Global Workplace Safety Operating System</w:t>
      </w:r>
    </w:p>
    <w:p>
      <w:pPr>
        <w:spacing w:before="200" w:after="400"/>
        <w:jc w:val="center"/>
      </w:pPr>
      <w:r>
        <w:rPr>
          <w:rFonts w:ascii="Arial" w:cs="Arial" w:eastAsia="Arial" w:hAnsi="Arial"/>
          <w:b/>
          <w:bCs/>
          <w:color w:val="1A252F"/>
          <w:sz w:val="24"/>
          <w:szCs w:val="24"/>
        </w:rPr>
        <w:t xml:space="preserve">BUSINESS PLAN  |  2025</w:t>
      </w:r>
    </w:p>
    <w:p>
      <w:pPr>
        <w:spacing w:before="200" w:after="200"/>
        <w:jc w:val="center"/>
      </w:pPr>
      <w:r>
        <w:rPr>
          <w:rFonts w:ascii="Arial" w:cs="Arial" w:eastAsia="Arial" w:hAnsi="Arial"/>
          <w:b/>
          <w:bCs/>
          <w:i/>
          <w:iCs/>
          <w:color w:val="2E86C1"/>
          <w:sz w:val="28"/>
          <w:szCs w:val="28"/>
        </w:rPr>
        <w:t xml:space="preserve">"Always There. Always Ready. Always For You."</w:t>
      </w:r>
    </w:p>
    <w:p>
      <w:pPr>
        <w:spacing w:before="100" w:after="100"/>
      </w:pPr>
      <w:r>
        <w:t xml:space="preserve"/>
      </w:r>
    </w:p>
    <w:p>
      <w:pPr>
        <w:spacing w:before="100" w:after="100"/>
      </w:pPr>
      <w:r>
        <w:t xml:space="preserve"/>
      </w:r>
    </w:p>
    <w:p>
      <w:pPr>
        <w:jc w:val="center"/>
      </w:pPr>
      <w:r>
        <w:rPr>
          <w:rFonts w:ascii="Arial" w:cs="Arial" w:eastAsia="Arial" w:hAnsi="Arial"/>
          <w:b/>
          <w:bCs/>
          <w:color w:val="CC0000"/>
          <w:sz w:val="20"/>
          <w:szCs w:val="20"/>
        </w:rPr>
        <w:t xml:space="preserve">CONFIDENTIAL — FOR INVESTOR USE ONLY</w:t>
      </w:r>
    </w:p>
    <w:p>
      <w:r>
        <w:br w:type="page"/>
      </w:r>
    </w:p>
    <w:p>
      <w:pPr>
        <w:pStyle w:val="Heading1"/>
        <w:spacing w:before="400" w:after="200"/>
      </w:pPr>
      <w:r>
        <w:rPr>
          <w:rFonts w:ascii="Arial" w:cs="Arial" w:eastAsia="Arial" w:hAnsi="Arial"/>
          <w:b/>
          <w:bCs/>
          <w:color w:val="1B4F72"/>
          <w:sz w:val="36"/>
          <w:szCs w:val="36"/>
        </w:rPr>
        <w:t xml:space="preserve">1. Executive Summary</w:t>
      </w:r>
    </w:p>
    <w:p>
      <w:pPr>
        <w:spacing w:before="80" w:after="80"/>
      </w:pPr>
      <w:r>
        <w:rPr>
          <w:rFonts w:ascii="Arial" w:cs="Arial" w:eastAsia="Arial" w:hAnsi="Arial"/>
          <w:color w:val="2C3E50"/>
          <w:sz w:val="22"/>
          <w:szCs w:val="22"/>
        </w:rPr>
        <w:t xml:space="preserve">IncidentStandard is a first-of-its-kind, AI-powered global workplace safety operating system. Unlike traditional incident reporting tools, IncidentStandard combines real-time AI-guided incident reporting, emergency response automation, compliance management, training delivery, and a global safety knowledge repository — all in a single platform accessible to every government body, NGO, and private workplace on earth.</w:t>
      </w:r>
    </w:p>
    <w:p>
      <w:pPr>
        <w:spacing w:before="100" w:after="100"/>
      </w:pPr>
      <w:r>
        <w:t xml:space="preserve"/>
      </w:r>
    </w:p>
    <w:p>
      <w:pPr>
        <w:spacing w:before="80" w:after="80"/>
      </w:pPr>
      <w:r>
        <w:rPr>
          <w:rFonts w:ascii="Arial" w:cs="Arial" w:eastAsia="Arial" w:hAnsi="Arial"/>
          <w:color w:val="2C3E50"/>
          <w:sz w:val="22"/>
          <w:szCs w:val="22"/>
        </w:rPr>
        <w:t xml:space="preserve">Our doctrine is simple: no employee should ever face an incident alone, unprepared, or unsupported. Every feature of the platform is designed to be tension-free for employees — a calm, intelligent companion that is always ready, always available, and always on their side.</w:t>
      </w:r>
    </w:p>
    <w:p>
      <w:pPr>
        <w:spacing w:before="100" w:after="100"/>
      </w:pPr>
      <w:r>
        <w:t xml:space="preserve"/>
      </w:r>
    </w:p>
    <w:p>
      <w:pPr>
        <w:pStyle w:val="Heading2"/>
        <w:spacing w:before="300" w:after="160"/>
      </w:pPr>
      <w:r>
        <w:rPr>
          <w:rFonts w:ascii="Arial" w:cs="Arial" w:eastAsia="Arial" w:hAnsi="Arial"/>
          <w:b/>
          <w:bCs/>
          <w:color w:val="2E86C1"/>
          <w:sz w:val="28"/>
          <w:szCs w:val="28"/>
        </w:rPr>
        <w:t xml:space="preserve">Key Highlights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Company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IncidentStandard Ltd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Website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incidentstandard.com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Product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AI-powered global workplace safety platform (SaaS)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Target Market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Governments, NGOs, and private workplaces globally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Business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2-year flat license at ~$399 per organization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Revenue Potential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$10M+ at 25,000 licensed organizations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Funding Sought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Seed/Series A — amount TBD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Competitive Moat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52F"/>
                <w:sz w:val="20"/>
                <w:szCs w:val="20"/>
              </w:rPr>
              <w:t xml:space="preserve">AI verification layer, global taxonomy, flat pricing, human-first doctrine</w:t>
            </w:r>
          </w:p>
        </w:tc>
      </w:tr>
    </w:tbl>
    <w:p>
      <w:pPr>
        <w:spacing w:before="100" w:after="100"/>
      </w:pPr>
      <w:r>
        <w:t xml:space="preserve"/>
      </w:r>
    </w:p>
    <w:p>
      <w:r>
        <w:br w:type="page"/>
      </w:r>
    </w:p>
    <w:p>
      <w:pPr>
        <w:pStyle w:val="Heading1"/>
        <w:spacing w:before="400" w:after="200"/>
      </w:pPr>
      <w:r>
        <w:rPr>
          <w:rFonts w:ascii="Arial" w:cs="Arial" w:eastAsia="Arial" w:hAnsi="Arial"/>
          <w:b/>
          <w:bCs/>
          <w:color w:val="1B4F72"/>
          <w:sz w:val="36"/>
          <w:szCs w:val="36"/>
        </w:rPr>
        <w:t xml:space="preserve">2. The Problem</w:t>
      </w:r>
    </w:p>
    <w:p>
      <w:pPr>
        <w:spacing w:before="80" w:after="80"/>
      </w:pPr>
      <w:r>
        <w:rPr>
          <w:rFonts w:ascii="Arial" w:cs="Arial" w:eastAsia="Arial" w:hAnsi="Arial"/>
          <w:color w:val="2C3E50"/>
          <w:sz w:val="22"/>
          <w:szCs w:val="22"/>
        </w:rPr>
        <w:t xml:space="preserve">Workplace safety management is broken globally. Organizations currently rely on a fragmented patchwork of tools, paper forms, spreadsheets, and outdated software to manage incidents. This creates four critical failures:</w:t>
      </w:r>
    </w:p>
    <w:p>
      <w:pPr>
        <w:spacing w:before="100" w:after="100"/>
      </w:pPr>
      <w:r>
        <w:t xml:space="preserve"/>
      </w:r>
    </w:p>
    <w:p>
      <w:pPr>
        <w:pStyle w:val="ListParagraph"/>
        <w:numPr>
          <w:ilvl w:val="0"/>
          <w:numId w:val="2"/>
        </w:numPr>
        <w:spacing w:before="60" w:after="60"/>
      </w:pPr>
      <w:r>
        <w:rPr>
          <w:rFonts w:ascii="Arial" w:cs="Arial" w:eastAsia="Arial" w:hAnsi="Arial"/>
          <w:b w:val="false"/>
          <w:bCs w:val="false"/>
          <w:color w:val="2C3E50"/>
          <w:sz w:val="22"/>
          <w:szCs w:val="22"/>
        </w:rPr>
        <w:t xml:space="preserve">Underreporting — employees don't know how to report or fear consequences of doing so</w:t>
      </w:r>
    </w:p>
    <w:p>
      <w:pPr>
        <w:pStyle w:val="ListParagraph"/>
        <w:numPr>
          <w:ilvl w:val="0"/>
          <w:numId w:val="2"/>
        </w:numPr>
        <w:spacing w:before="60" w:after="60"/>
      </w:pPr>
      <w:r>
        <w:rPr>
          <w:rFonts w:ascii="Arial" w:cs="Arial" w:eastAsia="Arial" w:hAnsi="Arial"/>
          <w:b w:val="false"/>
          <w:bCs w:val="false"/>
          <w:color w:val="2C3E50"/>
          <w:sz w:val="22"/>
          <w:szCs w:val="22"/>
        </w:rPr>
        <w:t xml:space="preserve">Delayed response — no real-time emergency guidance means critical first minutes are wasted</w:t>
      </w:r>
    </w:p>
    <w:p>
      <w:pPr>
        <w:pStyle w:val="ListParagraph"/>
        <w:numPr>
          <w:ilvl w:val="0"/>
          <w:numId w:val="2"/>
        </w:numPr>
        <w:spacing w:before="60" w:after="60"/>
      </w:pPr>
      <w:r>
        <w:rPr>
          <w:rFonts w:ascii="Arial" w:cs="Arial" w:eastAsia="Arial" w:hAnsi="Arial"/>
          <w:b w:val="false"/>
          <w:bCs w:val="false"/>
          <w:color w:val="2C3E50"/>
          <w:sz w:val="22"/>
          <w:szCs w:val="22"/>
        </w:rPr>
        <w:t xml:space="preserve">Compliance risk — organizations struggle to keep up with evolving local, national, and international safety standards</w:t>
      </w:r>
    </w:p>
    <w:p>
      <w:pPr>
        <w:pStyle w:val="ListParagraph"/>
        <w:numPr>
          <w:ilvl w:val="0"/>
          <w:numId w:val="2"/>
        </w:numPr>
        <w:spacing w:before="60" w:after="60"/>
      </w:pPr>
      <w:r>
        <w:rPr>
          <w:rFonts w:ascii="Arial" w:cs="Arial" w:eastAsia="Arial" w:hAnsi="Arial"/>
          <w:b w:val="false"/>
          <w:bCs w:val="false"/>
          <w:color w:val="2C3E50"/>
          <w:sz w:val="22"/>
          <w:szCs w:val="22"/>
        </w:rPr>
        <w:t xml:space="preserve">Zero organizational learning — incidents are filed and forgotten, with no mechanism to learn from global patterns</w:t>
      </w:r>
    </w:p>
    <w:p>
      <w:pPr>
        <w:spacing w:before="100" w:after="100"/>
      </w:pPr>
      <w:r>
        <w:t xml:space="preserve"/>
      </w:r>
    </w:p>
    <w:p>
      <w:pPr>
        <w:spacing w:before="80" w:after="80"/>
      </w:pPr>
      <w:r>
        <w:rPr>
          <w:rFonts w:ascii="Arial" w:cs="Arial" w:eastAsia="Arial" w:hAnsi="Arial"/>
          <w:color w:val="2C3E50"/>
          <w:sz w:val="22"/>
          <w:szCs w:val="22"/>
        </w:rPr>
        <w:t xml:space="preserve">The result: preventable injuries, fatalities, legal liability, and enormous economic cost. The International Labour Organization estimates that work-related accidents and diseases cost the global economy approximately 4% of annual GDP each year.</w:t>
      </w:r>
    </w:p>
    <w:p>
      <w:pPr>
        <w:spacing w:before="100" w:after="100"/>
      </w:pPr>
      <w:r>
        <w:t xml:space="preserve"/>
      </w:r>
    </w:p>
    <w:p>
      <w:pPr>
        <w:spacing w:before="80" w:after="80"/>
      </w:pPr>
      <w:r>
        <w:rPr>
          <w:rFonts w:ascii="Arial" w:cs="Arial" w:eastAsia="Arial" w:hAnsi="Arial"/>
          <w:color w:val="2C3E50"/>
          <w:sz w:val="22"/>
          <w:szCs w:val="22"/>
        </w:rPr>
        <w:t xml:space="preserve">No single platform currently exists that addresses all four failures simultaneously — for every organization type, in every jurisdiction, in every language.</w:t>
      </w:r>
    </w:p>
    <w:p>
      <w:r>
        <w:br w:type="page"/>
      </w:r>
    </w:p>
    <w:p>
      <w:pPr>
        <w:pStyle w:val="Heading1"/>
        <w:spacing w:before="400" w:after="200"/>
      </w:pPr>
      <w:r>
        <w:rPr>
          <w:rFonts w:ascii="Arial" w:cs="Arial" w:eastAsia="Arial" w:hAnsi="Arial"/>
          <w:b/>
          <w:bCs/>
          <w:color w:val="1B4F72"/>
          <w:sz w:val="36"/>
          <w:szCs w:val="36"/>
        </w:rPr>
        <w:t xml:space="preserve">3. The Solution — IncidentStandard</w:t>
      </w:r>
    </w:p>
    <w:p>
      <w:pPr>
        <w:spacing w:before="80" w:after="80"/>
      </w:pPr>
      <w:r>
        <w:rPr>
          <w:rFonts w:ascii="Arial" w:cs="Arial" w:eastAsia="Arial" w:hAnsi="Arial"/>
          <w:color w:val="2C3E50"/>
          <w:sz w:val="22"/>
          <w:szCs w:val="22"/>
        </w:rPr>
        <w:t xml:space="preserve">IncidentStandard is a unified, AI-powered safety operating system that serves every stakeholder in a workplace safety ecosystem simultaneously.</w:t>
      </w:r>
    </w:p>
    <w:p>
      <w:pPr>
        <w:spacing w:before="100" w:after="100"/>
      </w:pPr>
      <w:r>
        <w:t xml:space="preserve"/>
      </w:r>
    </w:p>
    <w:p>
      <w:pPr>
        <w:pStyle w:val="Heading2"/>
        <w:spacing w:before="300" w:after="160"/>
      </w:pPr>
      <w:r>
        <w:rPr>
          <w:rFonts w:ascii="Arial" w:cs="Arial" w:eastAsia="Arial" w:hAnsi="Arial"/>
          <w:b/>
          <w:bCs/>
          <w:color w:val="2E86C1"/>
          <w:sz w:val="28"/>
          <w:szCs w:val="28"/>
        </w:rPr>
        <w:t xml:space="preserve">Core Platform Modules</w:t>
      </w:r>
    </w:p>
    <w:p>
      <w:pPr>
        <w:spacing w:before="100" w:after="100"/>
      </w:pPr>
      <w:r>
        <w:t xml:space="preserve"/>
      </w:r>
    </w:p>
    <w:p>
      <w:pPr>
        <w:spacing w:before="200" w:after="120"/>
      </w:pPr>
      <w:r>
        <w:rPr>
          <w:rFonts w:ascii="Arial" w:cs="Arial" w:eastAsia="Arial" w:hAnsi="Arial"/>
          <w:b/>
          <w:bCs/>
          <w:color w:val="1A252F"/>
          <w:sz w:val="24"/>
          <w:szCs w:val="24"/>
        </w:rPr>
        <w:t xml:space="preserve">Module 1: AI-Guided Incident Reporting</w:t>
      </w:r>
    </w:p>
    <w:p>
      <w:pPr>
        <w:spacing w:before="80" w:after="80"/>
      </w:pPr>
      <w:r>
        <w:rPr>
          <w:rFonts w:ascii="Arial" w:cs="Arial" w:eastAsia="Arial" w:hAnsi="Arial"/>
          <w:color w:val="2C3E50"/>
          <w:sz w:val="22"/>
          <w:szCs w:val="22"/>
        </w:rPr>
        <w:t xml:space="preserve">When an employee opens the platform and begins describing an incident, the AI activates immediately. Rather than presenting a blank form, the system conducts a conversational interview — asking targeted yes/no and open-ended questions, writing the formal report in the background using correct regulatory language. The employee simply answers; the AI does the rest.</w:t>
      </w:r>
    </w:p>
    <w:p>
      <w:pPr>
        <w:spacing w:before="100" w:after="100"/>
      </w:pPr>
      <w:r>
        <w:t xml:space="preserve"/>
      </w:r>
    </w:p>
    <w:p>
      <w:pPr>
        <w:spacing w:before="200" w:after="120"/>
      </w:pPr>
      <w:r>
        <w:rPr>
          <w:rFonts w:ascii="Arial" w:cs="Arial" w:eastAsia="Arial" w:hAnsi="Arial"/>
          <w:b/>
          <w:bCs/>
          <w:color w:val="1A252F"/>
          <w:sz w:val="24"/>
          <w:szCs w:val="24"/>
        </w:rPr>
        <w:t xml:space="preserve">Module 2: Real-Time Emergency Response</w:t>
      </w:r>
    </w:p>
    <w:p>
      <w:pPr>
        <w:spacing w:before="80" w:after="80"/>
      </w:pPr>
      <w:r>
        <w:rPr>
          <w:rFonts w:ascii="Arial" w:cs="Arial" w:eastAsia="Arial" w:hAnsi="Arial"/>
          <w:color w:val="2C3E50"/>
          <w:sz w:val="22"/>
          <w:szCs w:val="22"/>
        </w:rPr>
        <w:t xml:space="preserve">The moment a keyword such as 'fire', 'explosion', 'flood', or 'chemical spill' is detected, the platform activates a pre-built emergency response stack. The relevant emergency code (RACE, CODE RED, CODE BLUE, HAZMAT, etc.) is displayed immediately. The AI surfaces building evacuation plans, assembly point locations, equipment maps, and MSDS sheets relevant to the specific incident. Local emergency services are auto-populated based on GPS location. Every stakeholder receives real-time alerts simultaneously.</w:t>
      </w:r>
    </w:p>
    <w:p>
      <w:pPr>
        <w:spacing w:before="100" w:after="100"/>
      </w:pPr>
      <w:r>
        <w:t xml:space="preserve"/>
      </w:r>
    </w:p>
    <w:p>
      <w:pPr>
        <w:spacing w:before="200" w:after="120"/>
      </w:pPr>
      <w:r>
        <w:rPr>
          <w:rFonts w:ascii="Arial" w:cs="Arial" w:eastAsia="Arial" w:hAnsi="Arial"/>
          <w:b/>
          <w:bCs/>
          <w:color w:val="1A252F"/>
          <w:sz w:val="24"/>
          <w:szCs w:val="24"/>
        </w:rPr>
        <w:t xml:space="preserve">Module 3: Personalized Live Safety Check</w:t>
      </w:r>
    </w:p>
    <w:p>
      <w:pPr>
        <w:spacing w:before="80" w:after="80"/>
      </w:pPr>
      <w:r>
        <w:rPr>
          <w:rFonts w:ascii="Arial" w:cs="Arial" w:eastAsia="Arial" w:hAnsi="Arial"/>
          <w:color w:val="2C3E50"/>
          <w:sz w:val="22"/>
          <w:szCs w:val="22"/>
        </w:rPr>
        <w:t xml:space="preserve">During evacuations, every registered employee receives a personalized alert bearing their name and last known location. A one-tap safety confirmation — Safe, Need Help, Not On Site, or Unaccounted — feeds a live accountability dashboard accessible to H&amp;S Officers in real time. The system automatically escalates for unaccounted employees, creating a digital roll call that replaces manual headcounts and can save lives.</w:t>
      </w:r>
    </w:p>
    <w:p>
      <w:pPr>
        <w:spacing w:before="100" w:after="100"/>
      </w:pPr>
      <w:r>
        <w:t xml:space="preserve"/>
      </w:r>
    </w:p>
    <w:p>
      <w:pPr>
        <w:spacing w:before="200" w:after="120"/>
      </w:pPr>
      <w:r>
        <w:rPr>
          <w:rFonts w:ascii="Arial" w:cs="Arial" w:eastAsia="Arial" w:hAnsi="Arial"/>
          <w:b/>
          <w:bCs/>
          <w:color w:val="1A252F"/>
          <w:sz w:val="24"/>
          <w:szCs w:val="24"/>
        </w:rPr>
        <w:t xml:space="preserve">Module 4: AI Knowledge Repository</w:t>
      </w:r>
    </w:p>
    <w:p>
      <w:pPr>
        <w:spacing w:before="80" w:after="80"/>
      </w:pPr>
      <w:r>
        <w:rPr>
          <w:rFonts w:ascii="Arial" w:cs="Arial" w:eastAsia="Arial" w:hAnsi="Arial"/>
          <w:color w:val="2C3E50"/>
          <w:sz w:val="22"/>
          <w:szCs w:val="22"/>
        </w:rPr>
        <w:t xml:space="preserve">Every verified incident across all organizations feeds an anonymized global intelligence engine. This engine surfaces relevant case studies, recommends corrective actions based on similar incidents globally, auto-identifies the relevant compliance standard clause, and predicts systemic risk from repeat patterns. Organizations benefit from the collective safety intelligence of the entire IncidentStandard network.</w:t>
      </w:r>
    </w:p>
    <w:p>
      <w:pPr>
        <w:spacing w:before="100" w:after="100"/>
      </w:pPr>
      <w:r>
        <w:t xml:space="preserve"/>
      </w:r>
    </w:p>
    <w:p>
      <w:pPr>
        <w:spacing w:before="200" w:after="120"/>
      </w:pPr>
      <w:r>
        <w:rPr>
          <w:rFonts w:ascii="Arial" w:cs="Arial" w:eastAsia="Arial" w:hAnsi="Arial"/>
          <w:b/>
          <w:bCs/>
          <w:color w:val="1A252F"/>
          <w:sz w:val="24"/>
          <w:szCs w:val="24"/>
        </w:rPr>
        <w:t xml:space="preserve">Module 5: Integrated Training Platform</w:t>
      </w:r>
    </w:p>
    <w:p>
      <w:pPr>
        <w:spacing w:before="80" w:after="80"/>
      </w:pPr>
      <w:r>
        <w:rPr>
          <w:rFonts w:ascii="Arial" w:cs="Arial" w:eastAsia="Arial" w:hAnsi="Arial"/>
          <w:color w:val="2C3E50"/>
          <w:sz w:val="22"/>
          <w:szCs w:val="22"/>
        </w:rPr>
        <w:t xml:space="preserve">IncidentStandard replaces standalone LMS tools entirely. Pre-built training modules cover all 20 incident categories including fire safety, chemical handling, manual handling, mental health, sexual harassment, cybersecurity, and working at heights. Companies can upload their own content. Employees complete modules, pass quizzes, and receive auto-generated PDF certificates with CPD points assigned. Training records are stored permanently and accessible during audits.</w:t>
      </w:r>
    </w:p>
    <w:p>
      <w:pPr>
        <w:spacing w:before="100" w:after="100"/>
      </w:pPr>
      <w:r>
        <w:t xml:space="preserve"/>
      </w:r>
    </w:p>
    <w:p>
      <w:pPr>
        <w:spacing w:before="200" w:after="120"/>
      </w:pPr>
      <w:r>
        <w:rPr>
          <w:rFonts w:ascii="Arial" w:cs="Arial" w:eastAsia="Arial" w:hAnsi="Arial"/>
          <w:b/>
          <w:bCs/>
          <w:color w:val="1A252F"/>
          <w:sz w:val="24"/>
          <w:szCs w:val="24"/>
        </w:rPr>
        <w:t xml:space="preserve">Module 6: Compliance Calendar and Reminders</w:t>
      </w:r>
    </w:p>
    <w:p>
      <w:pPr>
        <w:spacing w:before="80" w:after="80"/>
      </w:pPr>
      <w:r>
        <w:rPr>
          <w:rFonts w:ascii="Arial" w:cs="Arial" w:eastAsia="Arial" w:hAnsi="Arial"/>
          <w:color w:val="2C3E50"/>
          <w:sz w:val="22"/>
          <w:szCs w:val="22"/>
        </w:rPr>
        <w:t xml:space="preserve">The platform auto-generates a training compliance calendar and sends escalating reminders to managers and H&amp;S Officers as deadlines approach. A real-time compliance health score — Green, Amber, or Red — gives executives instant visibility into organizational safety posture. Regulatory notification deadlines are auto-tracked by jurisdiction.</w:t>
      </w:r>
    </w:p>
    <w:p>
      <w:pPr>
        <w:spacing w:before="100" w:after="100"/>
      </w:pPr>
      <w:r>
        <w:t xml:space="preserve"/>
      </w:r>
    </w:p>
    <w:p>
      <w:pPr>
        <w:spacing w:before="200" w:after="120"/>
      </w:pPr>
      <w:r>
        <w:rPr>
          <w:rFonts w:ascii="Arial" w:cs="Arial" w:eastAsia="Arial" w:hAnsi="Arial"/>
          <w:b/>
          <w:bCs/>
          <w:color w:val="1A252F"/>
          <w:sz w:val="24"/>
          <w:szCs w:val="24"/>
        </w:rPr>
        <w:t xml:space="preserve">Module 7: Company Resource Hub</w:t>
      </w:r>
    </w:p>
    <w:p>
      <w:pPr>
        <w:spacing w:before="80" w:after="80"/>
      </w:pPr>
      <w:r>
        <w:rPr>
          <w:rFonts w:ascii="Arial" w:cs="Arial" w:eastAsia="Arial" w:hAnsi="Arial"/>
          <w:color w:val="2C3E50"/>
          <w:sz w:val="22"/>
          <w:szCs w:val="22"/>
        </w:rPr>
        <w:t xml:space="preserve">Organizations upload their building plans, equipment location photos, evacuation videos, MSDS chemical libraries, and safety procedures directly into the platform. This single repository replaces scattered PowerPoint presentations, SharePoint folders, and paper-based safety manuals — accessible to every employee at the moment they need it.</w:t>
      </w:r>
    </w:p>
    <w:p>
      <w:r>
        <w:br w:type="page"/>
      </w:r>
    </w:p>
    <w:p>
      <w:pPr>
        <w:pStyle w:val="Heading1"/>
        <w:spacing w:before="400" w:after="200"/>
      </w:pPr>
      <w:r>
        <w:rPr>
          <w:rFonts w:ascii="Arial" w:cs="Arial" w:eastAsia="Arial" w:hAnsi="Arial"/>
          <w:b/>
          <w:bCs/>
          <w:color w:val="1B4F72"/>
          <w:sz w:val="36"/>
          <w:szCs w:val="36"/>
        </w:rPr>
        <w:t xml:space="preserve">4. Access Architecture — The Four Portals</w:t>
      </w:r>
    </w:p>
    <w:p>
      <w:pPr>
        <w:spacing w:before="80" w:after="80"/>
      </w:pPr>
      <w:r>
        <w:rPr>
          <w:rFonts w:ascii="Arial" w:cs="Arial" w:eastAsia="Arial" w:hAnsi="Arial"/>
          <w:color w:val="2C3E50"/>
          <w:sz w:val="22"/>
          <w:szCs w:val="22"/>
        </w:rPr>
        <w:t xml:space="preserve">IncidentStandard provides four distinct access tiers, each designed for its user's specific needs and level of authority.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Employee Portal</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All staff</w:t>
            </w:r>
          </w:p>
        </w:tc>
        <w:tc>
          <w:tcPr>
            <w:tcW w:type="dxa" w:w="48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Incident submission, emergency guidance, training, safety check-in, wellbeing follow-up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H&amp;S Officer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Up to 5 officers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Case management, verification, compliance reports, live evacuation dashboard, analytics</w:t>
            </w:r>
          </w:p>
        </w:tc>
      </w:tr>
      <w:tr>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Authority / Executive Portal</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Senior leadership</w:t>
            </w:r>
          </w:p>
        </w:tc>
        <w:tc>
          <w:tcPr>
            <w:tcW w:type="dxa" w:w="48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KPI dashboard, audit trail, compliance health score, regulatory reporting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Case Officer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Verification staff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Incident verification, escalation, quality control, case resolution tracking</w:t>
            </w:r>
          </w:p>
        </w:tc>
      </w:tr>
    </w:tbl>
    <w:p>
      <w:pPr>
        <w:spacing w:before="100" w:after="100"/>
      </w:pPr>
      <w:r>
        <w:t xml:space="preserve"/>
      </w:r>
    </w:p>
    <w:p>
      <w:pPr>
        <w:spacing w:before="80" w:after="80"/>
      </w:pPr>
      <w:r>
        <w:rPr>
          <w:rFonts w:ascii="Arial" w:cs="Arial" w:eastAsia="Arial" w:hAnsi="Arial"/>
          <w:color w:val="2C3E50"/>
          <w:sz w:val="22"/>
          <w:szCs w:val="22"/>
        </w:rPr>
        <w:t xml:space="preserve">Employee access is unlimited and enabled via a unique organizational access code combined with a work email address. Officer accounts are capped at five per organization, with a maximum of seven available upon justified request. This cap enforces accountability clarity and is communicated to users as a best-practice design principle, not a limitation.</w:t>
      </w:r>
    </w:p>
    <w:p>
      <w:r>
        <w:br w:type="page"/>
      </w:r>
    </w:p>
    <w:p>
      <w:pPr>
        <w:pStyle w:val="Heading1"/>
        <w:spacing w:before="400" w:after="200"/>
      </w:pPr>
      <w:r>
        <w:rPr>
          <w:rFonts w:ascii="Arial" w:cs="Arial" w:eastAsia="Arial" w:hAnsi="Arial"/>
          <w:b/>
          <w:bCs/>
          <w:color w:val="1B4F72"/>
          <w:sz w:val="36"/>
          <w:szCs w:val="36"/>
        </w:rPr>
        <w:t xml:space="preserve">5. Incident Taxonomy — 400+ Incident Types</w:t>
      </w:r>
    </w:p>
    <w:p>
      <w:pPr>
        <w:spacing w:before="80" w:after="80"/>
      </w:pPr>
      <w:r>
        <w:rPr>
          <w:rFonts w:ascii="Arial" w:cs="Arial" w:eastAsia="Arial" w:hAnsi="Arial"/>
          <w:color w:val="2C3E50"/>
          <w:sz w:val="22"/>
          <w:szCs w:val="22"/>
        </w:rPr>
        <w:t xml:space="preserve">IncidentStandard covers the most comprehensive workplace incident taxonomy ever assembled — 445+ distinct incident types across 21 major categories including a dedicated Road Transport &amp; Mobile Workforce vertical. This taxonomy powers every AI routing decision, emergency response stack, training module, MSDS trigger, and compliance report in the platform.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Incidents</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Health &amp; Medical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Needle stick, medication error, cardiac arrest, outbreak exposure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Fire &amp; Explosion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Structure fire, gas explosion, arson, spontaneous combustion</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3</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Electrical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Electric shock, arc flash, overhead line contact, power outage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Chemical &amp; Hazardous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Chemical spill, gas leak, asbestos exposure, MSDS non-compliance</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5</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Construction &amp; Structural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Fall from height, scaffold collapse, crane failure, confined space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Workplace Injuries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Slip/trip/fall, crush injury, amputation, heat exhaustion</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7</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Mental Health &amp; Wellbeing</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Burnout, panic attack, suicidal ideation, vicarious trauma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Workplace Conduct &amp; HR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Sexual harassment, bullying, discrimination, whistleblower report</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9</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Security &amp; Crime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Armed robbery, data breach, bomb threat, active shooter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Vehicle &amp; Transport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Road accident, forklift incident, vehicle fire, cargo spill</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11</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Natural Disasters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Earthquake, flood, cyclone, wildfire, tsunami warning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Equipment &amp; Machinery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Machine malfunction, conveyor entrapment, hydraulic failure</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13</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Cyber &amp; Data</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Ransomware, phishing, unauthorized access, GDPR breach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Aviation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Bird strike, runway incursion, emergency landing, crew incapacitation</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15</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Marine &amp; Maritime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Man overboard, vessel collision, oil spill, piracy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Mining &amp; 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Underground collapse, methane ignition, tailings dam failure</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17</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Agriculture &amp; Forestry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Tractor rollover, pesticide exposure, livestock attack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Education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Student injury, safeguarding concern, laboratory accident</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19</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Food &amp; Hospitality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Food poisoning, allergen mislabelling, kitchen fire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Public Spaces &amp;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Crowd crush, stage collapse, lost child, mass casualty</w:t>
            </w:r>
          </w:p>
        </w:tc>
      </w:tr>
      <w:tr>
        <w:tc>
          <w:tcPr>
            <w:tcW w:type="dxa" w:w="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21</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Road Transport &amp; Mobile Workforce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Passenger assault, driver SOS, vehicle accident, cargo theft, lone worker welfare</w:t>
            </w:r>
          </w:p>
        </w:tc>
      </w:tr>
    </w:tbl>
    <w:p>
      <w:r>
        <w:br w:type="page"/>
      </w:r>
    </w:p>
    <w:p>
      <w:pPr>
        <w:pStyle w:val="Heading1"/>
        <w:spacing w:before="400" w:after="200"/>
      </w:pPr>
      <w:r>
        <w:rPr>
          <w:rFonts w:ascii="Arial" w:cs="Arial" w:eastAsia="Arial" w:hAnsi="Arial"/>
          <w:b/>
          <w:bCs/>
          <w:color w:val="1B4F72"/>
          <w:sz w:val="36"/>
          <w:szCs w:val="36"/>
        </w:rPr>
        <w:t xml:space="preserve">6. Compliance Standards Alignment</w:t>
      </w:r>
    </w:p>
    <w:p>
      <w:pPr>
        <w:spacing w:before="80" w:after="80"/>
      </w:pPr>
      <w:r>
        <w:rPr>
          <w:rFonts w:ascii="Arial" w:cs="Arial" w:eastAsia="Arial" w:hAnsi="Arial"/>
          <w:color w:val="2C3E50"/>
          <w:sz w:val="22"/>
          <w:szCs w:val="22"/>
        </w:rPr>
        <w:t xml:space="preserve">IncidentStandard is designed to align with all major global workplace safety standards simultaneously, with a flexible jurisdiction intelligence layer that auto-surfaces the relevant laws and regulations for any incident in any location.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ISO 45001</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International</w:t>
            </w:r>
          </w:p>
        </w:tc>
        <w:tc>
          <w:tcPr>
            <w:tcW w:type="dxa" w:w="4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Occupational health and safety management systems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OSHA 29 CFR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United States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General industry, construction, maritime safety standards</w:t>
            </w:r>
          </w:p>
        </w:tc>
      </w:tr>
      <w:tr>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UK HSE Framework</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United Kingdom</w:t>
            </w:r>
          </w:p>
        </w:tc>
        <w:tc>
          <w:tcPr>
            <w:tcW w:type="dxa" w:w="4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Health and Safety at Work Act and associated regulations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EU-OSHA Directives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European Union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Framework Directive 89/391/EEC and sector directives</w:t>
            </w:r>
          </w:p>
        </w:tc>
      </w:tr>
      <w:tr>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AS/NZS 4801</w:t>
            </w:r>
          </w:p>
        </w:tc>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Australia / New Zealand</w:t>
            </w:r>
          </w:p>
        </w:tc>
        <w:tc>
          <w:tcPr>
            <w:tcW w:type="dxa" w:w="4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Occupational health and safety management systems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Custom / Local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All jurisdictions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Flexible framework adapts to any regional standard</w:t>
            </w:r>
          </w:p>
        </w:tc>
      </w:tr>
    </w:tbl>
    <w:p>
      <w:pPr>
        <w:spacing w:before="100" w:after="100"/>
      </w:pPr>
      <w:r>
        <w:t xml:space="preserve"/>
      </w:r>
    </w:p>
    <w:p>
      <w:pPr>
        <w:spacing w:before="80" w:after="80"/>
      </w:pPr>
      <w:r>
        <w:rPr>
          <w:rFonts w:ascii="Arial" w:cs="Arial" w:eastAsia="Arial" w:hAnsi="Arial"/>
          <w:color w:val="2C3E50"/>
          <w:sz w:val="22"/>
          <w:szCs w:val="22"/>
        </w:rPr>
        <w:t xml:space="preserve">Every incident report on IncidentStandard automatically surfaces the relevant regulatory clause, required notification timeline, and legal disclaimer for the jurisdiction in which the incident occurred. Compliance reports are auto-generated in the correct regulatory format, saving H&amp;S Officers hours of manual work per incident.</w:t>
      </w:r>
    </w:p>
    <w:p>
      <w:r>
        <w:br w:type="page"/>
      </w:r>
    </w:p>
    <w:p>
      <w:pPr>
        <w:pStyle w:val="Heading1"/>
        <w:spacing w:before="400" w:after="200"/>
      </w:pPr>
      <w:r>
        <w:rPr>
          <w:rFonts w:ascii="Arial" w:cs="Arial" w:eastAsia="Arial" w:hAnsi="Arial"/>
          <w:b/>
          <w:bCs/>
          <w:color w:val="1B4F72"/>
          <w:sz w:val="36"/>
          <w:szCs w:val="36"/>
        </w:rPr>
        <w:t xml:space="preserve">7. Business Model</w:t>
      </w:r>
    </w:p>
    <w:p>
      <w:pPr>
        <w:pStyle w:val="Heading2"/>
        <w:spacing w:before="300" w:after="160"/>
      </w:pPr>
      <w:r>
        <w:rPr>
          <w:rFonts w:ascii="Arial" w:cs="Arial" w:eastAsia="Arial" w:hAnsi="Arial"/>
          <w:b/>
          <w:bCs/>
          <w:color w:val="2E86C1"/>
          <w:sz w:val="28"/>
          <w:szCs w:val="28"/>
        </w:rPr>
        <w:t xml:space="preserve">Pricing</w:t>
      </w:r>
    </w:p>
    <w:p>
      <w:pPr>
        <w:spacing w:before="80" w:after="80"/>
      </w:pPr>
      <w:r>
        <w:rPr>
          <w:rFonts w:ascii="Arial" w:cs="Arial" w:eastAsia="Arial" w:hAnsi="Arial"/>
          <w:color w:val="2C3E50"/>
          <w:sz w:val="22"/>
          <w:szCs w:val="22"/>
        </w:rPr>
        <w:t xml:space="preserve">IncidentStandard operates on a simple, transparent flat-fee model: one price, for every organization, globally. There are no per-user fees, no module add-ons, and no complex procurement negotiations.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License Duration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2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License Fee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~$399 USD (flat, all-inclusive)</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Officer Accounts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5 named accounts (max 7 with justified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Employee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Unlimited via organizational access code + work email</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Payment Options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Credit card (self-serve) or invoice/purchase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Renewal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Every 2 years — auto-renewal prompt with compliance health report</w:t>
            </w:r>
          </w:p>
        </w:tc>
      </w:tr>
    </w:tbl>
    <w:p>
      <w:pPr>
        <w:spacing w:before="100" w:after="100"/>
      </w:pPr>
      <w:r>
        <w:t xml:space="preserve"/>
      </w:r>
    </w:p>
    <w:p>
      <w:pPr>
        <w:pStyle w:val="Heading2"/>
        <w:spacing w:before="300" w:after="160"/>
      </w:pPr>
      <w:r>
        <w:rPr>
          <w:rFonts w:ascii="Arial" w:cs="Arial" w:eastAsia="Arial" w:hAnsi="Arial"/>
          <w:b/>
          <w:bCs/>
          <w:color w:val="2E86C1"/>
          <w:sz w:val="28"/>
          <w:szCs w:val="28"/>
        </w:rPr>
        <w:t xml:space="preserve">Revenue Projections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Organizations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Revenue (2-Year Cycle)</w:t>
            </w:r>
          </w:p>
        </w:tc>
      </w:tr>
      <w:tr>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Year 1 Target</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2,500</w:t>
            </w:r>
          </w:p>
        </w:tc>
        <w:tc>
          <w:tcPr>
            <w:tcW w:type="dxa" w:w="38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$997,500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Year 2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$3,990,000</w:t>
            </w:r>
          </w:p>
        </w:tc>
      </w:tr>
      <w:tr>
        <w:tc>
          <w:tcPr>
            <w:tcW w:type="dxa" w:w="2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Year 3 Target</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25,000</w:t>
            </w:r>
          </w:p>
        </w:tc>
        <w:tc>
          <w:tcPr>
            <w:tcW w:type="dxa" w:w="38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$9,975,000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Year 5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$39,900,000</w:t>
            </w:r>
          </w:p>
        </w:tc>
      </w:tr>
    </w:tbl>
    <w:p>
      <w:pPr>
        <w:spacing w:before="100" w:after="100"/>
      </w:pPr>
      <w:r>
        <w:t xml:space="preserve"/>
      </w:r>
    </w:p>
    <w:p>
      <w:pPr>
        <w:pStyle w:val="Heading2"/>
        <w:spacing w:before="300" w:after="160"/>
      </w:pPr>
      <w:r>
        <w:rPr>
          <w:rFonts w:ascii="Arial" w:cs="Arial" w:eastAsia="Arial" w:hAnsi="Arial"/>
          <w:b/>
          <w:bCs/>
          <w:color w:val="2E86C1"/>
          <w:sz w:val="28"/>
          <w:szCs w:val="28"/>
        </w:rPr>
        <w:t xml:space="preserve">Future Revenue Streams</w:t>
      </w:r>
    </w:p>
    <w:p>
      <w:pPr>
        <w:pStyle w:val="ListParagraph"/>
        <w:numPr>
          <w:ilvl w:val="0"/>
          <w:numId w:val="2"/>
        </w:numPr>
        <w:spacing w:before="60" w:after="60"/>
      </w:pPr>
      <w:r>
        <w:rPr>
          <w:rFonts w:ascii="Arial" w:cs="Arial" w:eastAsia="Arial" w:hAnsi="Arial"/>
          <w:b w:val="false"/>
          <w:bCs w:val="false"/>
          <w:color w:val="2C3E50"/>
          <w:sz w:val="22"/>
          <w:szCs w:val="22"/>
        </w:rPr>
        <w:t xml:space="preserve">API access licensing for enterprise integrations</w:t>
      </w:r>
    </w:p>
    <w:p>
      <w:pPr>
        <w:pStyle w:val="ListParagraph"/>
        <w:numPr>
          <w:ilvl w:val="0"/>
          <w:numId w:val="2"/>
        </w:numPr>
        <w:spacing w:before="60" w:after="60"/>
      </w:pPr>
      <w:r>
        <w:rPr>
          <w:rFonts w:ascii="Arial" w:cs="Arial" w:eastAsia="Arial" w:hAnsi="Arial"/>
          <w:b w:val="false"/>
          <w:bCs w:val="false"/>
          <w:color w:val="2C3E50"/>
          <w:sz w:val="22"/>
          <w:szCs w:val="22"/>
        </w:rPr>
        <w:t xml:space="preserve">Premium analytics and benchmarking tier</w:t>
      </w:r>
    </w:p>
    <w:p>
      <w:pPr>
        <w:pStyle w:val="ListParagraph"/>
        <w:numPr>
          <w:ilvl w:val="0"/>
          <w:numId w:val="2"/>
        </w:numPr>
        <w:spacing w:before="60" w:after="60"/>
      </w:pPr>
      <w:r>
        <w:rPr>
          <w:rFonts w:ascii="Arial" w:cs="Arial" w:eastAsia="Arial" w:hAnsi="Arial"/>
          <w:b w:val="false"/>
          <w:bCs w:val="false"/>
          <w:color w:val="2C3E50"/>
          <w:sz w:val="22"/>
          <w:szCs w:val="22"/>
        </w:rPr>
        <w:t xml:space="preserve">Insurance industry data partnerships (anonymized)</w:t>
      </w:r>
    </w:p>
    <w:p>
      <w:pPr>
        <w:pStyle w:val="ListParagraph"/>
        <w:numPr>
          <w:ilvl w:val="0"/>
          <w:numId w:val="2"/>
        </w:numPr>
        <w:spacing w:before="60" w:after="60"/>
      </w:pPr>
      <w:r>
        <w:rPr>
          <w:rFonts w:ascii="Arial" w:cs="Arial" w:eastAsia="Arial" w:hAnsi="Arial"/>
          <w:b w:val="false"/>
          <w:bCs w:val="false"/>
          <w:color w:val="2C3E50"/>
          <w:sz w:val="22"/>
          <w:szCs w:val="22"/>
        </w:rPr>
        <w:t xml:space="preserve">Government tender contracts for national compliance platforms</w:t>
      </w:r>
    </w:p>
    <w:p>
      <w:pPr>
        <w:pStyle w:val="ListParagraph"/>
        <w:numPr>
          <w:ilvl w:val="0"/>
          <w:numId w:val="2"/>
        </w:numPr>
        <w:spacing w:before="60" w:after="60"/>
      </w:pPr>
      <w:r>
        <w:rPr>
          <w:rFonts w:ascii="Arial" w:cs="Arial" w:eastAsia="Arial" w:hAnsi="Arial"/>
          <w:b w:val="false"/>
          <w:bCs w:val="false"/>
          <w:color w:val="2C3E50"/>
          <w:sz w:val="22"/>
          <w:szCs w:val="22"/>
        </w:rPr>
        <w:t xml:space="preserve">CPD accreditation partnerships with professional bodies</w:t>
      </w:r>
    </w:p>
    <w:p>
      <w:pPr>
        <w:pStyle w:val="ListParagraph"/>
        <w:numPr>
          <w:ilvl w:val="0"/>
          <w:numId w:val="2"/>
        </w:numPr>
        <w:spacing w:before="60" w:after="60"/>
      </w:pPr>
      <w:r>
        <w:rPr>
          <w:rFonts w:ascii="Arial" w:cs="Arial" w:eastAsia="Arial" w:hAnsi="Arial"/>
          <w:b w:val="false"/>
          <w:bCs w:val="false"/>
          <w:color w:val="2C3E50"/>
          <w:sz w:val="22"/>
          <w:szCs w:val="22"/>
        </w:rPr>
        <w:t xml:space="preserve">Reseller / channel partner program globally</w:t>
      </w:r>
    </w:p>
    <w:p>
      <w:pPr>
        <w:pStyle w:val="ListParagraph"/>
        <w:numPr>
          <w:ilvl w:val="0"/>
          <w:numId w:val="2"/>
        </w:numPr>
        <w:spacing w:before="60" w:after="60"/>
      </w:pPr>
      <w:r>
        <w:rPr>
          <w:rFonts w:ascii="Arial" w:cs="Arial" w:eastAsia="Arial" w:hAnsi="Arial"/>
          <w:b w:val="false"/>
          <w:bCs w:val="false"/>
          <w:color w:val="2C3E50"/>
          <w:sz w:val="22"/>
          <w:szCs w:val="22"/>
        </w:rPr>
        <w:t xml:space="preserve">White-label platform for large enterprise or government clients</w:t>
      </w:r>
    </w:p>
    <w:p>
      <w:r>
        <w:br w:type="page"/>
      </w:r>
    </w:p>
    <w:p>
      <w:pPr>
        <w:pStyle w:val="Heading1"/>
        <w:spacing w:before="400" w:after="200"/>
      </w:pPr>
      <w:r>
        <w:rPr>
          <w:rFonts w:ascii="Arial" w:cs="Arial" w:eastAsia="Arial" w:hAnsi="Arial"/>
          <w:b/>
          <w:bCs/>
          <w:color w:val="1B4F72"/>
          <w:sz w:val="36"/>
          <w:szCs w:val="36"/>
        </w:rPr>
        <w:t xml:space="preserve">8. Competitive Advantage</w:t>
      </w:r>
    </w:p>
    <w:p>
      <w:pPr>
        <w:spacing w:before="80" w:after="80"/>
      </w:pPr>
      <w:r>
        <w:rPr>
          <w:rFonts w:ascii="Arial" w:cs="Arial" w:eastAsia="Arial" w:hAnsi="Arial"/>
          <w:color w:val="2C3E50"/>
          <w:sz w:val="22"/>
          <w:szCs w:val="22"/>
        </w:rPr>
        <w:t xml:space="preserve">IncidentStandard enters a market occupied by fragmented, complex, and expensive legacy tools including Intelex, SAP EHS, Enablon, and Cority. The addition of a dedicated Road Transport &amp; Mobile Workforce vertical — covering rideshare, taxi, public bus, and freight drivers — doubles the total addressable market and opens relationships with platforms like Uber, Bolt, and DHL. We outcompete on every dimension that matters to buyers.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IncidentStandard</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All incident types globally</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Yes — 400+ types, 20 categories</w:t>
            </w:r>
          </w:p>
        </w:tc>
        <w:tc>
          <w:tcPr>
            <w:tcW w:type="dxa" w:w="3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Partial — typically sector-specific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All compliance standards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Yes — ISO, OSHA, HSE, EU-OSHA built 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Partial — often require add-on modules</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Flat simple pricing</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Yes — $399 / 2 years</w:t>
            </w:r>
          </w:p>
        </w:tc>
        <w:tc>
          <w:tcPr>
            <w:tcW w:type="dxa" w:w="3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No — complex per-module, per-user pricing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AI-guided report writing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Yes — conversational, auto-generates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No — blank form approach</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Case officer verification</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Yes — unique verified incident model</w:t>
            </w:r>
          </w:p>
        </w:tc>
        <w:tc>
          <w:tcPr>
            <w:tcW w:type="dxa" w:w="3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No — not offered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Live personalized safety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Yes — digital roll call, one-tap response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No — not offered</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Integrated training + CPD</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Yes — built-in, no separate LMS needed</w:t>
            </w:r>
          </w:p>
        </w:tc>
        <w:tc>
          <w:tcPr>
            <w:tcW w:type="dxa" w:w="3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Partial — often separate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Employee-first doctrine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Yes — tension-free design philosophy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No — compliance-first design</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Global from day one</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Yes — designed for universal deployment</w:t>
            </w:r>
          </w:p>
        </w:tc>
        <w:tc>
          <w:tcPr>
            <w:tcW w:type="dxa" w:w="3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No — typically regional focus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Mobile workforce / driver safety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Yes — Category 21, Driver SOS, lone worker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No — not offered</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MSDS instant retrieval</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Yes — by incident keyword</w:t>
            </w:r>
          </w:p>
        </w:tc>
        <w:tc>
          <w:tcPr>
            <w:tcW w:type="dxa" w:w="3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No — separate document management</w:t>
            </w:r>
          </w:p>
        </w:tc>
      </w:tr>
    </w:tbl>
    <w:p>
      <w:pPr>
        <w:spacing w:before="100" w:after="100"/>
      </w:pPr>
      <w:r>
        <w:t xml:space="preserve"/>
      </w:r>
    </w:p>
    <w:p>
      <w:pPr>
        <w:spacing w:before="80" w:after="80"/>
      </w:pPr>
      <w:r>
        <w:rPr>
          <w:rFonts w:ascii="Arial" w:cs="Arial" w:eastAsia="Arial" w:hAnsi="Arial"/>
          <w:color w:val="2C3E50"/>
          <w:sz w:val="22"/>
          <w:szCs w:val="22"/>
        </w:rPr>
        <w:t xml:space="preserve">Our most defensible moat is the AI knowledge repository. Every verified incident reported on IncidentStandard makes the platform smarter. This creates a compounding network effect: more organizations mean more data, which means better AI guidance, which means more organizations join. No competitor can replicate years of verified global incident data.</w:t>
      </w:r>
    </w:p>
    <w:p>
      <w:r>
        <w:br w:type="page"/>
      </w:r>
    </w:p>
    <w:p>
      <w:pPr>
        <w:pStyle w:val="Heading1"/>
        <w:spacing w:before="400" w:after="200"/>
      </w:pPr>
      <w:r>
        <w:rPr>
          <w:rFonts w:ascii="Arial" w:cs="Arial" w:eastAsia="Arial" w:hAnsi="Arial"/>
          <w:b/>
          <w:bCs/>
          <w:color w:val="1B4F72"/>
          <w:sz w:val="36"/>
          <w:szCs w:val="36"/>
        </w:rPr>
        <w:t xml:space="preserve">9. Go-To-Market Strategy</w:t>
      </w:r>
    </w:p>
    <w:p>
      <w:pPr>
        <w:pStyle w:val="Heading2"/>
        <w:spacing w:before="300" w:after="160"/>
      </w:pPr>
      <w:r>
        <w:rPr>
          <w:rFonts w:ascii="Arial" w:cs="Arial" w:eastAsia="Arial" w:hAnsi="Arial"/>
          <w:b/>
          <w:bCs/>
          <w:color w:val="2E86C1"/>
          <w:sz w:val="28"/>
          <w:szCs w:val="28"/>
        </w:rPr>
        <w:t xml:space="preserve">Phase 1 — Validation (Year 1)</w:t>
      </w:r>
    </w:p>
    <w:p>
      <w:pPr>
        <w:pStyle w:val="ListParagraph"/>
        <w:numPr>
          <w:ilvl w:val="0"/>
          <w:numId w:val="2"/>
        </w:numPr>
        <w:spacing w:before="60" w:after="60"/>
      </w:pPr>
      <w:r>
        <w:rPr>
          <w:rFonts w:ascii="Arial" w:cs="Arial" w:eastAsia="Arial" w:hAnsi="Arial"/>
          <w:b w:val="false"/>
          <w:bCs w:val="false"/>
          <w:color w:val="2C3E50"/>
          <w:sz w:val="22"/>
          <w:szCs w:val="22"/>
        </w:rPr>
        <w:t xml:space="preserve">Build and launch MVP focusing on incident reporting, H&amp;S Officer dashboard, and emergency response</w:t>
      </w:r>
    </w:p>
    <w:p>
      <w:pPr>
        <w:pStyle w:val="ListParagraph"/>
        <w:numPr>
          <w:ilvl w:val="0"/>
          <w:numId w:val="2"/>
        </w:numPr>
        <w:spacing w:before="60" w:after="60"/>
      </w:pPr>
      <w:r>
        <w:rPr>
          <w:rFonts w:ascii="Arial" w:cs="Arial" w:eastAsia="Arial" w:hAnsi="Arial"/>
          <w:b w:val="false"/>
          <w:bCs w:val="false"/>
          <w:color w:val="2C3E50"/>
          <w:sz w:val="22"/>
          <w:szCs w:val="22"/>
        </w:rPr>
        <w:t xml:space="preserve">Target 3 pilot organizations: one government body, one NGO, one private employer</w:t>
      </w:r>
    </w:p>
    <w:p>
      <w:pPr>
        <w:pStyle w:val="ListParagraph"/>
        <w:numPr>
          <w:ilvl w:val="0"/>
          <w:numId w:val="2"/>
        </w:numPr>
        <w:spacing w:before="60" w:after="60"/>
      </w:pPr>
      <w:r>
        <w:rPr>
          <w:rFonts w:ascii="Arial" w:cs="Arial" w:eastAsia="Arial" w:hAnsi="Arial"/>
          <w:b w:val="false"/>
          <w:bCs w:val="false"/>
          <w:color w:val="2C3E50"/>
          <w:sz w:val="22"/>
          <w:szCs w:val="22"/>
        </w:rPr>
        <w:t xml:space="preserve">Gather feedback, iterate on product, establish case studies</w:t>
      </w:r>
    </w:p>
    <w:p>
      <w:pPr>
        <w:pStyle w:val="ListParagraph"/>
        <w:numPr>
          <w:ilvl w:val="0"/>
          <w:numId w:val="2"/>
        </w:numPr>
        <w:spacing w:before="60" w:after="60"/>
      </w:pPr>
      <w:r>
        <w:rPr>
          <w:rFonts w:ascii="Arial" w:cs="Arial" w:eastAsia="Arial" w:hAnsi="Arial"/>
          <w:b w:val="false"/>
          <w:bCs w:val="false"/>
          <w:color w:val="2C3E50"/>
          <w:sz w:val="22"/>
          <w:szCs w:val="22"/>
        </w:rPr>
        <w:t xml:space="preserve">Launch self-serve sign-up at incidentstandard.com</w:t>
      </w:r>
    </w:p>
    <w:p>
      <w:pPr>
        <w:spacing w:before="100" w:after="100"/>
      </w:pPr>
      <w:r>
        <w:t xml:space="preserve"/>
      </w:r>
    </w:p>
    <w:p>
      <w:pPr>
        <w:pStyle w:val="Heading2"/>
        <w:spacing w:before="300" w:after="160"/>
      </w:pPr>
      <w:r>
        <w:rPr>
          <w:rFonts w:ascii="Arial" w:cs="Arial" w:eastAsia="Arial" w:hAnsi="Arial"/>
          <w:b/>
          <w:bCs/>
          <w:color w:val="2E86C1"/>
          <w:sz w:val="28"/>
          <w:szCs w:val="28"/>
        </w:rPr>
        <w:t xml:space="preserve">Phase 2 — Growth (Year 2)</w:t>
      </w:r>
    </w:p>
    <w:p>
      <w:pPr>
        <w:pStyle w:val="ListParagraph"/>
        <w:numPr>
          <w:ilvl w:val="0"/>
          <w:numId w:val="2"/>
        </w:numPr>
        <w:spacing w:before="60" w:after="60"/>
      </w:pPr>
      <w:r>
        <w:rPr>
          <w:rFonts w:ascii="Arial" w:cs="Arial" w:eastAsia="Arial" w:hAnsi="Arial"/>
          <w:b w:val="false"/>
          <w:bCs w:val="false"/>
          <w:color w:val="2C3E50"/>
          <w:sz w:val="22"/>
          <w:szCs w:val="22"/>
        </w:rPr>
        <w:t xml:space="preserve">Launch training platform and CPD certificate engine</w:t>
      </w:r>
    </w:p>
    <w:p>
      <w:pPr>
        <w:pStyle w:val="ListParagraph"/>
        <w:numPr>
          <w:ilvl w:val="0"/>
          <w:numId w:val="2"/>
        </w:numPr>
        <w:spacing w:before="60" w:after="60"/>
      </w:pPr>
      <w:r>
        <w:rPr>
          <w:rFonts w:ascii="Arial" w:cs="Arial" w:eastAsia="Arial" w:hAnsi="Arial"/>
          <w:b w:val="false"/>
          <w:bCs w:val="false"/>
          <w:color w:val="2C3E50"/>
          <w:sz w:val="22"/>
          <w:szCs w:val="22"/>
        </w:rPr>
        <w:t xml:space="preserve">Partner with industry associations and professional safety bodies for endorsement</w:t>
      </w:r>
    </w:p>
    <w:p>
      <w:pPr>
        <w:pStyle w:val="ListParagraph"/>
        <w:numPr>
          <w:ilvl w:val="0"/>
          <w:numId w:val="2"/>
        </w:numPr>
        <w:spacing w:before="60" w:after="60"/>
      </w:pPr>
      <w:r>
        <w:rPr>
          <w:rFonts w:ascii="Arial" w:cs="Arial" w:eastAsia="Arial" w:hAnsi="Arial"/>
          <w:b w:val="false"/>
          <w:bCs w:val="false"/>
          <w:color w:val="2C3E50"/>
          <w:sz w:val="22"/>
          <w:szCs w:val="22"/>
        </w:rPr>
        <w:t xml:space="preserve">Begin digital marketing targeting H&amp;S managers, HR directors, and compliance officers</w:t>
      </w:r>
    </w:p>
    <w:p>
      <w:pPr>
        <w:pStyle w:val="ListParagraph"/>
        <w:numPr>
          <w:ilvl w:val="0"/>
          <w:numId w:val="2"/>
        </w:numPr>
        <w:spacing w:before="60" w:after="60"/>
      </w:pPr>
      <w:r>
        <w:rPr>
          <w:rFonts w:ascii="Arial" w:cs="Arial" w:eastAsia="Arial" w:hAnsi="Arial"/>
          <w:b w:val="false"/>
          <w:bCs w:val="false"/>
          <w:color w:val="2C3E50"/>
          <w:sz w:val="22"/>
          <w:szCs w:val="22"/>
        </w:rPr>
        <w:t xml:space="preserve">Establish reseller partnerships in key markets: US, UK, Australia, NZ, UAE, Singapore</w:t>
      </w:r>
    </w:p>
    <w:p>
      <w:pPr>
        <w:spacing w:before="100" w:after="100"/>
      </w:pPr>
      <w:r>
        <w:t xml:space="preserve"/>
      </w:r>
    </w:p>
    <w:p>
      <w:pPr>
        <w:pStyle w:val="Heading2"/>
        <w:spacing w:before="300" w:after="160"/>
      </w:pPr>
      <w:r>
        <w:rPr>
          <w:rFonts w:ascii="Arial" w:cs="Arial" w:eastAsia="Arial" w:hAnsi="Arial"/>
          <w:b/>
          <w:bCs/>
          <w:color w:val="2E86C1"/>
          <w:sz w:val="28"/>
          <w:szCs w:val="28"/>
        </w:rPr>
        <w:t xml:space="preserve">Phase 3 — Scale (Year 3+)</w:t>
      </w:r>
    </w:p>
    <w:p>
      <w:pPr>
        <w:pStyle w:val="ListParagraph"/>
        <w:numPr>
          <w:ilvl w:val="0"/>
          <w:numId w:val="2"/>
        </w:numPr>
        <w:spacing w:before="60" w:after="60"/>
      </w:pPr>
      <w:r>
        <w:rPr>
          <w:rFonts w:ascii="Arial" w:cs="Arial" w:eastAsia="Arial" w:hAnsi="Arial"/>
          <w:b w:val="false"/>
          <w:bCs w:val="false"/>
          <w:color w:val="2C3E50"/>
          <w:sz w:val="22"/>
          <w:szCs w:val="22"/>
        </w:rPr>
        <w:t xml:space="preserve">Pursue government tender contracts for national-level adoption</w:t>
      </w:r>
    </w:p>
    <w:p>
      <w:pPr>
        <w:pStyle w:val="ListParagraph"/>
        <w:numPr>
          <w:ilvl w:val="0"/>
          <w:numId w:val="2"/>
        </w:numPr>
        <w:spacing w:before="60" w:after="60"/>
      </w:pPr>
      <w:r>
        <w:rPr>
          <w:rFonts w:ascii="Arial" w:cs="Arial" w:eastAsia="Arial" w:hAnsi="Arial"/>
          <w:b w:val="false"/>
          <w:bCs w:val="false"/>
          <w:color w:val="2C3E50"/>
          <w:sz w:val="22"/>
          <w:szCs w:val="22"/>
        </w:rPr>
        <w:t xml:space="preserve">Launch insurance industry partnerships using anonymized data</w:t>
      </w:r>
    </w:p>
    <w:p>
      <w:pPr>
        <w:pStyle w:val="ListParagraph"/>
        <w:numPr>
          <w:ilvl w:val="0"/>
          <w:numId w:val="2"/>
        </w:numPr>
        <w:spacing w:before="60" w:after="60"/>
      </w:pPr>
      <w:r>
        <w:rPr>
          <w:rFonts w:ascii="Arial" w:cs="Arial" w:eastAsia="Arial" w:hAnsi="Arial"/>
          <w:b w:val="false"/>
          <w:bCs w:val="false"/>
          <w:color w:val="2C3E50"/>
          <w:sz w:val="22"/>
          <w:szCs w:val="22"/>
        </w:rPr>
        <w:t xml:space="preserve">Expand language support to 20+ languages</w:t>
      </w:r>
    </w:p>
    <w:p>
      <w:pPr>
        <w:pStyle w:val="ListParagraph"/>
        <w:numPr>
          <w:ilvl w:val="0"/>
          <w:numId w:val="2"/>
        </w:numPr>
        <w:spacing w:before="60" w:after="60"/>
      </w:pPr>
      <w:r>
        <w:rPr>
          <w:rFonts w:ascii="Arial" w:cs="Arial" w:eastAsia="Arial" w:hAnsi="Arial"/>
          <w:b w:val="false"/>
          <w:bCs w:val="false"/>
          <w:color w:val="2C3E50"/>
          <w:sz w:val="22"/>
          <w:szCs w:val="22"/>
        </w:rPr>
        <w:t xml:space="preserve">Launch API access for enterprise integrations</w:t>
      </w:r>
    </w:p>
    <w:p>
      <w:pPr>
        <w:pStyle w:val="ListParagraph"/>
        <w:numPr>
          <w:ilvl w:val="0"/>
          <w:numId w:val="2"/>
        </w:numPr>
        <w:spacing w:before="60" w:after="60"/>
      </w:pPr>
      <w:r>
        <w:rPr>
          <w:rFonts w:ascii="Arial" w:cs="Arial" w:eastAsia="Arial" w:hAnsi="Arial"/>
          <w:b w:val="false"/>
          <w:bCs w:val="false"/>
          <w:color w:val="2C3E50"/>
          <w:sz w:val="22"/>
          <w:szCs w:val="22"/>
        </w:rPr>
        <w:t xml:space="preserve">Target 100,000 licensed organizations globally by Year 5</w:t>
      </w:r>
    </w:p>
    <w:p>
      <w:r>
        <w:br w:type="page"/>
      </w:r>
    </w:p>
    <w:p>
      <w:pPr>
        <w:pStyle w:val="Heading1"/>
        <w:spacing w:before="400" w:after="200"/>
      </w:pPr>
      <w:r>
        <w:rPr>
          <w:rFonts w:ascii="Arial" w:cs="Arial" w:eastAsia="Arial" w:hAnsi="Arial"/>
          <w:b/>
          <w:bCs/>
          <w:color w:val="1B4F72"/>
          <w:sz w:val="36"/>
          <w:szCs w:val="36"/>
        </w:rPr>
        <w:t xml:space="preserve">10. Team &amp; Operations</w:t>
      </w:r>
    </w:p>
    <w:p>
      <w:pPr>
        <w:pStyle w:val="Heading2"/>
        <w:spacing w:before="300" w:after="160"/>
      </w:pPr>
      <w:r>
        <w:rPr>
          <w:rFonts w:ascii="Arial" w:cs="Arial" w:eastAsia="Arial" w:hAnsi="Arial"/>
          <w:b/>
          <w:bCs/>
          <w:color w:val="2E86C1"/>
          <w:sz w:val="28"/>
          <w:szCs w:val="28"/>
        </w:rPr>
        <w:t xml:space="preserve">Founding Team</w:t>
      </w:r>
    </w:p>
    <w:p>
      <w:pPr>
        <w:spacing w:before="80" w:after="80"/>
      </w:pPr>
      <w:r>
        <w:rPr>
          <w:rFonts w:ascii="Arial" w:cs="Arial" w:eastAsia="Arial" w:hAnsi="Arial"/>
          <w:color w:val="2C3E50"/>
          <w:sz w:val="22"/>
          <w:szCs w:val="22"/>
        </w:rPr>
        <w:t xml:space="preserve">The founding team combines technical expertise with deep domain knowledge in workplace safety, compliance, and human-centred design. [Founder profiles to be completed — include relevant experience, previous ventures, and domain credentials.]</w:t>
      </w:r>
    </w:p>
    <w:p>
      <w:pPr>
        <w:spacing w:before="100" w:after="100"/>
      </w:pPr>
      <w:r>
        <w:t xml:space="preserve"/>
      </w:r>
    </w:p>
    <w:p>
      <w:pPr>
        <w:pStyle w:val="Heading2"/>
        <w:spacing w:before="300" w:after="160"/>
      </w:pPr>
      <w:r>
        <w:rPr>
          <w:rFonts w:ascii="Arial" w:cs="Arial" w:eastAsia="Arial" w:hAnsi="Arial"/>
          <w:b/>
          <w:bCs/>
          <w:color w:val="2E86C1"/>
          <w:sz w:val="28"/>
          <w:szCs w:val="28"/>
        </w:rPr>
        <w:t xml:space="preserve">Key Hires — Year 1</w:t>
      </w:r>
    </w:p>
    <w:p>
      <w:pPr>
        <w:pStyle w:val="ListParagraph"/>
        <w:numPr>
          <w:ilvl w:val="0"/>
          <w:numId w:val="2"/>
        </w:numPr>
        <w:spacing w:before="60" w:after="60"/>
      </w:pPr>
      <w:r>
        <w:rPr>
          <w:rFonts w:ascii="Arial" w:cs="Arial" w:eastAsia="Arial" w:hAnsi="Arial"/>
          <w:b w:val="false"/>
          <w:bCs w:val="false"/>
          <w:color w:val="2C3E50"/>
          <w:sz w:val="22"/>
          <w:szCs w:val="22"/>
        </w:rPr>
        <w:t xml:space="preserve">Head of Product — UX/AI specialist</w:t>
      </w:r>
    </w:p>
    <w:p>
      <w:pPr>
        <w:pStyle w:val="ListParagraph"/>
        <w:numPr>
          <w:ilvl w:val="0"/>
          <w:numId w:val="2"/>
        </w:numPr>
        <w:spacing w:before="60" w:after="60"/>
      </w:pPr>
      <w:r>
        <w:rPr>
          <w:rFonts w:ascii="Arial" w:cs="Arial" w:eastAsia="Arial" w:hAnsi="Arial"/>
          <w:b w:val="false"/>
          <w:bCs w:val="false"/>
          <w:color w:val="2C3E50"/>
          <w:sz w:val="22"/>
          <w:szCs w:val="22"/>
        </w:rPr>
        <w:t xml:space="preserve">Head of Compliance — ISO/OSHA qualified safety professional</w:t>
      </w:r>
    </w:p>
    <w:p>
      <w:pPr>
        <w:pStyle w:val="ListParagraph"/>
        <w:numPr>
          <w:ilvl w:val="0"/>
          <w:numId w:val="2"/>
        </w:numPr>
        <w:spacing w:before="60" w:after="60"/>
      </w:pPr>
      <w:r>
        <w:rPr>
          <w:rFonts w:ascii="Arial" w:cs="Arial" w:eastAsia="Arial" w:hAnsi="Arial"/>
          <w:b w:val="false"/>
          <w:bCs w:val="false"/>
          <w:color w:val="2C3E50"/>
          <w:sz w:val="22"/>
          <w:szCs w:val="22"/>
        </w:rPr>
        <w:t xml:space="preserve">Head of Sales — B2B SaaS enterprise sales background</w:t>
      </w:r>
    </w:p>
    <w:p>
      <w:pPr>
        <w:pStyle w:val="ListParagraph"/>
        <w:numPr>
          <w:ilvl w:val="0"/>
          <w:numId w:val="2"/>
        </w:numPr>
        <w:spacing w:before="60" w:after="60"/>
      </w:pPr>
      <w:r>
        <w:rPr>
          <w:rFonts w:ascii="Arial" w:cs="Arial" w:eastAsia="Arial" w:hAnsi="Arial"/>
          <w:b w:val="false"/>
          <w:bCs w:val="false"/>
          <w:color w:val="2C3E50"/>
          <w:sz w:val="22"/>
          <w:szCs w:val="22"/>
        </w:rPr>
        <w:t xml:space="preserve">Lead Developer — Full-stack, AI/ML experience</w:t>
      </w:r>
    </w:p>
    <w:p>
      <w:pPr>
        <w:spacing w:before="100" w:after="100"/>
      </w:pPr>
      <w:r>
        <w:t xml:space="preserve"/>
      </w:r>
    </w:p>
    <w:p>
      <w:pPr>
        <w:pStyle w:val="Heading2"/>
        <w:spacing w:before="300" w:after="160"/>
      </w:pPr>
      <w:r>
        <w:rPr>
          <w:rFonts w:ascii="Arial" w:cs="Arial" w:eastAsia="Arial" w:hAnsi="Arial"/>
          <w:b/>
          <w:bCs/>
          <w:color w:val="2E86C1"/>
          <w:sz w:val="28"/>
          <w:szCs w:val="28"/>
        </w:rPr>
        <w:t xml:space="preserve">Technology Stack</w:t>
      </w:r>
    </w:p>
    <w:p>
      <w:pPr>
        <w:pStyle w:val="ListParagraph"/>
        <w:numPr>
          <w:ilvl w:val="0"/>
          <w:numId w:val="2"/>
        </w:numPr>
        <w:spacing w:before="60" w:after="60"/>
      </w:pPr>
      <w:r>
        <w:rPr>
          <w:rFonts w:ascii="Arial" w:cs="Arial" w:eastAsia="Arial" w:hAnsi="Arial"/>
          <w:b w:val="false"/>
          <w:bCs w:val="false"/>
          <w:color w:val="2C3E50"/>
          <w:sz w:val="22"/>
          <w:szCs w:val="22"/>
        </w:rPr>
        <w:t xml:space="preserve">Web platform and mobile app (iOS and Android)</w:t>
      </w:r>
    </w:p>
    <w:p>
      <w:pPr>
        <w:pStyle w:val="ListParagraph"/>
        <w:numPr>
          <w:ilvl w:val="0"/>
          <w:numId w:val="2"/>
        </w:numPr>
        <w:spacing w:before="60" w:after="60"/>
      </w:pPr>
      <w:r>
        <w:rPr>
          <w:rFonts w:ascii="Arial" w:cs="Arial" w:eastAsia="Arial" w:hAnsi="Arial"/>
          <w:b w:val="false"/>
          <w:bCs w:val="false"/>
          <w:color w:val="2C3E50"/>
          <w:sz w:val="22"/>
          <w:szCs w:val="22"/>
        </w:rPr>
        <w:t xml:space="preserve">Multi-tenant SaaS architecture — fully siloed data per organization</w:t>
      </w:r>
    </w:p>
    <w:p>
      <w:pPr>
        <w:pStyle w:val="ListParagraph"/>
        <w:numPr>
          <w:ilvl w:val="0"/>
          <w:numId w:val="2"/>
        </w:numPr>
        <w:spacing w:before="60" w:after="60"/>
      </w:pPr>
      <w:r>
        <w:rPr>
          <w:rFonts w:ascii="Arial" w:cs="Arial" w:eastAsia="Arial" w:hAnsi="Arial"/>
          <w:b w:val="false"/>
          <w:bCs w:val="false"/>
          <w:color w:val="2C3E50"/>
          <w:sz w:val="22"/>
          <w:szCs w:val="22"/>
        </w:rPr>
        <w:t xml:space="preserve">AI/NLP engine — keyword detection, conversational report guidance, pattern recognition</w:t>
      </w:r>
    </w:p>
    <w:p>
      <w:pPr>
        <w:pStyle w:val="ListParagraph"/>
        <w:numPr>
          <w:ilvl w:val="0"/>
          <w:numId w:val="2"/>
        </w:numPr>
        <w:spacing w:before="60" w:after="60"/>
      </w:pPr>
      <w:r>
        <w:rPr>
          <w:rFonts w:ascii="Arial" w:cs="Arial" w:eastAsia="Arial" w:hAnsi="Arial"/>
          <w:b w:val="false"/>
          <w:bCs w:val="false"/>
          <w:color w:val="2C3E50"/>
          <w:sz w:val="22"/>
          <w:szCs w:val="22"/>
        </w:rPr>
        <w:t xml:space="preserve">Real-time notification system — email, push, SMS</w:t>
      </w:r>
    </w:p>
    <w:p>
      <w:pPr>
        <w:pStyle w:val="ListParagraph"/>
        <w:numPr>
          <w:ilvl w:val="0"/>
          <w:numId w:val="2"/>
        </w:numPr>
        <w:spacing w:before="60" w:after="60"/>
      </w:pPr>
      <w:r>
        <w:rPr>
          <w:rFonts w:ascii="Arial" w:cs="Arial" w:eastAsia="Arial" w:hAnsi="Arial"/>
          <w:b w:val="false"/>
          <w:bCs w:val="false"/>
          <w:color w:val="2C3E50"/>
          <w:sz w:val="22"/>
          <w:szCs w:val="22"/>
        </w:rPr>
        <w:t xml:space="preserve">GPS and jurisdiction intelligence layer</w:t>
      </w:r>
    </w:p>
    <w:p>
      <w:pPr>
        <w:pStyle w:val="ListParagraph"/>
        <w:numPr>
          <w:ilvl w:val="0"/>
          <w:numId w:val="2"/>
        </w:numPr>
        <w:spacing w:before="60" w:after="60"/>
      </w:pPr>
      <w:r>
        <w:rPr>
          <w:rFonts w:ascii="Arial" w:cs="Arial" w:eastAsia="Arial" w:hAnsi="Arial"/>
          <w:b w:val="false"/>
          <w:bCs w:val="false"/>
          <w:color w:val="2C3E50"/>
          <w:sz w:val="22"/>
          <w:szCs w:val="22"/>
        </w:rPr>
        <w:t xml:space="preserve">MSDS database integration</w:t>
      </w:r>
    </w:p>
    <w:p>
      <w:pPr>
        <w:pStyle w:val="ListParagraph"/>
        <w:numPr>
          <w:ilvl w:val="0"/>
          <w:numId w:val="2"/>
        </w:numPr>
        <w:spacing w:before="60" w:after="60"/>
      </w:pPr>
      <w:r>
        <w:rPr>
          <w:rFonts w:ascii="Arial" w:cs="Arial" w:eastAsia="Arial" w:hAnsi="Arial"/>
          <w:b w:val="false"/>
          <w:bCs w:val="false"/>
          <w:color w:val="2C3E50"/>
          <w:sz w:val="22"/>
          <w:szCs w:val="22"/>
        </w:rPr>
        <w:t xml:space="preserve">Certificate generation engine</w:t>
      </w:r>
    </w:p>
    <w:p>
      <w:pPr>
        <w:pStyle w:val="ListParagraph"/>
        <w:numPr>
          <w:ilvl w:val="0"/>
          <w:numId w:val="2"/>
        </w:numPr>
        <w:spacing w:before="60" w:after="60"/>
      </w:pPr>
      <w:r>
        <w:rPr>
          <w:rFonts w:ascii="Arial" w:cs="Arial" w:eastAsia="Arial" w:hAnsi="Arial"/>
          <w:b w:val="false"/>
          <w:bCs w:val="false"/>
          <w:color w:val="2C3E50"/>
          <w:sz w:val="22"/>
          <w:szCs w:val="22"/>
        </w:rPr>
        <w:t xml:space="preserve">End-to-end encryption, two-factor authentication, 99.9% uptime SLA</w:t>
      </w:r>
    </w:p>
    <w:p>
      <w:r>
        <w:br w:type="page"/>
      </w:r>
    </w:p>
    <w:p>
      <w:pPr>
        <w:pStyle w:val="Heading1"/>
        <w:spacing w:before="400" w:after="200"/>
      </w:pPr>
      <w:r>
        <w:rPr>
          <w:rFonts w:ascii="Arial" w:cs="Arial" w:eastAsia="Arial" w:hAnsi="Arial"/>
          <w:b/>
          <w:bCs/>
          <w:color w:val="1B4F72"/>
          <w:sz w:val="36"/>
          <w:szCs w:val="36"/>
        </w:rPr>
        <w:t xml:space="preserve">11. Funding Requirements</w:t>
      </w:r>
    </w:p>
    <w:p>
      <w:pPr>
        <w:spacing w:before="80" w:after="80"/>
      </w:pPr>
      <w:r>
        <w:rPr>
          <w:rFonts w:ascii="Arial" w:cs="Arial" w:eastAsia="Arial" w:hAnsi="Arial"/>
          <w:color w:val="2C3E50"/>
          <w:sz w:val="22"/>
          <w:szCs w:val="22"/>
        </w:rPr>
        <w:t xml:space="preserve">IncidentStandard is seeking seed investment to fund platform development, initial team hiring, and market launch. The founder brings technical capability to build the core platform, significantly reducing initial development cost.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of Funds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4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Platform development (AI engine, mobile app, portals)</w:t>
            </w:r>
          </w:p>
        </w:tc>
        <w:tc>
          <w:tcPr>
            <w:tcW w:type="dxa" w:w="5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Initial team salaries (Year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30%</w:t>
            </w:r>
          </w:p>
        </w:tc>
      </w:tr>
      <w:tr>
        <w:tc>
          <w:tcPr>
            <w:tcW w:type="dxa" w:w="4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Sales, marketing and market launch</w:t>
            </w:r>
          </w:p>
        </w:tc>
        <w:tc>
          <w:tcPr>
            <w:tcW w:type="dxa" w:w="5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Legal, compliance, and IP protection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52F"/>
                <w:sz w:val="20"/>
                <w:szCs w:val="20"/>
              </w:rPr>
              <w:t xml:space="preserve">10%</w:t>
            </w:r>
          </w:p>
        </w:tc>
      </w:tr>
      <w:tr>
        <w:tc>
          <w:tcPr>
            <w:tcW w:type="dxa" w:w="4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Operations and infrastructure</w:t>
            </w:r>
          </w:p>
        </w:tc>
        <w:tc>
          <w:tcPr>
            <w:tcW w:type="dxa" w:w="5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1A252F"/>
                <w:sz w:val="20"/>
                <w:szCs w:val="20"/>
              </w:rPr>
              <w:t xml:space="preserve">5%</w:t>
            </w:r>
          </w:p>
        </w:tc>
      </w:tr>
    </w:tbl>
    <w:p>
      <w:pPr>
        <w:spacing w:before="100" w:after="100"/>
      </w:pPr>
      <w:r>
        <w:t xml:space="preserve"/>
      </w:r>
    </w:p>
    <w:p>
      <w:pPr>
        <w:spacing w:before="80" w:after="80"/>
      </w:pPr>
      <w:r>
        <w:rPr>
          <w:rFonts w:ascii="Arial" w:cs="Arial" w:eastAsia="Arial" w:hAnsi="Arial"/>
          <w:color w:val="2C3E50"/>
          <w:sz w:val="22"/>
          <w:szCs w:val="22"/>
        </w:rPr>
        <w:t xml:space="preserve">Detailed funding amount and equity terms available upon request under NDA. The company is structured for a Series A raise following successful pilot validation in Year 1.</w:t>
      </w:r>
    </w:p>
    <w:p>
      <w:r>
        <w:br w:type="page"/>
      </w:r>
    </w:p>
    <w:p>
      <w:pPr>
        <w:pStyle w:val="Heading1"/>
        <w:spacing w:before="400" w:after="200"/>
      </w:pPr>
      <w:r>
        <w:rPr>
          <w:rFonts w:ascii="Arial" w:cs="Arial" w:eastAsia="Arial" w:hAnsi="Arial"/>
          <w:b/>
          <w:bCs/>
          <w:color w:val="1B4F72"/>
          <w:sz w:val="36"/>
          <w:szCs w:val="36"/>
        </w:rPr>
        <w:t xml:space="preserve">12. The IncidentStandard Doctrine</w:t>
      </w:r>
    </w:p>
    <w:p>
      <w:pPr>
        <w:spacing w:before="200" w:after="200"/>
        <w:jc w:val="center"/>
      </w:pPr>
      <w:r>
        <w:rPr>
          <w:rFonts w:ascii="Arial" w:cs="Arial" w:eastAsia="Arial" w:hAnsi="Arial"/>
          <w:b/>
          <w:bCs/>
          <w:i/>
          <w:iCs/>
          <w:color w:val="2E86C1"/>
          <w:sz w:val="28"/>
          <w:szCs w:val="28"/>
        </w:rPr>
        <w:t xml:space="preserve">"No employee should ever face an incident alone, unprepared, or unsupported."</w:t>
      </w:r>
    </w:p>
    <w:p>
      <w:pPr>
        <w:spacing w:before="100" w:after="100"/>
      </w:pPr>
      <w:r>
        <w:t xml:space="preserve"/>
      </w:r>
    </w:p>
    <w:p>
      <w:pPr>
        <w:spacing w:before="80" w:after="80"/>
      </w:pPr>
      <w:r>
        <w:rPr>
          <w:rFonts w:ascii="Arial" w:cs="Arial" w:eastAsia="Arial" w:hAnsi="Arial"/>
          <w:color w:val="2C3E50"/>
          <w:sz w:val="22"/>
          <w:szCs w:val="22"/>
        </w:rPr>
        <w:t xml:space="preserve">This is not a mission statement crafted for a pitch deck. It is the design philosophy baked into every pixel, every workflow, and every line of code in IncidentStandard. Every feature passes a single test before it is built: does this make an employee feel safer, calmer, and more supported?</w:t>
      </w:r>
    </w:p>
    <w:p>
      <w:pPr>
        <w:spacing w:before="100" w:after="100"/>
      </w:pPr>
      <w:r>
        <w:t xml:space="preserve"/>
      </w:r>
    </w:p>
    <w:p>
      <w:pPr>
        <w:spacing w:before="80" w:after="80"/>
      </w:pPr>
      <w:r>
        <w:rPr>
          <w:rFonts w:ascii="Arial" w:cs="Arial" w:eastAsia="Arial" w:hAnsi="Arial"/>
          <w:color w:val="2C3E50"/>
          <w:sz w:val="22"/>
          <w:szCs w:val="22"/>
        </w:rPr>
        <w:t xml:space="preserve">Most workplace safety tools are built for the company's protection. IncidentStandard is built for the employee. That distinction is our brand, our product, and our competitive advantage.</w:t>
      </w:r>
    </w:p>
    <w:p>
      <w:pPr>
        <w:spacing w:before="100" w:after="100"/>
      </w:pPr>
      <w:r>
        <w:t xml:space="preserve"/>
      </w:r>
    </w:p>
    <w:p>
      <w:pPr>
        <w:spacing w:before="80" w:after="80"/>
      </w:pPr>
      <w:r>
        <w:rPr>
          <w:rFonts w:ascii="Arial" w:cs="Arial" w:eastAsia="Arial" w:hAnsi="Arial"/>
          <w:color w:val="2C3E50"/>
          <w:sz w:val="22"/>
          <w:szCs w:val="22"/>
        </w:rPr>
        <w:t xml:space="preserve">When an employee registers on IncidentStandard for the first time, they see one message:</w:t>
      </w:r>
    </w:p>
    <w:p>
      <w:pPr>
        <w:spacing w:before="100" w:after="100"/>
      </w:pPr>
      <w:r>
        <w:t xml:space="preserve"/>
      </w:r>
    </w:p>
    <w:p>
      <w:pPr>
        <w:pBdr>
          <w:left w:val="single" w:color="2E86C1" w:sz="12" w:space="20"/>
        </w:pBdr>
        <w:spacing w:before="200" w:after="200"/>
        <w:jc w:val="center"/>
      </w:pPr>
      <w:r>
        <w:rPr>
          <w:rFonts w:ascii="Arial" w:cs="Arial" w:eastAsia="Arial" w:hAnsi="Arial"/>
          <w:b/>
          <w:bCs/>
          <w:i/>
          <w:iCs/>
          <w:color w:val="1B4F72"/>
          <w:sz w:val="26"/>
          <w:szCs w:val="26"/>
        </w:rPr>
        <w:t xml:space="preserve">You are now covered. Whatever happens at work — you are never alone.</w:t>
      </w:r>
    </w:p>
    <w:p>
      <w:pPr>
        <w:spacing w:before="100" w:after="100"/>
      </w:pPr>
      <w:r>
        <w:t xml:space="preserve"/>
      </w:r>
    </w:p>
    <w:p>
      <w:pPr>
        <w:spacing w:before="80" w:after="80"/>
      </w:pPr>
      <w:r>
        <w:rPr>
          <w:rFonts w:ascii="Arial" w:cs="Arial" w:eastAsia="Arial" w:hAnsi="Arial"/>
          <w:color w:val="2C3E50"/>
          <w:sz w:val="22"/>
          <w:szCs w:val="22"/>
        </w:rPr>
        <w:t xml:space="preserve">That promise, delivered to every employee of every organization on the platform, is the IncidentStandard difference. It is what will make this platform the global standard for workplace safety — not just a tool that companies buy, but a companion that employees trust.</w:t>
      </w:r>
    </w:p>
    <w:p>
      <w:pPr>
        <w:spacing w:before="100" w:after="100"/>
      </w:pPr>
      <w:r>
        <w:t xml:space="preserve"/>
      </w:r>
    </w:p>
    <w:p>
      <w:pPr>
        <w:spacing w:before="100" w:after="100"/>
      </w:pPr>
      <w:r>
        <w:t xml:space="preserve"/>
      </w:r>
    </w:p>
    <w:p>
      <w:pPr>
        <w:jc w:val="center"/>
      </w:pPr>
      <w:r>
        <w:rPr>
          <w:rFonts w:ascii="Arial" w:cs="Arial" w:eastAsia="Arial" w:hAnsi="Arial"/>
          <w:b/>
          <w:bCs/>
          <w:color w:val="1B4F72"/>
          <w:sz w:val="28"/>
          <w:szCs w:val="28"/>
        </w:rPr>
        <w:t xml:space="preserve">incidentstandard.com</w:t>
      </w:r>
    </w:p>
    <w:p>
      <w:pPr>
        <w:jc w:val="center"/>
      </w:pPr>
      <w:r>
        <w:rPr>
          <w:rFonts w:ascii="Arial" w:cs="Arial" w:eastAsia="Arial" w:hAnsi="Arial"/>
          <w:i/>
          <w:iCs/>
          <w:color w:val="2E86C1"/>
          <w:sz w:val="22"/>
          <w:szCs w:val="22"/>
        </w:rPr>
        <w:t xml:space="preserve">The Global Standard for Workplace Safety Intelligence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IncidentStandard.com  |  Confidential Business Plan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2026-03-09T06:16:26.945Z</dcterms:created>
  <dcterms:modified xsi:type="dcterms:W3CDTF">2026-03-09T06:16:26.945Z</dcterms:modified>
</cp:coreProperties>
</file>

<file path=docProps/custom.xml><?xml version="1.0" encoding="utf-8"?>
<Properties xmlns="http://schemas.openxmlformats.org/officeDocument/2006/custom-properties" xmlns:vt="http://schemas.openxmlformats.org/officeDocument/2006/docPropsVTypes"/>
</file>