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FA7DB" w14:textId="77777777" w:rsidR="004D549E" w:rsidRPr="004D549E" w:rsidRDefault="004D549E" w:rsidP="004D549E">
      <w:pPr>
        <w:pStyle w:val="Normal2"/>
        <w:spacing w:line="240" w:lineRule="auto"/>
        <w:rPr>
          <w:rFonts w:ascii="Helvetica Neue" w:eastAsia="Helvetica Neue" w:hAnsi="Helvetica Neue" w:cs="Helvetica Neue"/>
          <w:b/>
          <w:color w:val="263238"/>
          <w:sz w:val="24"/>
          <w:szCs w:val="24"/>
          <w:highlight w:val="white"/>
        </w:rPr>
      </w:pPr>
      <w:r w:rsidRPr="004D549E">
        <w:rPr>
          <w:rFonts w:ascii="Helvetica Neue" w:eastAsia="Helvetica Neue" w:hAnsi="Helvetica Neue" w:cs="Helvetica Neue"/>
          <w:b/>
          <w:color w:val="263238"/>
          <w:sz w:val="24"/>
          <w:szCs w:val="24"/>
          <w:highlight w:val="white"/>
        </w:rPr>
        <w:t>FIGURES</w:t>
      </w:r>
    </w:p>
    <w:p w14:paraId="7F174935" w14:textId="77777777" w:rsidR="004D549E" w:rsidRPr="004D549E" w:rsidRDefault="004D549E" w:rsidP="004D549E">
      <w:pPr>
        <w:pStyle w:val="Normal2"/>
        <w:spacing w:line="240" w:lineRule="auto"/>
        <w:rPr>
          <w:rFonts w:ascii="Helvetica Neue" w:eastAsia="Helvetica Neue" w:hAnsi="Helvetica Neue" w:cs="Helvetica Neue"/>
          <w:b/>
          <w:color w:val="263238"/>
          <w:sz w:val="24"/>
          <w:szCs w:val="24"/>
          <w:highlight w:val="white"/>
        </w:rPr>
      </w:pPr>
    </w:p>
    <w:p w14:paraId="3B606F7D" w14:textId="77777777" w:rsidR="004D549E" w:rsidRPr="004D549E" w:rsidRDefault="004D549E" w:rsidP="004D549E">
      <w:pPr>
        <w:pStyle w:val="Normal2"/>
        <w:spacing w:line="240" w:lineRule="auto"/>
        <w:rPr>
          <w:rFonts w:ascii="Helvetica Neue" w:eastAsia="Helvetica Neue" w:hAnsi="Helvetica Neue" w:cs="Helvetica Neue"/>
          <w:color w:val="263238"/>
          <w:sz w:val="24"/>
          <w:szCs w:val="24"/>
          <w:highlight w:val="white"/>
        </w:rPr>
      </w:pPr>
      <w:r w:rsidRPr="004D549E">
        <w:rPr>
          <w:rFonts w:ascii="Helvetica Neue" w:eastAsia="Helvetica Neue" w:hAnsi="Helvetica Neue" w:cs="Helvetica Neue"/>
          <w:b/>
          <w:color w:val="263238"/>
          <w:sz w:val="24"/>
          <w:szCs w:val="24"/>
        </w:rPr>
        <w:t>Figure 1</w:t>
      </w:r>
      <w:r w:rsidRPr="004D549E">
        <w:rPr>
          <w:rFonts w:ascii="Helvetica Neue" w:eastAsia="Helvetica Neue" w:hAnsi="Helvetica Neue" w:cs="Helvetica Neue"/>
          <w:color w:val="263238"/>
          <w:sz w:val="24"/>
          <w:szCs w:val="24"/>
        </w:rPr>
        <w:t xml:space="preserve">: </w:t>
      </w:r>
      <w:r w:rsidRPr="004D549E">
        <w:rPr>
          <w:rFonts w:ascii="Helvetica Neue" w:eastAsia="Helvetica Neue" w:hAnsi="Helvetica Neue" w:cs="Helvetica Neue"/>
          <w:b/>
          <w:color w:val="263238"/>
          <w:sz w:val="24"/>
          <w:szCs w:val="24"/>
        </w:rPr>
        <w:t>Annual reported cases of Lyme disease. By state from 2006–-2017 (left) and by counties in Pennsylvania from 2006–-2017 (right)</w:t>
      </w:r>
      <w:r w:rsidRPr="004D549E">
        <w:rPr>
          <w:rFonts w:ascii="Helvetica Neue" w:eastAsia="Helvetica Neue" w:hAnsi="Helvetica Neue" w:cs="Helvetica Neue"/>
          <w:color w:val="263238"/>
          <w:sz w:val="24"/>
          <w:szCs w:val="24"/>
        </w:rPr>
        <w:t xml:space="preserve">. Public data from </w:t>
      </w:r>
      <w:r w:rsidRPr="004D549E">
        <w:rPr>
          <w:rFonts w:ascii="Helvetica Neue" w:eastAsia="Helvetica Neue" w:hAnsi="Helvetica Neue" w:cs="Helvetica Neue"/>
          <w:color w:val="494949"/>
          <w:sz w:val="24"/>
          <w:szCs w:val="24"/>
          <w:highlight w:val="white"/>
        </w:rPr>
        <w:t>Centers for Disease Control and Prevention</w:t>
      </w:r>
      <w:r w:rsidRPr="004D549E">
        <w:rPr>
          <w:rFonts w:ascii="Helvetica Neue" w:eastAsia="Helvetica Neue" w:hAnsi="Helvetica Neue" w:cs="Helvetica Neue"/>
          <w:color w:val="263238"/>
          <w:sz w:val="24"/>
          <w:szCs w:val="24"/>
        </w:rPr>
        <w:t>.</w:t>
      </w:r>
    </w:p>
    <w:p w14:paraId="7DA1E459" w14:textId="77777777" w:rsidR="004D549E" w:rsidRPr="004D549E" w:rsidRDefault="004D549E" w:rsidP="004D549E">
      <w:pPr>
        <w:pStyle w:val="Normal1"/>
        <w:pBdr>
          <w:top w:val="nil"/>
          <w:left w:val="nil"/>
          <w:bottom w:val="nil"/>
          <w:right w:val="nil"/>
          <w:between w:val="nil"/>
        </w:pBdr>
        <w:rPr>
          <w:rFonts w:ascii="Helvetica Neue" w:eastAsia="Helvetica Neue" w:hAnsi="Helvetica Neue" w:cs="Helvetica Neue"/>
          <w:color w:val="000000"/>
          <w:sz w:val="24"/>
          <w:szCs w:val="24"/>
        </w:rPr>
      </w:pPr>
    </w:p>
    <w:p w14:paraId="46C237A6" w14:textId="77777777" w:rsidR="004D549E" w:rsidRPr="004D549E" w:rsidRDefault="004D549E" w:rsidP="004D549E">
      <w:pPr>
        <w:pStyle w:val="Normal1"/>
        <w:pBdr>
          <w:top w:val="nil"/>
          <w:left w:val="nil"/>
          <w:bottom w:val="nil"/>
          <w:right w:val="nil"/>
          <w:between w:val="nil"/>
        </w:pBdr>
        <w:rPr>
          <w:rFonts w:ascii="Helvetica Neue" w:eastAsia="Helvetica Neue" w:hAnsi="Helvetica Neue" w:cs="Helvetica Neue"/>
          <w:color w:val="000000"/>
          <w:sz w:val="24"/>
          <w:szCs w:val="24"/>
        </w:rPr>
      </w:pPr>
      <w:r w:rsidRPr="004D549E">
        <w:rPr>
          <w:rFonts w:ascii="Helvetica Neue" w:eastAsia="Helvetica Neue" w:hAnsi="Helvetica Neue" w:cs="Helvetica Neue"/>
          <w:b/>
          <w:color w:val="000000"/>
          <w:sz w:val="24"/>
          <w:szCs w:val="24"/>
        </w:rPr>
        <w:t>Figure 2: Distribution of the five most abundant tick species across Pennsylvania over time</w:t>
      </w:r>
      <w:r w:rsidRPr="004D549E">
        <w:rPr>
          <w:rFonts w:ascii="Helvetica Neue" w:eastAsia="Helvetica Neue" w:hAnsi="Helvetica Neue" w:cs="Helvetica Neue"/>
          <w:color w:val="000000"/>
          <w:sz w:val="24"/>
          <w:szCs w:val="24"/>
        </w:rPr>
        <w:t>.  Prevalence rates (</w:t>
      </w:r>
      <w:r w:rsidRPr="004D549E">
        <w:rPr>
          <w:rFonts w:ascii="Helvetica Neue" w:eastAsia="Helvetica Neue" w:hAnsi="Helvetica Neue" w:cs="Helvetica Neue"/>
          <w:sz w:val="24"/>
          <w:szCs w:val="24"/>
          <w:highlight w:val="white"/>
        </w:rPr>
        <w:t xml:space="preserve">tick counts per 100,000 population, </w:t>
      </w:r>
      <w:r w:rsidRPr="004D549E">
        <w:rPr>
          <w:rFonts w:ascii="Helvetica Neue" w:eastAsia="Helvetica Neue" w:hAnsi="Helvetica Neue" w:cs="Helvetica Neue"/>
          <w:color w:val="000000"/>
          <w:sz w:val="24"/>
          <w:szCs w:val="24"/>
        </w:rPr>
        <w:t xml:space="preserve">left) represent tick abundance adjusted by county population for time periods 1960-1969, 1990-1999, 2000-2009, and 2010-2018. Cumulative counts of ticks by species shown on the right.   </w:t>
      </w:r>
    </w:p>
    <w:p w14:paraId="23DDA4F6" w14:textId="77777777" w:rsidR="004D549E" w:rsidRPr="004D549E" w:rsidRDefault="004D549E" w:rsidP="004D549E">
      <w:pPr>
        <w:pStyle w:val="Normal1"/>
        <w:pBdr>
          <w:top w:val="nil"/>
          <w:left w:val="nil"/>
          <w:bottom w:val="nil"/>
          <w:right w:val="nil"/>
          <w:between w:val="nil"/>
        </w:pBdr>
        <w:rPr>
          <w:rFonts w:ascii="Helvetica Neue" w:eastAsia="Helvetica Neue" w:hAnsi="Helvetica Neue" w:cs="Helvetica Neue"/>
          <w:color w:val="000000"/>
          <w:sz w:val="24"/>
          <w:szCs w:val="24"/>
        </w:rPr>
      </w:pPr>
    </w:p>
    <w:p w14:paraId="090E3A0D" w14:textId="77777777" w:rsidR="004D549E" w:rsidRPr="004D549E" w:rsidRDefault="004D549E" w:rsidP="004D549E">
      <w:pPr>
        <w:pStyle w:val="Normal1"/>
        <w:pBdr>
          <w:top w:val="nil"/>
          <w:left w:val="nil"/>
          <w:bottom w:val="nil"/>
          <w:right w:val="nil"/>
          <w:between w:val="nil"/>
        </w:pBdr>
        <w:rPr>
          <w:rFonts w:ascii="Helvetica Neue" w:eastAsia="Helvetica Neue" w:hAnsi="Helvetica Neue" w:cs="Helvetica Neue"/>
          <w:color w:val="000000"/>
          <w:sz w:val="24"/>
          <w:szCs w:val="24"/>
        </w:rPr>
      </w:pPr>
      <w:r w:rsidRPr="004D549E">
        <w:rPr>
          <w:rFonts w:ascii="Helvetica Neue" w:eastAsia="Helvetica Neue" w:hAnsi="Helvetica Neue" w:cs="Helvetica Neue"/>
          <w:b/>
          <w:color w:val="000000"/>
          <w:sz w:val="24"/>
          <w:szCs w:val="24"/>
        </w:rPr>
        <w:t xml:space="preserve">Figure 3:  Annual submissions of tick specimens by year. </w:t>
      </w:r>
      <w:r w:rsidRPr="004D549E">
        <w:rPr>
          <w:rFonts w:ascii="Helvetica Neue" w:eastAsia="Helvetica Neue" w:hAnsi="Helvetica Neue" w:cs="Helvetica Neue"/>
          <w:color w:val="000000"/>
          <w:sz w:val="24"/>
          <w:szCs w:val="24"/>
        </w:rPr>
        <w:t>On the left is the annual sum of all tick counts (log-transformed) from 1900 to 2017. On the right are the proportional contribution of the five major tick species to the total tick counts (1900</w:t>
      </w:r>
      <w:r w:rsidRPr="004D549E">
        <w:rPr>
          <w:rFonts w:ascii="Helvetica Neue" w:eastAsia="Helvetica Neue" w:hAnsi="Helvetica Neue" w:cs="Helvetica Neue"/>
          <w:sz w:val="24"/>
          <w:szCs w:val="24"/>
        </w:rPr>
        <w:t>–</w:t>
      </w:r>
      <w:r w:rsidRPr="004D549E">
        <w:rPr>
          <w:rFonts w:ascii="Helvetica Neue" w:eastAsia="Helvetica Neue" w:hAnsi="Helvetica Neue" w:cs="Helvetica Neue"/>
          <w:color w:val="000000"/>
          <w:sz w:val="24"/>
          <w:szCs w:val="24"/>
        </w:rPr>
        <w:t xml:space="preserve">2017). The grey shaded area represent area where there were no few or no tick submissions from the top five most abundant taxa.  </w:t>
      </w:r>
    </w:p>
    <w:p w14:paraId="01D5BF8C" w14:textId="77777777" w:rsidR="004D549E" w:rsidRPr="004D549E" w:rsidRDefault="004D549E" w:rsidP="004D549E">
      <w:pPr>
        <w:pStyle w:val="Normal1"/>
        <w:pBdr>
          <w:top w:val="nil"/>
          <w:left w:val="nil"/>
          <w:bottom w:val="nil"/>
          <w:right w:val="nil"/>
          <w:between w:val="nil"/>
        </w:pBdr>
        <w:rPr>
          <w:rFonts w:ascii="Helvetica Neue" w:eastAsia="Helvetica Neue" w:hAnsi="Helvetica Neue" w:cs="Helvetica Neue"/>
          <w:color w:val="000000"/>
          <w:sz w:val="24"/>
          <w:szCs w:val="24"/>
        </w:rPr>
      </w:pPr>
    </w:p>
    <w:p w14:paraId="00220188" w14:textId="77777777" w:rsidR="004D549E" w:rsidRPr="004D549E" w:rsidRDefault="004D549E" w:rsidP="004D549E">
      <w:pPr>
        <w:pStyle w:val="Normal1"/>
        <w:pBdr>
          <w:top w:val="nil"/>
          <w:left w:val="nil"/>
          <w:bottom w:val="nil"/>
          <w:right w:val="nil"/>
          <w:between w:val="nil"/>
        </w:pBdr>
        <w:rPr>
          <w:rFonts w:ascii="Helvetica Neue" w:eastAsia="Helvetica Neue" w:hAnsi="Helvetica Neue" w:cs="Helvetica Neue"/>
          <w:color w:val="000000"/>
          <w:sz w:val="24"/>
          <w:szCs w:val="24"/>
        </w:rPr>
      </w:pPr>
      <w:r w:rsidRPr="004D549E">
        <w:rPr>
          <w:rFonts w:ascii="Helvetica Neue" w:eastAsia="Helvetica Neue" w:hAnsi="Helvetica Neue" w:cs="Helvetica Neue"/>
          <w:b/>
          <w:color w:val="000000"/>
          <w:sz w:val="24"/>
          <w:szCs w:val="24"/>
        </w:rPr>
        <w:t xml:space="preserve">Figure </w:t>
      </w:r>
      <w:r w:rsidRPr="004D549E">
        <w:rPr>
          <w:rFonts w:ascii="Helvetica Neue" w:eastAsia="Helvetica Neue" w:hAnsi="Helvetica Neue" w:cs="Helvetica Neue"/>
          <w:b/>
          <w:sz w:val="24"/>
          <w:szCs w:val="24"/>
        </w:rPr>
        <w:t>4</w:t>
      </w:r>
      <w:r w:rsidRPr="004D549E">
        <w:rPr>
          <w:rFonts w:ascii="Helvetica Neue" w:eastAsia="Helvetica Neue" w:hAnsi="Helvetica Neue" w:cs="Helvetica Neue"/>
          <w:b/>
          <w:color w:val="000000"/>
          <w:sz w:val="24"/>
          <w:szCs w:val="24"/>
        </w:rPr>
        <w:t>:</w:t>
      </w:r>
      <w:r w:rsidRPr="004D549E">
        <w:rPr>
          <w:rFonts w:ascii="Helvetica Neue" w:eastAsia="Helvetica Neue" w:hAnsi="Helvetica Neue" w:cs="Helvetica Neue"/>
          <w:color w:val="000000"/>
          <w:sz w:val="24"/>
          <w:szCs w:val="24"/>
        </w:rPr>
        <w:t xml:space="preserve"> </w:t>
      </w:r>
      <w:r w:rsidRPr="004D549E">
        <w:rPr>
          <w:rFonts w:ascii="Helvetica Neue" w:eastAsia="Helvetica Neue" w:hAnsi="Helvetica Neue" w:cs="Helvetica Neue"/>
          <w:b/>
          <w:color w:val="000000"/>
          <w:sz w:val="24"/>
          <w:szCs w:val="24"/>
        </w:rPr>
        <w:t>Seasonal distribution of tick submissions over time.</w:t>
      </w:r>
      <w:r w:rsidRPr="004D549E">
        <w:rPr>
          <w:rFonts w:ascii="Helvetica Neue" w:eastAsia="Helvetica Neue" w:hAnsi="Helvetica Neue" w:cs="Helvetica Neue"/>
          <w:color w:val="000000"/>
          <w:sz w:val="24"/>
          <w:szCs w:val="24"/>
        </w:rPr>
        <w:t xml:space="preserve"> On the left is the total proportion of tick specimens received at different months of the years from 1900 to 2017. On the right are the proportional seasonal abundance of each of the five major tick species (1900</w:t>
      </w:r>
      <w:r w:rsidRPr="004D549E">
        <w:rPr>
          <w:rFonts w:ascii="Helvetica Neue" w:eastAsia="Helvetica Neue" w:hAnsi="Helvetica Neue" w:cs="Helvetica Neue"/>
          <w:sz w:val="24"/>
          <w:szCs w:val="24"/>
        </w:rPr>
        <w:t>–</w:t>
      </w:r>
      <w:r w:rsidRPr="004D549E">
        <w:rPr>
          <w:rFonts w:ascii="Helvetica Neue" w:eastAsia="Helvetica Neue" w:hAnsi="Helvetica Neue" w:cs="Helvetica Neue"/>
          <w:color w:val="000000"/>
          <w:sz w:val="24"/>
          <w:szCs w:val="24"/>
        </w:rPr>
        <w:t>2017).</w:t>
      </w:r>
    </w:p>
    <w:p w14:paraId="33A15D35" w14:textId="77777777" w:rsidR="004D549E" w:rsidRPr="004D549E" w:rsidRDefault="004D549E" w:rsidP="004D549E">
      <w:pPr>
        <w:pStyle w:val="Normal1"/>
        <w:pBdr>
          <w:top w:val="nil"/>
          <w:left w:val="nil"/>
          <w:bottom w:val="nil"/>
          <w:right w:val="nil"/>
          <w:between w:val="nil"/>
        </w:pBdr>
        <w:rPr>
          <w:rFonts w:ascii="Helvetica Neue" w:eastAsia="Helvetica Neue" w:hAnsi="Helvetica Neue" w:cs="Helvetica Neue"/>
          <w:color w:val="000000"/>
          <w:sz w:val="24"/>
          <w:szCs w:val="24"/>
        </w:rPr>
      </w:pPr>
    </w:p>
    <w:p w14:paraId="50817777" w14:textId="77777777" w:rsidR="004D549E" w:rsidRPr="004D549E" w:rsidRDefault="004D549E" w:rsidP="004D549E">
      <w:pPr>
        <w:pStyle w:val="Normal2"/>
        <w:spacing w:line="240" w:lineRule="auto"/>
        <w:rPr>
          <w:rFonts w:ascii="Helvetica Neue" w:eastAsia="Helvetica Neue" w:hAnsi="Helvetica Neue" w:cs="Helvetica Neue"/>
          <w:sz w:val="24"/>
          <w:szCs w:val="24"/>
        </w:rPr>
      </w:pPr>
      <w:r w:rsidRPr="004D549E">
        <w:rPr>
          <w:rFonts w:ascii="Helvetica Neue" w:eastAsia="Helvetica Neue" w:hAnsi="Helvetica Neue" w:cs="Helvetica Neue"/>
          <w:b/>
          <w:color w:val="000000"/>
          <w:sz w:val="24"/>
          <w:szCs w:val="24"/>
        </w:rPr>
        <w:t xml:space="preserve">Figure </w:t>
      </w:r>
      <w:r w:rsidRPr="004D549E">
        <w:rPr>
          <w:rFonts w:ascii="Helvetica Neue" w:eastAsia="Helvetica Neue" w:hAnsi="Helvetica Neue" w:cs="Helvetica Neue"/>
          <w:b/>
          <w:sz w:val="24"/>
          <w:szCs w:val="24"/>
        </w:rPr>
        <w:t>5</w:t>
      </w:r>
      <w:r w:rsidRPr="004D549E">
        <w:rPr>
          <w:rFonts w:ascii="Helvetica Neue" w:eastAsia="Helvetica Neue" w:hAnsi="Helvetica Neue" w:cs="Helvetica Neue"/>
          <w:color w:val="000000"/>
          <w:sz w:val="24"/>
          <w:szCs w:val="24"/>
        </w:rPr>
        <w:t xml:space="preserve">: </w:t>
      </w:r>
      <w:r w:rsidRPr="004D549E">
        <w:rPr>
          <w:rFonts w:ascii="Helvetica Neue" w:eastAsia="Helvetica Neue" w:hAnsi="Helvetica Neue" w:cs="Helvetica Neue"/>
          <w:b/>
          <w:color w:val="000000"/>
          <w:sz w:val="24"/>
          <w:szCs w:val="24"/>
        </w:rPr>
        <w:t xml:space="preserve">The seasonal distribution of </w:t>
      </w:r>
      <w:r w:rsidRPr="004D549E">
        <w:rPr>
          <w:rFonts w:ascii="Helvetica Neue" w:eastAsia="Helvetica Neue" w:hAnsi="Helvetica Neue" w:cs="Helvetica Neue"/>
          <w:b/>
          <w:i/>
          <w:color w:val="000000"/>
          <w:sz w:val="24"/>
          <w:szCs w:val="24"/>
        </w:rPr>
        <w:t>D. variabilis</w:t>
      </w:r>
      <w:r w:rsidRPr="004D549E">
        <w:rPr>
          <w:rFonts w:ascii="Helvetica Neue" w:eastAsia="Helvetica Neue" w:hAnsi="Helvetica Neue" w:cs="Helvetica Neue"/>
          <w:b/>
          <w:color w:val="000000"/>
          <w:sz w:val="24"/>
          <w:szCs w:val="24"/>
        </w:rPr>
        <w:t xml:space="preserve">, </w:t>
      </w:r>
      <w:r w:rsidRPr="004D549E">
        <w:rPr>
          <w:rFonts w:ascii="Helvetica Neue" w:eastAsia="Helvetica Neue" w:hAnsi="Helvetica Neue" w:cs="Helvetica Neue"/>
          <w:b/>
          <w:i/>
          <w:color w:val="000000"/>
          <w:sz w:val="24"/>
          <w:szCs w:val="24"/>
        </w:rPr>
        <w:t>I. cookei</w:t>
      </w:r>
      <w:r w:rsidRPr="004D549E">
        <w:rPr>
          <w:rFonts w:ascii="Helvetica Neue" w:eastAsia="Helvetica Neue" w:hAnsi="Helvetica Neue" w:cs="Helvetica Neue"/>
          <w:b/>
          <w:color w:val="000000"/>
          <w:sz w:val="24"/>
          <w:szCs w:val="24"/>
        </w:rPr>
        <w:t xml:space="preserve">, </w:t>
      </w:r>
      <w:r w:rsidRPr="004D549E">
        <w:rPr>
          <w:rFonts w:ascii="Helvetica Neue" w:eastAsia="Helvetica Neue" w:hAnsi="Helvetica Neue" w:cs="Helvetica Neue"/>
          <w:b/>
          <w:i/>
          <w:color w:val="000000"/>
          <w:sz w:val="24"/>
          <w:szCs w:val="24"/>
        </w:rPr>
        <w:t>and I. scapularis</w:t>
      </w:r>
      <w:r w:rsidRPr="004D549E">
        <w:rPr>
          <w:rFonts w:ascii="Helvetica Neue" w:eastAsia="Helvetica Neue" w:hAnsi="Helvetica Neue" w:cs="Helvetica Neue"/>
          <w:b/>
          <w:color w:val="000000"/>
          <w:sz w:val="24"/>
          <w:szCs w:val="24"/>
        </w:rPr>
        <w:t xml:space="preserve"> specimens by life stages from 1900-2017.</w:t>
      </w:r>
      <w:r w:rsidRPr="004D549E">
        <w:rPr>
          <w:rFonts w:ascii="Helvetica Neue" w:eastAsia="Helvetica Neue" w:hAnsi="Helvetica Neue" w:cs="Helvetica Neue"/>
          <w:sz w:val="24"/>
          <w:szCs w:val="24"/>
        </w:rPr>
        <w:t xml:space="preserve"> Proportion was calculated by comparing the monthly abundance of each life stage (larvae, nymphs, adults) to the cumulative sum of all stages by species.  </w:t>
      </w:r>
    </w:p>
    <w:p w14:paraId="11D0E92C" w14:textId="77777777" w:rsidR="004D549E" w:rsidRPr="004D549E" w:rsidRDefault="004D549E" w:rsidP="004D549E">
      <w:pPr>
        <w:rPr>
          <w:rFonts w:ascii="Helvetica Neue" w:hAnsi="Helvetica Neue"/>
          <w:sz w:val="24"/>
          <w:szCs w:val="24"/>
        </w:rPr>
      </w:pPr>
    </w:p>
    <w:p w14:paraId="168E07C4" w14:textId="77777777" w:rsidR="004D549E" w:rsidRPr="004D549E" w:rsidRDefault="004D549E" w:rsidP="004D549E">
      <w:pPr>
        <w:pStyle w:val="Normal2"/>
        <w:spacing w:line="240" w:lineRule="auto"/>
        <w:rPr>
          <w:rFonts w:ascii="Helvetica Neue" w:eastAsia="Helvetica Neue" w:hAnsi="Helvetica Neue" w:cs="Helvetica Neue"/>
          <w:color w:val="000000"/>
          <w:sz w:val="24"/>
          <w:szCs w:val="24"/>
        </w:rPr>
      </w:pPr>
      <w:r w:rsidRPr="004D549E">
        <w:rPr>
          <w:rFonts w:ascii="Helvetica Neue" w:eastAsia="Helvetica Neue" w:hAnsi="Helvetica Neue" w:cs="Helvetica Neue"/>
          <w:b/>
          <w:color w:val="000000"/>
          <w:sz w:val="24"/>
          <w:szCs w:val="24"/>
        </w:rPr>
        <w:t>Figure 6: Chord diagram representing associations between tick species and vertebrate hosts parasitized</w:t>
      </w:r>
      <w:r w:rsidRPr="004D549E">
        <w:rPr>
          <w:rFonts w:ascii="Helvetica Neue" w:eastAsia="Helvetica Neue" w:hAnsi="Helvetica Neue" w:cs="Helvetica Neue"/>
          <w:b/>
          <w:sz w:val="24"/>
          <w:szCs w:val="24"/>
        </w:rPr>
        <w:t>.</w:t>
      </w:r>
      <w:r w:rsidRPr="004D549E">
        <w:rPr>
          <w:rFonts w:ascii="Helvetica Neue" w:eastAsia="Helvetica Neue" w:hAnsi="Helvetica Neue" w:cs="Helvetica Neue"/>
          <w:sz w:val="24"/>
          <w:szCs w:val="24"/>
        </w:rPr>
        <w:t xml:space="preserve"> Submissions (not counts) were used to quantify host association.  We chose submissions over counts to avoid a skew in abundance by host. The wider the chord, the more submissions exist for any given tick species-to-host.</w:t>
      </w:r>
    </w:p>
    <w:p w14:paraId="61CCA851" w14:textId="77777777" w:rsidR="004D549E" w:rsidRPr="004D549E" w:rsidRDefault="004D549E" w:rsidP="004D549E">
      <w:pPr>
        <w:pStyle w:val="Normal2"/>
        <w:spacing w:line="240" w:lineRule="auto"/>
        <w:rPr>
          <w:rFonts w:ascii="Helvetica Neue" w:eastAsia="Helvetica Neue" w:hAnsi="Helvetica Neue" w:cs="Helvetica Neue"/>
          <w:color w:val="333333"/>
          <w:sz w:val="24"/>
          <w:szCs w:val="24"/>
          <w:highlight w:val="white"/>
        </w:rPr>
      </w:pPr>
    </w:p>
    <w:p w14:paraId="03621B86" w14:textId="77777777" w:rsidR="004D549E" w:rsidRPr="004D549E" w:rsidRDefault="004D549E" w:rsidP="004D549E">
      <w:pPr>
        <w:pStyle w:val="Normal2"/>
        <w:spacing w:line="240" w:lineRule="auto"/>
        <w:rPr>
          <w:rFonts w:ascii="Helvetica Neue" w:eastAsia="Helvetica Neue" w:hAnsi="Helvetica Neue" w:cs="Helvetica Neue"/>
          <w:color w:val="333333"/>
          <w:sz w:val="24"/>
          <w:szCs w:val="24"/>
          <w:highlight w:val="white"/>
        </w:rPr>
      </w:pPr>
    </w:p>
    <w:p w14:paraId="65C68CF7" w14:textId="77777777" w:rsidR="004D549E" w:rsidRPr="004D549E" w:rsidRDefault="004D549E" w:rsidP="004D549E">
      <w:pPr>
        <w:pStyle w:val="Normal2"/>
        <w:spacing w:line="240" w:lineRule="auto"/>
        <w:rPr>
          <w:rFonts w:ascii="Helvetica Neue" w:eastAsia="Helvetica Neue" w:hAnsi="Helvetica Neue" w:cs="Helvetica Neue"/>
          <w:b/>
          <w:color w:val="333333"/>
          <w:sz w:val="24"/>
          <w:szCs w:val="24"/>
          <w:highlight w:val="white"/>
        </w:rPr>
      </w:pPr>
      <w:r w:rsidRPr="004D549E">
        <w:rPr>
          <w:rFonts w:ascii="Helvetica Neue" w:eastAsia="Helvetica Neue" w:hAnsi="Helvetica Neue" w:cs="Helvetica Neue"/>
          <w:b/>
          <w:color w:val="333333"/>
          <w:sz w:val="24"/>
          <w:szCs w:val="24"/>
          <w:highlight w:val="white"/>
        </w:rPr>
        <w:t>SUPPLEMENTARY FIGURES</w:t>
      </w:r>
    </w:p>
    <w:p w14:paraId="0D1ABCCB" w14:textId="77777777" w:rsidR="004D549E" w:rsidRPr="004D549E" w:rsidRDefault="004D549E" w:rsidP="004D549E">
      <w:pPr>
        <w:pStyle w:val="Normal2"/>
        <w:spacing w:line="240" w:lineRule="auto"/>
        <w:rPr>
          <w:rFonts w:ascii="Helvetica Neue" w:eastAsia="Helvetica Neue" w:hAnsi="Helvetica Neue" w:cs="Helvetica Neue"/>
          <w:b/>
          <w:color w:val="333333"/>
          <w:sz w:val="24"/>
          <w:szCs w:val="24"/>
          <w:highlight w:val="white"/>
        </w:rPr>
      </w:pPr>
    </w:p>
    <w:p w14:paraId="55C98226" w14:textId="77777777" w:rsidR="004D549E" w:rsidRPr="004D549E" w:rsidRDefault="004D549E" w:rsidP="004D549E">
      <w:pPr>
        <w:pStyle w:val="Normal2"/>
        <w:spacing w:line="240" w:lineRule="auto"/>
        <w:rPr>
          <w:rFonts w:ascii="Helvetica Neue" w:eastAsia="Helvetica Neue" w:hAnsi="Helvetica Neue" w:cs="Helvetica Neue"/>
          <w:sz w:val="24"/>
          <w:szCs w:val="24"/>
          <w:highlight w:val="white"/>
        </w:rPr>
      </w:pPr>
      <w:r w:rsidRPr="004D549E">
        <w:rPr>
          <w:rFonts w:ascii="Helvetica Neue" w:eastAsia="Helvetica Neue" w:hAnsi="Helvetica Neue" w:cs="Helvetica Neue"/>
          <w:b/>
          <w:sz w:val="24"/>
          <w:szCs w:val="24"/>
          <w:highlight w:val="white"/>
        </w:rPr>
        <w:t>Figure S1</w:t>
      </w:r>
      <w:r w:rsidRPr="004D549E">
        <w:rPr>
          <w:rFonts w:ascii="Helvetica Neue" w:eastAsia="Helvetica Neue" w:hAnsi="Helvetica Neue" w:cs="Helvetica Neue"/>
          <w:sz w:val="24"/>
          <w:szCs w:val="24"/>
          <w:highlight w:val="white"/>
        </w:rPr>
        <w:t xml:space="preserve">: </w:t>
      </w:r>
      <w:r w:rsidRPr="004D549E">
        <w:rPr>
          <w:rFonts w:ascii="Helvetica Neue" w:eastAsia="Helvetica Neue" w:hAnsi="Helvetica Neue" w:cs="Helvetica Neue"/>
          <w:b/>
          <w:sz w:val="24"/>
          <w:szCs w:val="24"/>
          <w:highlight w:val="white"/>
        </w:rPr>
        <w:t>Total population of Pennsylvania counties over time.</w:t>
      </w:r>
      <w:r w:rsidRPr="004D549E">
        <w:rPr>
          <w:rFonts w:ascii="Helvetica Neue" w:eastAsia="Helvetica Neue" w:hAnsi="Helvetica Neue" w:cs="Helvetica Neue"/>
          <w:sz w:val="24"/>
          <w:szCs w:val="24"/>
          <w:highlight w:val="white"/>
        </w:rPr>
        <w:t xml:space="preserve"> Data taken from the US Census for 1960, 1990, 2000, and 2010.</w:t>
      </w:r>
    </w:p>
    <w:p w14:paraId="2E92D3CE" w14:textId="77777777" w:rsidR="004D549E" w:rsidRPr="004D549E" w:rsidRDefault="004D549E" w:rsidP="004D549E">
      <w:pPr>
        <w:pStyle w:val="Normal2"/>
        <w:spacing w:line="240" w:lineRule="auto"/>
        <w:rPr>
          <w:rFonts w:ascii="Helvetica Neue" w:eastAsia="Helvetica Neue" w:hAnsi="Helvetica Neue" w:cs="Helvetica Neue"/>
          <w:b/>
          <w:sz w:val="24"/>
          <w:szCs w:val="24"/>
          <w:highlight w:val="white"/>
        </w:rPr>
      </w:pPr>
    </w:p>
    <w:p w14:paraId="51D4642B" w14:textId="77777777" w:rsidR="004D549E" w:rsidRPr="004D549E" w:rsidRDefault="004D549E" w:rsidP="004D549E">
      <w:pPr>
        <w:pStyle w:val="Normal2"/>
        <w:spacing w:line="240" w:lineRule="auto"/>
        <w:rPr>
          <w:rFonts w:ascii="Helvetica Neue" w:eastAsia="Helvetica Neue" w:hAnsi="Helvetica Neue" w:cs="Helvetica Neue"/>
          <w:sz w:val="24"/>
          <w:szCs w:val="24"/>
          <w:highlight w:val="white"/>
        </w:rPr>
      </w:pPr>
      <w:r w:rsidRPr="004D549E">
        <w:rPr>
          <w:rFonts w:ascii="Helvetica Neue" w:eastAsia="Helvetica Neue" w:hAnsi="Helvetica Neue" w:cs="Helvetica Neue"/>
          <w:b/>
          <w:sz w:val="24"/>
          <w:szCs w:val="24"/>
          <w:highlight w:val="white"/>
        </w:rPr>
        <w:t>Figure S2: Dot-density map of all individual tick specimens across Pennsylvania from 1900–2017</w:t>
      </w:r>
      <w:r w:rsidRPr="004D549E">
        <w:rPr>
          <w:rFonts w:ascii="Helvetica Neue" w:eastAsia="Helvetica Neue" w:hAnsi="Helvetica Neue" w:cs="Helvetica Neue"/>
          <w:sz w:val="24"/>
          <w:szCs w:val="24"/>
          <w:highlight w:val="white"/>
        </w:rPr>
        <w:t>. Each point represents an individual tick specimen with its placement randomized within the county and each colored dot represents a different tick species.</w:t>
      </w:r>
    </w:p>
    <w:p w14:paraId="5C13B9C2" w14:textId="77777777" w:rsidR="004D549E" w:rsidRPr="004D549E" w:rsidRDefault="004D549E" w:rsidP="004D549E">
      <w:pPr>
        <w:pStyle w:val="Normal2"/>
        <w:spacing w:line="240" w:lineRule="auto"/>
        <w:rPr>
          <w:rFonts w:ascii="Helvetica Neue" w:eastAsia="Helvetica Neue" w:hAnsi="Helvetica Neue" w:cs="Helvetica Neue"/>
          <w:sz w:val="24"/>
          <w:szCs w:val="24"/>
          <w:highlight w:val="white"/>
        </w:rPr>
      </w:pPr>
    </w:p>
    <w:p w14:paraId="7BCA3624" w14:textId="6A46BAE4" w:rsidR="004D549E" w:rsidRDefault="004D549E" w:rsidP="004D549E">
      <w:pPr>
        <w:pStyle w:val="Normal2"/>
        <w:spacing w:line="240" w:lineRule="auto"/>
        <w:rPr>
          <w:rFonts w:ascii="Helvetica Neue" w:eastAsia="Helvetica Neue" w:hAnsi="Helvetica Neue" w:cs="Helvetica Neue"/>
          <w:sz w:val="24"/>
          <w:szCs w:val="24"/>
          <w:highlight w:val="white"/>
        </w:rPr>
      </w:pPr>
      <w:r w:rsidRPr="004D549E">
        <w:rPr>
          <w:rFonts w:ascii="Helvetica Neue" w:eastAsia="Helvetica Neue" w:hAnsi="Helvetica Neue" w:cs="Helvetica Neue"/>
          <w:b/>
          <w:sz w:val="24"/>
          <w:szCs w:val="24"/>
          <w:highlight w:val="white"/>
        </w:rPr>
        <w:lastRenderedPageBreak/>
        <w:t>Figure S3: Presence or absence map of species with less than 150</w:t>
      </w:r>
      <w:r w:rsidRPr="004D549E">
        <w:rPr>
          <w:rFonts w:ascii="Helvetica Neue" w:eastAsia="Helvetica Neue" w:hAnsi="Helvetica Neue" w:cs="Helvetica Neue"/>
          <w:sz w:val="24"/>
          <w:szCs w:val="24"/>
          <w:highlight w:val="white"/>
        </w:rPr>
        <w:t>.  Counties with zero submissions are dark, while the light areas represent presence of one or more specimens for each genus.</w:t>
      </w:r>
    </w:p>
    <w:p w14:paraId="367CA295" w14:textId="6675FB3A" w:rsidR="00E3396F" w:rsidRDefault="00E3396F" w:rsidP="004D549E">
      <w:pPr>
        <w:pStyle w:val="Normal2"/>
        <w:spacing w:line="240" w:lineRule="auto"/>
        <w:rPr>
          <w:rFonts w:ascii="Helvetica Neue" w:eastAsia="Helvetica Neue" w:hAnsi="Helvetica Neue" w:cs="Helvetica Neue"/>
          <w:sz w:val="24"/>
          <w:szCs w:val="24"/>
          <w:highlight w:val="white"/>
        </w:rPr>
      </w:pPr>
    </w:p>
    <w:p w14:paraId="112A24A5" w14:textId="002D7F39" w:rsidR="00E3396F" w:rsidRDefault="00E3396F" w:rsidP="00E3396F">
      <w:pPr>
        <w:pStyle w:val="NormalWeb"/>
        <w:spacing w:before="0" w:beforeAutospacing="0" w:after="0" w:afterAutospacing="0" w:line="480" w:lineRule="auto"/>
      </w:pPr>
      <w:r>
        <w:rPr>
          <w:rFonts w:ascii="Helvetica Neue" w:hAnsi="Helvetica Neue"/>
          <w:b/>
          <w:bCs/>
          <w:color w:val="333333"/>
          <w:shd w:val="clear" w:color="auto" w:fill="FFFFFF"/>
        </w:rPr>
        <w:t>Figure S4:</w:t>
      </w:r>
      <w:r>
        <w:rPr>
          <w:rFonts w:ascii="Helvetica Neue" w:hAnsi="Helvetica Neue"/>
          <w:color w:val="333333"/>
          <w:shd w:val="clear" w:color="auto" w:fill="FFFFFF"/>
        </w:rPr>
        <w:t xml:space="preserve"> </w:t>
      </w:r>
      <w:r>
        <w:rPr>
          <w:rFonts w:ascii="Helvetica Neue" w:hAnsi="Helvetica Neue"/>
          <w:color w:val="000000"/>
          <w:shd w:val="clear" w:color="auto" w:fill="FFFFFF"/>
        </w:rPr>
        <w:t>The monthly proportion of the tick specimens across different decades.</w:t>
      </w:r>
    </w:p>
    <w:p w14:paraId="78937748" w14:textId="3AFF6C35" w:rsidR="00E3396F" w:rsidRDefault="00E3396F" w:rsidP="00E3396F">
      <w:pPr>
        <w:pStyle w:val="NormalWeb"/>
        <w:spacing w:before="0" w:beforeAutospacing="0" w:after="0" w:afterAutospacing="0" w:line="480" w:lineRule="auto"/>
      </w:pPr>
      <w:r>
        <w:rPr>
          <w:rFonts w:ascii="Helvetica Neue" w:hAnsi="Helvetica Neue"/>
          <w:b/>
          <w:bCs/>
          <w:color w:val="000000"/>
          <w:shd w:val="clear" w:color="auto" w:fill="FFFFFF"/>
        </w:rPr>
        <w:t>Figure S5</w:t>
      </w:r>
      <w:r>
        <w:rPr>
          <w:rFonts w:ascii="Helvetica Neue" w:hAnsi="Helvetica Neue"/>
          <w:color w:val="000000"/>
          <w:shd w:val="clear" w:color="auto" w:fill="FFFFFF"/>
        </w:rPr>
        <w:t xml:space="preserve">: The monthly proportion of </w:t>
      </w:r>
      <w:r>
        <w:rPr>
          <w:rFonts w:ascii="Helvetica Neue" w:hAnsi="Helvetica Neue"/>
          <w:i/>
          <w:iCs/>
          <w:color w:val="000000"/>
          <w:shd w:val="clear" w:color="auto" w:fill="FFFFFF"/>
        </w:rPr>
        <w:t>D. variabilis</w:t>
      </w:r>
      <w:r>
        <w:rPr>
          <w:rFonts w:ascii="Helvetica Neue" w:hAnsi="Helvetica Neue"/>
          <w:color w:val="000000"/>
          <w:shd w:val="clear" w:color="auto" w:fill="FFFFFF"/>
        </w:rPr>
        <w:t xml:space="preserve"> specimens at the larvae, </w:t>
      </w:r>
      <w:proofErr w:type="spellStart"/>
      <w:r>
        <w:rPr>
          <w:rFonts w:ascii="Helvetica Neue" w:hAnsi="Helvetica Neue"/>
          <w:color w:val="000000"/>
          <w:shd w:val="clear" w:color="auto" w:fill="FFFFFF"/>
        </w:rPr>
        <w:t>nymphal</w:t>
      </w:r>
      <w:proofErr w:type="spellEnd"/>
      <w:r>
        <w:rPr>
          <w:rFonts w:ascii="Helvetica Neue" w:hAnsi="Helvetica Neue"/>
          <w:color w:val="000000"/>
          <w:shd w:val="clear" w:color="auto" w:fill="FFFFFF"/>
        </w:rPr>
        <w:t>, and adult stages across 1960 to 2010</w:t>
      </w:r>
    </w:p>
    <w:p w14:paraId="4D10FB2C" w14:textId="4C7580F6" w:rsidR="00E3396F" w:rsidRDefault="00E3396F" w:rsidP="00E3396F">
      <w:pPr>
        <w:pStyle w:val="NormalWeb"/>
        <w:spacing w:before="0" w:beforeAutospacing="0" w:after="0" w:afterAutospacing="0" w:line="480" w:lineRule="auto"/>
      </w:pPr>
      <w:r>
        <w:rPr>
          <w:rFonts w:ascii="Helvetica Neue" w:hAnsi="Helvetica Neue"/>
          <w:b/>
          <w:bCs/>
          <w:color w:val="000000"/>
          <w:shd w:val="clear" w:color="auto" w:fill="FFFFFF"/>
        </w:rPr>
        <w:t>Figure S6</w:t>
      </w:r>
      <w:r>
        <w:rPr>
          <w:rFonts w:ascii="Helvetica Neue" w:hAnsi="Helvetica Neue"/>
          <w:color w:val="000000"/>
          <w:shd w:val="clear" w:color="auto" w:fill="FFFFFF"/>
        </w:rPr>
        <w:t xml:space="preserve">: The monthly proportion of </w:t>
      </w:r>
      <w:proofErr w:type="gramStart"/>
      <w:r>
        <w:rPr>
          <w:rFonts w:ascii="Helvetica Neue" w:hAnsi="Helvetica Neue"/>
          <w:i/>
          <w:iCs/>
          <w:color w:val="000000"/>
          <w:shd w:val="clear" w:color="auto" w:fill="FFFFFF"/>
        </w:rPr>
        <w:t>I.scapularis</w:t>
      </w:r>
      <w:proofErr w:type="gramEnd"/>
      <w:r>
        <w:rPr>
          <w:rFonts w:ascii="Helvetica Neue" w:hAnsi="Helvetica Neue"/>
          <w:color w:val="000000"/>
          <w:shd w:val="clear" w:color="auto" w:fill="FFFFFF"/>
        </w:rPr>
        <w:t xml:space="preserve">  specimens at the larvae, </w:t>
      </w:r>
      <w:proofErr w:type="spellStart"/>
      <w:r>
        <w:rPr>
          <w:rFonts w:ascii="Helvetica Neue" w:hAnsi="Helvetica Neue"/>
          <w:color w:val="000000"/>
          <w:shd w:val="clear" w:color="auto" w:fill="FFFFFF"/>
        </w:rPr>
        <w:t>nymphal</w:t>
      </w:r>
      <w:proofErr w:type="spellEnd"/>
      <w:r>
        <w:rPr>
          <w:rFonts w:ascii="Helvetica Neue" w:hAnsi="Helvetica Neue"/>
          <w:color w:val="000000"/>
          <w:shd w:val="clear" w:color="auto" w:fill="FFFFFF"/>
        </w:rPr>
        <w:t>, and adult stages across 1990 to 2017</w:t>
      </w:r>
      <w:bookmarkStart w:id="0" w:name="_GoBack"/>
      <w:bookmarkEnd w:id="0"/>
    </w:p>
    <w:p w14:paraId="1F8092AA" w14:textId="77777777" w:rsidR="00E3396F" w:rsidRDefault="00E3396F" w:rsidP="00E3396F">
      <w:pPr>
        <w:pStyle w:val="NormalWeb"/>
        <w:spacing w:before="0" w:beforeAutospacing="0" w:after="0" w:afterAutospacing="0" w:line="480" w:lineRule="auto"/>
      </w:pPr>
      <w:r>
        <w:rPr>
          <w:rFonts w:ascii="Helvetica Neue" w:hAnsi="Helvetica Neue"/>
          <w:b/>
          <w:bCs/>
          <w:color w:val="000000"/>
          <w:shd w:val="clear" w:color="auto" w:fill="FFFFFF"/>
        </w:rPr>
        <w:t xml:space="preserve">Figure S7: </w:t>
      </w:r>
      <w:r>
        <w:rPr>
          <w:rFonts w:ascii="Helvetica Neue" w:hAnsi="Helvetica Neue"/>
          <w:color w:val="000000"/>
          <w:shd w:val="clear" w:color="auto" w:fill="FFFFFF"/>
        </w:rPr>
        <w:t xml:space="preserve">The monthly proportion of </w:t>
      </w:r>
      <w:r>
        <w:rPr>
          <w:rFonts w:ascii="Helvetica Neue" w:hAnsi="Helvetica Neue"/>
          <w:i/>
          <w:iCs/>
          <w:color w:val="333333"/>
          <w:shd w:val="clear" w:color="auto" w:fill="FFFFFF"/>
        </w:rPr>
        <w:t>I. cookei</w:t>
      </w:r>
      <w:r>
        <w:rPr>
          <w:rFonts w:ascii="Helvetica Neue" w:hAnsi="Helvetica Neue"/>
          <w:color w:val="000000"/>
          <w:shd w:val="clear" w:color="auto" w:fill="FFFFFF"/>
        </w:rPr>
        <w:t xml:space="preserve"> specimens at the larval, </w:t>
      </w:r>
      <w:proofErr w:type="spellStart"/>
      <w:r>
        <w:rPr>
          <w:rFonts w:ascii="Helvetica Neue" w:hAnsi="Helvetica Neue"/>
          <w:color w:val="000000"/>
          <w:shd w:val="clear" w:color="auto" w:fill="FFFFFF"/>
        </w:rPr>
        <w:t>nymphal</w:t>
      </w:r>
      <w:proofErr w:type="spellEnd"/>
      <w:r>
        <w:rPr>
          <w:rFonts w:ascii="Helvetica Neue" w:hAnsi="Helvetica Neue"/>
          <w:color w:val="000000"/>
          <w:shd w:val="clear" w:color="auto" w:fill="FFFFFF"/>
        </w:rPr>
        <w:t>, and adult stages across 1980 to 2017</w:t>
      </w:r>
    </w:p>
    <w:p w14:paraId="5733DCC0" w14:textId="77777777" w:rsidR="00E3396F" w:rsidRPr="004D549E" w:rsidRDefault="00E3396F" w:rsidP="004D549E">
      <w:pPr>
        <w:pStyle w:val="Normal2"/>
        <w:spacing w:line="240" w:lineRule="auto"/>
        <w:rPr>
          <w:rFonts w:ascii="Helvetica Neue" w:eastAsia="Helvetica Neue" w:hAnsi="Helvetica Neue" w:cs="Helvetica Neue"/>
          <w:sz w:val="24"/>
          <w:szCs w:val="24"/>
          <w:highlight w:val="white"/>
        </w:rPr>
      </w:pPr>
    </w:p>
    <w:p w14:paraId="178C0E26" w14:textId="77777777" w:rsidR="004D549E" w:rsidRPr="004D549E" w:rsidRDefault="004D549E" w:rsidP="004D549E">
      <w:pPr>
        <w:pStyle w:val="Normal2"/>
        <w:spacing w:line="240" w:lineRule="auto"/>
        <w:rPr>
          <w:rFonts w:ascii="Helvetica Neue" w:eastAsia="Helvetica Neue" w:hAnsi="Helvetica Neue" w:cs="Helvetica Neue"/>
          <w:sz w:val="24"/>
          <w:szCs w:val="24"/>
          <w:highlight w:val="white"/>
        </w:rPr>
      </w:pPr>
    </w:p>
    <w:p w14:paraId="73078013" w14:textId="77777777" w:rsidR="004D549E" w:rsidRPr="004D549E" w:rsidRDefault="004D549E" w:rsidP="004D549E">
      <w:pPr>
        <w:pStyle w:val="Normal2"/>
        <w:spacing w:line="240" w:lineRule="auto"/>
        <w:rPr>
          <w:rFonts w:ascii="Helvetica Neue" w:eastAsia="Helvetica Neue" w:hAnsi="Helvetica Neue" w:cs="Helvetica Neue"/>
          <w:b/>
          <w:sz w:val="24"/>
          <w:szCs w:val="24"/>
        </w:rPr>
      </w:pPr>
      <w:r w:rsidRPr="004D549E">
        <w:rPr>
          <w:rFonts w:ascii="Helvetica Neue" w:eastAsia="Helvetica Neue" w:hAnsi="Helvetica Neue" w:cs="Helvetica Neue"/>
          <w:b/>
          <w:sz w:val="24"/>
          <w:szCs w:val="24"/>
        </w:rPr>
        <w:t>TABLE</w:t>
      </w:r>
    </w:p>
    <w:p w14:paraId="01C9428E" w14:textId="77777777" w:rsidR="004D549E" w:rsidRPr="004D549E" w:rsidRDefault="004D549E" w:rsidP="004D549E">
      <w:pPr>
        <w:pStyle w:val="Normal2"/>
        <w:spacing w:line="240" w:lineRule="auto"/>
        <w:rPr>
          <w:rFonts w:ascii="Helvetica Neue" w:eastAsia="Helvetica Neue" w:hAnsi="Helvetica Neue" w:cs="Helvetica Neue"/>
          <w:sz w:val="24"/>
          <w:szCs w:val="24"/>
        </w:rPr>
      </w:pPr>
    </w:p>
    <w:p w14:paraId="210AF98F" w14:textId="77777777" w:rsidR="004D549E" w:rsidRPr="004D549E" w:rsidRDefault="004D549E" w:rsidP="004D549E">
      <w:pPr>
        <w:pStyle w:val="Normal2"/>
        <w:spacing w:line="240" w:lineRule="auto"/>
        <w:rPr>
          <w:rFonts w:ascii="Helvetica Neue" w:eastAsia="Helvetica Neue" w:hAnsi="Helvetica Neue" w:cs="Helvetica Neue"/>
          <w:sz w:val="24"/>
          <w:szCs w:val="24"/>
        </w:rPr>
      </w:pPr>
      <w:r w:rsidRPr="004D549E">
        <w:rPr>
          <w:rFonts w:ascii="Helvetica Neue" w:eastAsia="Helvetica Neue" w:hAnsi="Helvetica Neue" w:cs="Helvetica Neue"/>
          <w:b/>
          <w:sz w:val="24"/>
          <w:szCs w:val="24"/>
        </w:rPr>
        <w:t>Table 1: The total submissions to the PSU Department of Entomology/Frost Entomological Museum from 1900 to 2017</w:t>
      </w:r>
      <w:r w:rsidRPr="004D549E">
        <w:rPr>
          <w:rFonts w:ascii="Helvetica Neue" w:eastAsia="Helvetica Neue" w:hAnsi="Helvetica Neue" w:cs="Helvetica Neue"/>
          <w:sz w:val="24"/>
          <w:szCs w:val="24"/>
        </w:rPr>
        <w:t>. Generic names that have been changed since the submission date are shown in parentheses. Specimens which were not identified to species were listed under the genus and “sp.”</w:t>
      </w:r>
    </w:p>
    <w:p w14:paraId="3D14B0BA" w14:textId="77777777" w:rsidR="004D549E" w:rsidRPr="004D549E" w:rsidRDefault="004D549E" w:rsidP="004D549E">
      <w:pPr>
        <w:pStyle w:val="Normal2"/>
        <w:spacing w:line="240" w:lineRule="auto"/>
        <w:rPr>
          <w:rFonts w:ascii="Helvetica Neue" w:eastAsia="Helvetica Neue" w:hAnsi="Helvetica Neue" w:cs="Helvetica Neue"/>
          <w:sz w:val="24"/>
          <w:szCs w:val="24"/>
        </w:rPr>
      </w:pPr>
      <w:r w:rsidRPr="004D549E">
        <w:rPr>
          <w:rFonts w:ascii="Helvetica Neue" w:eastAsia="Helvetica Neue" w:hAnsi="Helvetica Neue" w:cs="Helvetica Neue"/>
          <w:sz w:val="24"/>
          <w:szCs w:val="24"/>
        </w:rPr>
        <w:t xml:space="preserve"> </w:t>
      </w:r>
    </w:p>
    <w:p w14:paraId="5DCCAEE1" w14:textId="77777777" w:rsidR="004D549E" w:rsidRPr="004D549E" w:rsidRDefault="004D549E" w:rsidP="004D549E">
      <w:pPr>
        <w:pStyle w:val="Normal2"/>
        <w:spacing w:line="240" w:lineRule="auto"/>
        <w:rPr>
          <w:rFonts w:ascii="Helvetica Neue" w:eastAsia="Helvetica Neue" w:hAnsi="Helvetica Neue" w:cs="Helvetica Neue"/>
          <w:b/>
          <w:sz w:val="24"/>
          <w:szCs w:val="24"/>
        </w:rPr>
      </w:pPr>
      <w:r w:rsidRPr="004D549E">
        <w:rPr>
          <w:rFonts w:ascii="Helvetica Neue" w:eastAsia="Helvetica Neue" w:hAnsi="Helvetica Neue" w:cs="Helvetica Neue"/>
          <w:b/>
          <w:sz w:val="24"/>
          <w:szCs w:val="24"/>
        </w:rPr>
        <w:t>SUPPLEMENTARY TABLES</w:t>
      </w:r>
    </w:p>
    <w:p w14:paraId="105DC961" w14:textId="77777777" w:rsidR="004D549E" w:rsidRPr="004D549E" w:rsidRDefault="004D549E" w:rsidP="004D549E">
      <w:pPr>
        <w:pStyle w:val="Normal2"/>
        <w:spacing w:line="240" w:lineRule="auto"/>
        <w:rPr>
          <w:rFonts w:ascii="Helvetica Neue" w:eastAsia="Helvetica Neue" w:hAnsi="Helvetica Neue" w:cs="Helvetica Neue"/>
          <w:sz w:val="24"/>
          <w:szCs w:val="24"/>
        </w:rPr>
      </w:pPr>
    </w:p>
    <w:p w14:paraId="79034755" w14:textId="77777777" w:rsidR="004D549E" w:rsidRPr="004D549E" w:rsidRDefault="004D549E" w:rsidP="004D549E">
      <w:pPr>
        <w:pStyle w:val="Normal2"/>
        <w:spacing w:line="240" w:lineRule="auto"/>
        <w:rPr>
          <w:rFonts w:ascii="Helvetica Neue" w:eastAsia="Helvetica Neue" w:hAnsi="Helvetica Neue" w:cs="Helvetica Neue"/>
          <w:sz w:val="24"/>
          <w:szCs w:val="24"/>
        </w:rPr>
      </w:pPr>
      <w:r w:rsidRPr="004D549E">
        <w:rPr>
          <w:rFonts w:ascii="Helvetica Neue" w:eastAsia="Helvetica Neue" w:hAnsi="Helvetica Neue" w:cs="Helvetica Neue"/>
          <w:b/>
          <w:sz w:val="24"/>
          <w:szCs w:val="24"/>
        </w:rPr>
        <w:t xml:space="preserve">Supplementary Table S1: </w:t>
      </w:r>
      <w:r w:rsidRPr="004D549E">
        <w:rPr>
          <w:rFonts w:ascii="Helvetica Neue" w:eastAsia="Helvetica Neue" w:hAnsi="Helvetica Neue" w:cs="Helvetica Neue"/>
          <w:sz w:val="24"/>
          <w:szCs w:val="24"/>
        </w:rPr>
        <w:t>Specimens submitted from outside of the state of Pennsylvania.</w:t>
      </w:r>
    </w:p>
    <w:p w14:paraId="0DD47175" w14:textId="77777777" w:rsidR="004D549E" w:rsidRPr="004D549E" w:rsidRDefault="004D549E" w:rsidP="004D549E">
      <w:pPr>
        <w:pStyle w:val="Normal2"/>
        <w:spacing w:line="240" w:lineRule="auto"/>
        <w:rPr>
          <w:rFonts w:ascii="Helvetica Neue" w:eastAsia="Helvetica Neue" w:hAnsi="Helvetica Neue" w:cs="Helvetica Neue"/>
          <w:sz w:val="24"/>
          <w:szCs w:val="24"/>
        </w:rPr>
      </w:pPr>
    </w:p>
    <w:p w14:paraId="2A11466F" w14:textId="4E4BA1B1" w:rsidR="004D549E" w:rsidRPr="004D549E" w:rsidRDefault="004D549E" w:rsidP="004D549E">
      <w:pPr>
        <w:pStyle w:val="Normal2"/>
        <w:spacing w:line="240" w:lineRule="auto"/>
        <w:rPr>
          <w:rFonts w:ascii="Helvetica Neue" w:eastAsia="Helvetica Neue" w:hAnsi="Helvetica Neue" w:cs="Helvetica Neue"/>
          <w:sz w:val="24"/>
          <w:szCs w:val="24"/>
        </w:rPr>
      </w:pPr>
      <w:r w:rsidRPr="004D549E">
        <w:rPr>
          <w:rFonts w:ascii="Helvetica Neue" w:eastAsia="Helvetica Neue" w:hAnsi="Helvetica Neue" w:cs="Helvetica Neue"/>
          <w:b/>
          <w:sz w:val="24"/>
          <w:szCs w:val="24"/>
        </w:rPr>
        <w:t xml:space="preserve">Supplementary Table S2: </w:t>
      </w:r>
      <w:r w:rsidRPr="004D549E">
        <w:rPr>
          <w:rFonts w:ascii="Helvetica Neue" w:eastAsia="Helvetica Neue" w:hAnsi="Helvetica Neue" w:cs="Helvetica Neue"/>
          <w:sz w:val="24"/>
          <w:szCs w:val="24"/>
        </w:rPr>
        <w:t>Exotic specimens</w:t>
      </w:r>
      <w:r w:rsidR="00503985">
        <w:rPr>
          <w:rFonts w:ascii="Helvetica Neue" w:eastAsia="Helvetica Neue" w:hAnsi="Helvetica Neue" w:cs="Helvetica Neue"/>
          <w:sz w:val="24"/>
          <w:szCs w:val="24"/>
        </w:rPr>
        <w:t xml:space="preserve"> from known ranges outside PA, the continental USA, or North America.</w:t>
      </w:r>
    </w:p>
    <w:p w14:paraId="73950D6B" w14:textId="77777777" w:rsidR="007D2E3B" w:rsidRPr="004D549E" w:rsidRDefault="007D2E3B" w:rsidP="007D2E3B">
      <w:pPr>
        <w:pStyle w:val="Normal1"/>
        <w:pBdr>
          <w:top w:val="nil"/>
          <w:left w:val="nil"/>
          <w:bottom w:val="nil"/>
          <w:right w:val="nil"/>
          <w:between w:val="nil"/>
        </w:pBdr>
        <w:rPr>
          <w:rFonts w:ascii="Helvetica Neue" w:eastAsia="Helvetica Neue" w:hAnsi="Helvetica Neue" w:cs="Helvetica Neue"/>
          <w:color w:val="000000"/>
          <w:sz w:val="24"/>
          <w:szCs w:val="24"/>
        </w:rPr>
      </w:pPr>
    </w:p>
    <w:p w14:paraId="76F5EBD5" w14:textId="77777777" w:rsidR="007D2E3B" w:rsidRPr="004D549E" w:rsidRDefault="007D2E3B">
      <w:pPr>
        <w:rPr>
          <w:rFonts w:ascii="Helvetica Neue" w:hAnsi="Helvetica Neue"/>
          <w:sz w:val="24"/>
          <w:szCs w:val="24"/>
        </w:rPr>
      </w:pPr>
    </w:p>
    <w:sectPr w:rsidR="007D2E3B" w:rsidRPr="004D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5F"/>
    <w:rsid w:val="00055E5F"/>
    <w:rsid w:val="001C4E9E"/>
    <w:rsid w:val="001C76C1"/>
    <w:rsid w:val="002544BD"/>
    <w:rsid w:val="004B4238"/>
    <w:rsid w:val="004C6807"/>
    <w:rsid w:val="004D549E"/>
    <w:rsid w:val="00503985"/>
    <w:rsid w:val="007D2E3B"/>
    <w:rsid w:val="008670A5"/>
    <w:rsid w:val="008D56D3"/>
    <w:rsid w:val="009421C4"/>
    <w:rsid w:val="00A32DE9"/>
    <w:rsid w:val="00CB2D72"/>
    <w:rsid w:val="00D15DF9"/>
    <w:rsid w:val="00E3396F"/>
    <w:rsid w:val="00EF52E0"/>
    <w:rsid w:val="00F82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FB3FA"/>
  <w15:docId w15:val="{50FF8A90-42D7-4496-A697-51EF633E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55E5F"/>
    <w:pPr>
      <w:spacing w:after="0"/>
    </w:pPr>
    <w:rPr>
      <w:rFonts w:ascii="Arial" w:eastAsia="Arial" w:hAnsi="Arial" w:cs="Arial"/>
      <w:lang w:val="en"/>
    </w:rPr>
  </w:style>
  <w:style w:type="paragraph" w:customStyle="1" w:styleId="Normal2">
    <w:name w:val="Normal2"/>
    <w:rsid w:val="00D15DF9"/>
    <w:pPr>
      <w:spacing w:after="0"/>
    </w:pPr>
    <w:rPr>
      <w:rFonts w:ascii="Arial" w:eastAsia="Arial" w:hAnsi="Arial" w:cs="Arial"/>
      <w:lang w:val="en"/>
    </w:rPr>
  </w:style>
  <w:style w:type="paragraph" w:styleId="NormalWeb">
    <w:name w:val="Normal (Web)"/>
    <w:basedOn w:val="Normal"/>
    <w:uiPriority w:val="99"/>
    <w:semiHidden/>
    <w:unhideWhenUsed/>
    <w:rsid w:val="00E339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10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dc:creator>
  <cp:lastModifiedBy>Pak, Damie</cp:lastModifiedBy>
  <cp:revision>2</cp:revision>
  <dcterms:created xsi:type="dcterms:W3CDTF">2019-02-11T19:42:00Z</dcterms:created>
  <dcterms:modified xsi:type="dcterms:W3CDTF">2019-02-11T19:42:00Z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id="fqKSfGGV"/&gt;&lt;style id="http://www.zotero.org/styles/parasites-and-vectors"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