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0"/>
        <w:jc w:val="center"/>
      </w:pPr>
      <w:r>
        <w:rPr>
          <w:b/>
          <w:bCs/>
          <w:color w:val="1A2B3C"/>
          <w:sz w:val="48"/>
          <w:szCs w:val="48"/>
        </w:rPr>
        <w:t xml:space="preserve">System Vulnerability Report</w:t>
      </w:r>
    </w:p>
    <w:p>
      <w:pPr>
        <w:spacing w:after="100"/>
        <w:jc w:val="center"/>
      </w:pPr>
      <w:r>
        <w:rPr>
          <w:color w:val="2E5C8A"/>
          <w:sz w:val="28"/>
          <w:szCs w:val="28"/>
        </w:rPr>
        <w:t xml:space="preserve">Personal Machine Security Audit — Project 4</w:t>
      </w:r>
    </w:p>
    <w:p>
      <w:pPr>
        <w:spacing w:after="700"/>
        <w:jc w:val="center"/>
      </w:pPr>
      <w:r>
        <w:rPr>
          <w:i/>
          <w:iCs/>
          <w:color w:val="666666"/>
          <w:sz w:val="20"/>
          <w:szCs w:val="20"/>
        </w:rPr>
        <w:t xml:space="preserve">DecodeLabs Industrial Training Kit — Batch 2026</w:t>
      </w:r>
    </w:p>
    <w:p>
      <w:pPr>
        <w:jc w:val="center"/>
      </w:pPr>
      <w:r>
        <w:rPr>
          <w:sz w:val="22"/>
          <w:szCs w:val="22"/>
        </w:rPr>
        <w:t xml:space="preserve">Prepared by: Damilola</w:t>
      </w:r>
    </w:p>
    <w:p>
      <w:pPr>
        <w:spacing w:after="400"/>
        <w:jc w:val="center"/>
      </w:pPr>
      <w:r>
        <w:rPr>
          <w:color w:val="666666"/>
          <w:sz w:val="18"/>
          <w:szCs w:val="18"/>
        </w:rPr>
        <w:t xml:space="preserve">Device: DESKTOP-A8KM647  |  Windows 10 Pro (Build 19045)  |  Intel Core i5-6200U</w:t>
      </w:r>
    </w:p>
    <w:p>
      <w:r>
        <w:br w:type="page"/>
      </w:r>
    </w:p>
    <w:p>
      <w:pPr>
        <w:pStyle w:val="Heading1"/>
        <w:spacing w:after="150" w:before="300"/>
      </w:pPr>
      <w:r>
        <w:rPr>
          <w:color w:val="1A2B3C"/>
        </w:rPr>
        <w:t xml:space="preserve">1. Objective</w:t>
      </w:r>
    </w:p>
    <w:p>
      <w:pPr>
        <w:spacing w:after="120"/>
      </w:pPr>
      <w:r>
        <w:rPr>
          <w:sz w:val="22"/>
          <w:szCs w:val="22"/>
        </w:rPr>
        <w:t xml:space="preserve">This report documents a security audit performed on my personal primary laptop, following the 4-step System Vulnerability Checklist: identity/account hygiene, software patch management, human/physical perimeter review, and network/endpoint hygiene. The goal was to identify real security gaps, remediate what could be safely fixed, and document findings that require deferred action — mirroring how a Tier-1 SOC analyst would approach and report on an asset audit.</w:t>
      </w:r>
    </w:p>
    <w:p>
      <w:pPr>
        <w:pStyle w:val="Heading1"/>
        <w:spacing w:after="150" w:before="300"/>
      </w:pPr>
      <w:r>
        <w:rPr>
          <w:color w:val="1A2B3C"/>
        </w:rPr>
        <w:t xml:space="preserve">2. Scope</w:t>
      </w:r>
    </w:p>
    <w:p>
      <w:pPr>
        <w:spacing w:after="120"/>
      </w:pPr>
      <w:r>
        <w:rPr>
          <w:sz w:val="22"/>
          <w:szCs w:val="22"/>
        </w:rPr>
        <w:t xml:space="preserve">Audit was performed directly on my own daily-use Windows 10 Pro laptop (not a virtual machine), using native PowerShell cmdlets and built-in Windows Security tools. Four checks were performed: firewall status, disk encryption, admin/guest account hygiene, and OS patch/support status plus installed software inventory.</w:t>
      </w:r>
    </w:p>
    <w:p>
      <w:pPr>
        <w:pStyle w:val="Heading1"/>
        <w:spacing w:after="150" w:before="300"/>
      </w:pPr>
      <w:r>
        <w:rPr>
          <w:color w:val="1A2B3C"/>
        </w:rPr>
        <w:t xml:space="preserve">3. Findings Summary</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1700"/>
      </w:tblGrid>
      <w:tr>
        <w:trPr>
          <w:tblHeader/>
        </w:trPr>
        <w:tc>
          <w:tcPr>
            <w:tcW w:type="dxa" w:w="2400"/>
            <w:shd w:fill="1A2B3C" w:val="clear"/>
            <w:tcMar>
              <w:top w:type="dxa" w:w="100"/>
              <w:left w:type="dxa" w:w="120"/>
              <w:bottom w:type="dxa" w:w="100"/>
              <w:right w:type="dxa" w:w="120"/>
            </w:tcMar>
          </w:tcPr>
          <w:p>
            <w:pPr>
              <w:jc w:val="left"/>
            </w:pPr>
            <w:r>
              <w:rPr>
                <w:b/>
                <w:bCs/>
                <w:color w:val="FFFFFF"/>
                <w:sz w:val="20"/>
                <w:szCs w:val="20"/>
              </w:rPr>
              <w:t xml:space="preserve">Check</w:t>
            </w:r>
          </w:p>
        </w:tc>
        <w:tc>
          <w:tcPr>
            <w:tcW w:type="dxa" w:w="4400"/>
            <w:shd w:fill="1A2B3C" w:val="clear"/>
            <w:tcMar>
              <w:top w:type="dxa" w:w="100"/>
              <w:left w:type="dxa" w:w="120"/>
              <w:bottom w:type="dxa" w:w="100"/>
              <w:right w:type="dxa" w:w="120"/>
            </w:tcMar>
          </w:tcPr>
          <w:p>
            <w:pPr>
              <w:jc w:val="left"/>
            </w:pPr>
            <w:r>
              <w:rPr>
                <w:b/>
                <w:bCs/>
                <w:color w:val="FFFFFF"/>
                <w:sz w:val="20"/>
                <w:szCs w:val="20"/>
              </w:rPr>
              <w:t xml:space="preserve">Result</w:t>
            </w:r>
          </w:p>
        </w:tc>
        <w:tc>
          <w:tcPr>
            <w:tcW w:type="dxa" w:w="1700"/>
            <w:shd w:fill="1A2B3C" w:val="clear"/>
            <w:tcMar>
              <w:top w:type="dxa" w:w="100"/>
              <w:left w:type="dxa" w:w="120"/>
              <w:bottom w:type="dxa" w:w="100"/>
              <w:right w:type="dxa" w:w="120"/>
            </w:tcMar>
          </w:tcPr>
          <w:p>
            <w:pPr>
              <w:jc w:val="center"/>
            </w:pPr>
            <w:r>
              <w:rPr>
                <w:b/>
                <w:bCs/>
                <w:color w:val="FFFFFF"/>
                <w:sz w:val="20"/>
                <w:szCs w:val="20"/>
              </w:rPr>
              <w:t xml:space="preserve">Severity</w:t>
            </w:r>
          </w:p>
        </w:tc>
      </w:tr>
      <w:tr>
        <w:tc>
          <w:tcPr>
            <w:tcW w:type="dxa" w:w="2400"/>
            <w:tcMar>
              <w:top w:type="dxa" w:w="100"/>
              <w:left w:type="dxa" w:w="120"/>
              <w:bottom w:type="dxa" w:w="100"/>
              <w:right w:type="dxa" w:w="120"/>
            </w:tcMar>
          </w:tcPr>
          <w:p>
            <w:pPr>
              <w:jc w:val="left"/>
            </w:pPr>
            <w:r>
              <w:rPr>
                <w:b/>
                <w:bCs/>
                <w:sz w:val="20"/>
                <w:szCs w:val="20"/>
              </w:rPr>
              <w:t xml:space="preserve">Firewall Status</w:t>
            </w:r>
          </w:p>
        </w:tc>
        <w:tc>
          <w:tcPr>
            <w:tcW w:type="dxa" w:w="4400"/>
            <w:tcMar>
              <w:top w:type="dxa" w:w="100"/>
              <w:left w:type="dxa" w:w="120"/>
              <w:bottom w:type="dxa" w:w="100"/>
              <w:right w:type="dxa" w:w="120"/>
            </w:tcMar>
          </w:tcPr>
          <w:p>
            <w:pPr>
              <w:jc w:val="left"/>
            </w:pPr>
            <w:r>
              <w:rPr>
                <w:b w:val="false"/>
                <w:bCs w:val="false"/>
                <w:sz w:val="20"/>
                <w:szCs w:val="20"/>
              </w:rPr>
              <w:t xml:space="preserve">All 3 profiles (Domain, Private, Public) confirmed Enabled = True. No action needed.</w:t>
            </w:r>
          </w:p>
        </w:tc>
        <w:tc>
          <w:tcPr>
            <w:tcW w:type="dxa" w:w="1700"/>
            <w:tcMar>
              <w:top w:type="dxa" w:w="100"/>
              <w:left w:type="dxa" w:w="120"/>
              <w:bottom w:type="dxa" w:w="100"/>
              <w:right w:type="dxa" w:w="120"/>
            </w:tcMar>
          </w:tcPr>
          <w:p>
            <w:pPr>
              <w:jc w:val="center"/>
            </w:pPr>
            <w:r>
              <w:rPr>
                <w:b/>
                <w:bCs/>
                <w:color w:val="1E7B34"/>
                <w:sz w:val="20"/>
                <w:szCs w:val="20"/>
              </w:rPr>
              <w:t xml:space="preserve">PASS</w:t>
            </w:r>
          </w:p>
        </w:tc>
      </w:tr>
      <w:tr>
        <w:tc>
          <w:tcPr>
            <w:tcW w:type="dxa" w:w="2400"/>
            <w:tcMar>
              <w:top w:type="dxa" w:w="100"/>
              <w:left w:type="dxa" w:w="120"/>
              <w:bottom w:type="dxa" w:w="100"/>
              <w:right w:type="dxa" w:w="120"/>
            </w:tcMar>
          </w:tcPr>
          <w:p>
            <w:pPr>
              <w:jc w:val="left"/>
            </w:pPr>
            <w:r>
              <w:rPr>
                <w:b/>
                <w:bCs/>
                <w:sz w:val="20"/>
                <w:szCs w:val="20"/>
              </w:rPr>
              <w:t xml:space="preserve">Disk Encryption (BitLocker)</w:t>
            </w:r>
          </w:p>
        </w:tc>
        <w:tc>
          <w:tcPr>
            <w:tcW w:type="dxa" w:w="4400"/>
            <w:tcMar>
              <w:top w:type="dxa" w:w="100"/>
              <w:left w:type="dxa" w:w="120"/>
              <w:bottom w:type="dxa" w:w="100"/>
              <w:right w:type="dxa" w:w="120"/>
            </w:tcMar>
          </w:tcPr>
          <w:p>
            <w:pPr>
              <w:jc w:val="left"/>
            </w:pPr>
            <w:r>
              <w:rPr>
                <w:b w:val="false"/>
                <w:bCs w:val="false"/>
                <w:sz w:val="20"/>
                <w:szCs w:val="20"/>
              </w:rPr>
              <w:t xml:space="preserve">C: drive found FullyDecrypted, 0% encrypted, Protection Off, no key protector. Remediation attempted but safely deferred (see Section 5).</w:t>
            </w:r>
          </w:p>
        </w:tc>
        <w:tc>
          <w:tcPr>
            <w:tcW w:type="dxa" w:w="1700"/>
            <w:tcMar>
              <w:top w:type="dxa" w:w="100"/>
              <w:left w:type="dxa" w:w="120"/>
              <w:bottom w:type="dxa" w:w="100"/>
              <w:right w:type="dxa" w:w="120"/>
            </w:tcMar>
          </w:tcPr>
          <w:p>
            <w:pPr>
              <w:jc w:val="center"/>
            </w:pPr>
            <w:r>
              <w:rPr>
                <w:b/>
                <w:bCs/>
                <w:color w:val="C0392B"/>
                <w:sz w:val="20"/>
                <w:szCs w:val="20"/>
              </w:rPr>
              <w:t xml:space="preserve">CRITICAL</w:t>
            </w:r>
          </w:p>
        </w:tc>
      </w:tr>
      <w:tr>
        <w:tc>
          <w:tcPr>
            <w:tcW w:type="dxa" w:w="2400"/>
            <w:tcMar>
              <w:top w:type="dxa" w:w="100"/>
              <w:left w:type="dxa" w:w="120"/>
              <w:bottom w:type="dxa" w:w="100"/>
              <w:right w:type="dxa" w:w="120"/>
            </w:tcMar>
          </w:tcPr>
          <w:p>
            <w:pPr>
              <w:jc w:val="left"/>
            </w:pPr>
            <w:r>
              <w:rPr>
                <w:b/>
                <w:bCs/>
                <w:sz w:val="20"/>
                <w:szCs w:val="20"/>
              </w:rPr>
              <w:t xml:space="preserve">Admin / Guest Accounts</w:t>
            </w:r>
          </w:p>
        </w:tc>
        <w:tc>
          <w:tcPr>
            <w:tcW w:type="dxa" w:w="4400"/>
            <w:tcMar>
              <w:top w:type="dxa" w:w="100"/>
              <w:left w:type="dxa" w:w="120"/>
              <w:bottom w:type="dxa" w:w="100"/>
              <w:right w:type="dxa" w:w="120"/>
            </w:tcMar>
          </w:tcPr>
          <w:p>
            <w:pPr>
              <w:jc w:val="left"/>
            </w:pPr>
            <w:r>
              <w:rPr>
                <w:b w:val="false"/>
                <w:bCs w:val="false"/>
                <w:sz w:val="20"/>
                <w:szCs w:val="20"/>
              </w:rPr>
              <w:t xml:space="preserve">Built-in Administrator account confirmed present but Enabled = False (already disabled). No unnecessary elevated accounts found.</w:t>
            </w:r>
          </w:p>
        </w:tc>
        <w:tc>
          <w:tcPr>
            <w:tcW w:type="dxa" w:w="1700"/>
            <w:tcMar>
              <w:top w:type="dxa" w:w="100"/>
              <w:left w:type="dxa" w:w="120"/>
              <w:bottom w:type="dxa" w:w="100"/>
              <w:right w:type="dxa" w:w="120"/>
            </w:tcMar>
          </w:tcPr>
          <w:p>
            <w:pPr>
              <w:jc w:val="center"/>
            </w:pPr>
            <w:r>
              <w:rPr>
                <w:b/>
                <w:bCs/>
                <w:color w:val="1E7B34"/>
                <w:sz w:val="20"/>
                <w:szCs w:val="20"/>
              </w:rPr>
              <w:t xml:space="preserve">PASS</w:t>
            </w:r>
          </w:p>
        </w:tc>
      </w:tr>
      <w:tr>
        <w:tc>
          <w:tcPr>
            <w:tcW w:type="dxa" w:w="2400"/>
            <w:tcMar>
              <w:top w:type="dxa" w:w="100"/>
              <w:left w:type="dxa" w:w="120"/>
              <w:bottom w:type="dxa" w:w="100"/>
              <w:right w:type="dxa" w:w="120"/>
            </w:tcMar>
          </w:tcPr>
          <w:p>
            <w:pPr>
              <w:jc w:val="left"/>
            </w:pPr>
            <w:r>
              <w:rPr>
                <w:b/>
                <w:bCs/>
                <w:sz w:val="20"/>
                <w:szCs w:val="20"/>
              </w:rPr>
              <w:t xml:space="preserve">OS Support Status</w:t>
            </w:r>
          </w:p>
        </w:tc>
        <w:tc>
          <w:tcPr>
            <w:tcW w:type="dxa" w:w="4400"/>
            <w:tcMar>
              <w:top w:type="dxa" w:w="100"/>
              <w:left w:type="dxa" w:w="120"/>
              <w:bottom w:type="dxa" w:w="100"/>
              <w:right w:type="dxa" w:w="120"/>
            </w:tcMar>
          </w:tcPr>
          <w:p>
            <w:pPr>
              <w:jc w:val="left"/>
            </w:pPr>
            <w:r>
              <w:rPr>
                <w:b w:val="false"/>
                <w:bCs w:val="false"/>
                <w:sz w:val="20"/>
                <w:szCs w:val="20"/>
              </w:rPr>
              <w:t xml:space="preserve">Windows 10 (Build 19045) confirmed past end-of-support (Oct 2025). Hardware (6th-gen Intel CPU) ineligible for Windows 11 upgrade.</w:t>
            </w:r>
          </w:p>
        </w:tc>
        <w:tc>
          <w:tcPr>
            <w:tcW w:type="dxa" w:w="1700"/>
            <w:tcMar>
              <w:top w:type="dxa" w:w="100"/>
              <w:left w:type="dxa" w:w="120"/>
              <w:bottom w:type="dxa" w:w="100"/>
              <w:right w:type="dxa" w:w="120"/>
            </w:tcMar>
          </w:tcPr>
          <w:p>
            <w:pPr>
              <w:jc w:val="center"/>
            </w:pPr>
            <w:r>
              <w:rPr>
                <w:b/>
                <w:bCs/>
                <w:color w:val="C0392B"/>
                <w:sz w:val="20"/>
                <w:szCs w:val="20"/>
              </w:rPr>
              <w:t xml:space="preserve">CRITICAL</w:t>
            </w:r>
          </w:p>
        </w:tc>
      </w:tr>
      <w:tr>
        <w:tc>
          <w:tcPr>
            <w:tcW w:type="dxa" w:w="2400"/>
            <w:tcMar>
              <w:top w:type="dxa" w:w="100"/>
              <w:left w:type="dxa" w:w="120"/>
              <w:bottom w:type="dxa" w:w="100"/>
              <w:right w:type="dxa" w:w="120"/>
            </w:tcMar>
          </w:tcPr>
          <w:p>
            <w:pPr>
              <w:jc w:val="left"/>
            </w:pPr>
            <w:r>
              <w:rPr>
                <w:b/>
                <w:bCs/>
                <w:sz w:val="20"/>
                <w:szCs w:val="20"/>
              </w:rPr>
              <w:t xml:space="preserve">Software Inventory</w:t>
            </w:r>
          </w:p>
        </w:tc>
        <w:tc>
          <w:tcPr>
            <w:tcW w:type="dxa" w:w="4400"/>
            <w:tcMar>
              <w:top w:type="dxa" w:w="100"/>
              <w:left w:type="dxa" w:w="120"/>
              <w:bottom w:type="dxa" w:w="100"/>
              <w:right w:type="dxa" w:w="120"/>
            </w:tcMar>
          </w:tcPr>
          <w:p>
            <w:pPr>
              <w:jc w:val="left"/>
            </w:pPr>
            <w:r>
              <w:rPr>
                <w:b w:val="false"/>
                <w:bCs w:val="false"/>
                <w:sz w:val="20"/>
                <w:szCs w:val="20"/>
              </w:rPr>
              <w:t xml:space="preserve">All installed software reviewed and verified as legitimate development, virtualization, and cybersecurity training tools. No unauthorized or high-risk applications found.</w:t>
            </w:r>
          </w:p>
        </w:tc>
        <w:tc>
          <w:tcPr>
            <w:tcW w:type="dxa" w:w="1700"/>
            <w:tcMar>
              <w:top w:type="dxa" w:w="100"/>
              <w:left w:type="dxa" w:w="120"/>
              <w:bottom w:type="dxa" w:w="100"/>
              <w:right w:type="dxa" w:w="120"/>
            </w:tcMar>
          </w:tcPr>
          <w:p>
            <w:pPr>
              <w:jc w:val="center"/>
            </w:pPr>
            <w:r>
              <w:rPr>
                <w:b/>
                <w:bCs/>
                <w:color w:val="1E7B34"/>
                <w:sz w:val="20"/>
                <w:szCs w:val="20"/>
              </w:rPr>
              <w:t xml:space="preserve">PASS</w:t>
            </w:r>
          </w:p>
        </w:tc>
      </w:tr>
    </w:tbl>
    <w:p>
      <w:r>
        <w:br w:type="page"/>
      </w:r>
    </w:p>
    <w:p>
      <w:pPr>
        <w:pStyle w:val="Heading1"/>
        <w:spacing w:after="150" w:before="300"/>
      </w:pPr>
      <w:r>
        <w:rPr>
          <w:color w:val="1A2B3C"/>
        </w:rPr>
        <w:t xml:space="preserve">4. Section 1 — Flaws Found (The Diagnosis)</w:t>
      </w:r>
    </w:p>
    <w:p>
      <w:pPr>
        <w:pStyle w:val="Heading2"/>
        <w:spacing w:after="150" w:before="300"/>
      </w:pPr>
      <w:r>
        <w:rPr>
          <w:color w:val="1A2B3C"/>
        </w:rPr>
        <w:t xml:space="preserve">4.1  Critical: Disk Encryption Disabled</w:t>
      </w:r>
    </w:p>
    <w:tbl>
      <w:tblPr>
        <w:tblW w:type="dxa" w:w="2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2200"/>
            <w:shd w:fill="C0392B" w:val="clear"/>
            <w:tcMar>
              <w:top w:type="dxa" w:w="60"/>
              <w:left w:type="dxa" w:w="150"/>
              <w:bottom w:type="dxa" w:w="60"/>
              <w:right w:type="dxa" w:w="150"/>
            </w:tcMar>
          </w:tcPr>
          <w:p>
            <w:pPr>
              <w:jc w:val="center"/>
            </w:pPr>
            <w:r>
              <w:rPr>
                <w:b/>
                <w:bCs/>
                <w:color w:val="FFFFFF"/>
                <w:sz w:val="20"/>
                <w:szCs w:val="20"/>
              </w:rPr>
              <w:t xml:space="preserve">CVSS: CRITICAL</w:t>
            </w:r>
          </w:p>
        </w:tc>
      </w:tr>
    </w:tbl>
    <w:p>
      <w:pPr>
        <w:spacing w:after="120"/>
      </w:pPr>
      <w:r>
        <w:rPr>
          <w:sz w:val="22"/>
          <w:szCs w:val="22"/>
        </w:rPr>
        <w:t xml:space="preserve">Command used:</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shd w:fill="1E1E1E" w:val="clear"/>
            <w:tcMar>
              <w:top w:type="dxa" w:w="150"/>
              <w:left w:type="dxa" w:w="200"/>
              <w:bottom w:type="dxa" w:w="150"/>
              <w:right w:type="dxa" w:w="200"/>
            </w:tcMar>
          </w:tcPr>
          <w:p>
            <w:pPr>
              <w:spacing w:after="20"/>
            </w:pPr>
            <w:r>
              <w:rPr>
                <w:rFonts w:ascii="Consolas" w:cs="Consolas" w:eastAsia="Consolas" w:hAnsi="Consolas"/>
                <w:color w:val="D4D4D4"/>
                <w:sz w:val="18"/>
                <w:szCs w:val="18"/>
              </w:rPr>
              <w:t xml:space="preserve">PS C:\&gt; Get-BitLockerVolume</w:t>
            </w:r>
          </w:p>
        </w:tc>
      </w:tr>
    </w:tbl>
    <w:p>
      <w:pPr>
        <w:spacing w:after="120"/>
      </w:pPr>
      <w:r>
        <w:rPr>
          <w:sz w:val="22"/>
          <w:szCs w:val="22"/>
        </w:rPr>
        <w:t xml:space="preserve">Result: VolumeStatus = FullyDecrypted, Encryption Percentage = 0, Protection Status = Off, Key Protector = {} (empty).</w:t>
      </w:r>
    </w:p>
    <w:p>
      <w:pPr>
        <w:spacing w:after="120"/>
      </w:pPr>
      <w:r>
        <w:rPr>
          <w:sz w:val="22"/>
          <w:szCs w:val="22"/>
        </w:rPr>
        <w:t xml:space="preserve">Impact: The entire C: drive — including cached credentials, browser sessions, and documents — is fully readable by anyone with physical access to the drive, with no login required if removed and mounted on another machine. This is the highest-impact finding in the audit.</w:t>
      </w:r>
    </w:p>
    <w:p>
      <w:pPr>
        <w:pStyle w:val="Heading2"/>
        <w:spacing w:after="150" w:before="300"/>
      </w:pPr>
      <w:r>
        <w:rPr>
          <w:color w:val="1A2B3C"/>
        </w:rPr>
        <w:t xml:space="preserve">4.2  Critical: Operating System End-of-Life</w:t>
      </w:r>
    </w:p>
    <w:tbl>
      <w:tblPr>
        <w:tblW w:type="dxa" w:w="2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2200"/>
            <w:shd w:fill="C0392B" w:val="clear"/>
            <w:tcMar>
              <w:top w:type="dxa" w:w="60"/>
              <w:left w:type="dxa" w:w="150"/>
              <w:bottom w:type="dxa" w:w="60"/>
              <w:right w:type="dxa" w:w="150"/>
            </w:tcMar>
          </w:tcPr>
          <w:p>
            <w:pPr>
              <w:jc w:val="center"/>
            </w:pPr>
            <w:r>
              <w:rPr>
                <w:b/>
                <w:bCs/>
                <w:color w:val="FFFFFF"/>
                <w:sz w:val="20"/>
                <w:szCs w:val="20"/>
              </w:rPr>
              <w:t xml:space="preserve">CVSS: CRITICAL</w:t>
            </w:r>
          </w:p>
        </w:tc>
      </w:tr>
    </w:tbl>
    <w:p>
      <w:pPr>
        <w:spacing w:after="120"/>
      </w:pPr>
      <w:r>
        <w:rPr>
          <w:sz w:val="22"/>
          <w:szCs w:val="22"/>
        </w:rPr>
        <w:t xml:space="preserve">Command used:</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shd w:fill="1E1E1E" w:val="clear"/>
            <w:tcMar>
              <w:top w:type="dxa" w:w="150"/>
              <w:left w:type="dxa" w:w="200"/>
              <w:bottom w:type="dxa" w:w="150"/>
              <w:right w:type="dxa" w:w="200"/>
            </w:tcMar>
          </w:tcPr>
          <w:p>
            <w:pPr>
              <w:spacing w:after="20"/>
            </w:pPr>
            <w:r>
              <w:rPr>
                <w:rFonts w:ascii="Consolas" w:cs="Consolas" w:eastAsia="Consolas" w:hAnsi="Consolas"/>
                <w:color w:val="D4D4D4"/>
                <w:sz w:val="18"/>
                <w:szCs w:val="18"/>
              </w:rPr>
              <w:t xml:space="preserve">PS C:\&gt; Get-ComputerInfo | Select-Object OsName, OsVersion</w:t>
            </w:r>
          </w:p>
          <w:p>
            <w:pPr>
              <w:spacing w:after="20"/>
            </w:pPr>
            <w:r>
              <w:rPr>
                <w:rFonts w:ascii="Consolas" w:cs="Consolas" w:eastAsia="Consolas" w:hAnsi="Consolas"/>
                <w:color w:val="D4D4D4"/>
                <w:sz w:val="18"/>
                <w:szCs w:val="18"/>
              </w:rPr>
              <w:t xml:space="preserve">PS C:\&gt; Get-ComputerInfo | Select-Object CsProcessors, OsArchitecture, BiosFirmwareType</w:t>
            </w:r>
          </w:p>
        </w:tc>
      </w:tr>
    </w:tbl>
    <w:p>
      <w:pPr>
        <w:spacing w:after="120"/>
      </w:pPr>
      <w:r>
        <w:rPr>
          <w:sz w:val="22"/>
          <w:szCs w:val="22"/>
        </w:rPr>
        <w:t xml:space="preserve">Result: Windows 10 Pro, version 22H2 (Build 19045) — confirmed by Windows Update itself as having “reached the end of support.” CPU identified as Intel Core i5-6200U (6th generation), which does not meet Windows 11’s minimum hardware requirements — confirmed directly by Settings, which stated: “Your PC doesn’t currently meet the minimum system requirements to run Windows 11.”</w:t>
      </w:r>
    </w:p>
    <w:p>
      <w:pPr>
        <w:spacing w:after="150" w:before="150"/>
        <w:jc w:val="center"/>
      </w:pPr>
      <w:r>
        <w:drawing>
          <wp:inline distT="0" distB="0" distL="0" distR="0">
            <wp:extent cx="45720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466975"/>
                    </a:xfrm>
                    <a:prstGeom prst="rect">
                      <a:avLst/>
                    </a:prstGeom>
                  </pic:spPr>
                </pic:pic>
              </a:graphicData>
            </a:graphic>
          </wp:inline>
        </w:drawing>
      </w:r>
    </w:p>
    <w:p>
      <w:pPr>
        <w:spacing w:after="250"/>
        <w:jc w:val="center"/>
      </w:pPr>
      <w:r>
        <w:rPr>
          <w:i/>
          <w:iCs/>
          <w:color w:val="666666"/>
          <w:sz w:val="18"/>
          <w:szCs w:val="18"/>
        </w:rPr>
        <w:t xml:space="preserve">Figure 1 — BEFORE: Windows Update confirming end-of-support status, no OS-level patches available.</w:t>
      </w:r>
    </w:p>
    <w:p>
      <w:pPr>
        <w:spacing w:after="120"/>
      </w:pPr>
      <w:r>
        <w:rPr>
          <w:sz w:val="22"/>
          <w:szCs w:val="22"/>
        </w:rPr>
        <w:t xml:space="preserve">Impact: No further security patches will ever be released for this OS version through normal channels. Every future vulnerability discovered in Windows 10 has zero chance of receiving an official fix without intervention.</w:t>
      </w:r>
    </w:p>
    <w:p>
      <w:pPr>
        <w:pStyle w:val="Heading2"/>
        <w:spacing w:after="150" w:before="300"/>
      </w:pPr>
      <w:r>
        <w:rPr>
          <w:color w:val="1A2B3C"/>
        </w:rPr>
        <w:t xml:space="preserve">4.3  Pass: Firewall, Admin Accounts, Software Inventory</w:t>
      </w:r>
    </w:p>
    <w:tbl>
      <w:tblPr>
        <w:tblW w:type="dxa" w:w="2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2200"/>
            <w:shd w:fill="1E7B34" w:val="clear"/>
            <w:tcMar>
              <w:top w:type="dxa" w:w="60"/>
              <w:left w:type="dxa" w:w="150"/>
              <w:bottom w:type="dxa" w:w="60"/>
              <w:right w:type="dxa" w:w="150"/>
            </w:tcMar>
          </w:tcPr>
          <w:p>
            <w:pPr>
              <w:jc w:val="center"/>
            </w:pPr>
            <w:r>
              <w:rPr>
                <w:b/>
                <w:bCs/>
                <w:color w:val="FFFFFF"/>
                <w:sz w:val="20"/>
                <w:szCs w:val="20"/>
              </w:rPr>
              <w:t xml:space="preserve">STATUS: PASS</w:t>
            </w:r>
          </w:p>
        </w:tc>
      </w:tr>
    </w:tbl>
    <w:p>
      <w:pPr>
        <w:spacing w:after="120"/>
      </w:pPr>
      <w:r>
        <w:rPr>
          <w:sz w:val="22"/>
          <w:szCs w:val="22"/>
        </w:rPr>
        <w:t xml:space="preserve">Command used:</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shd w:fill="1E1E1E" w:val="clear"/>
            <w:tcMar>
              <w:top w:type="dxa" w:w="150"/>
              <w:left w:type="dxa" w:w="200"/>
              <w:bottom w:type="dxa" w:w="150"/>
              <w:right w:type="dxa" w:w="200"/>
            </w:tcMar>
          </w:tcPr>
          <w:p>
            <w:pPr>
              <w:spacing w:after="20"/>
            </w:pPr>
            <w:r>
              <w:rPr>
                <w:rFonts w:ascii="Consolas" w:cs="Consolas" w:eastAsia="Consolas" w:hAnsi="Consolas"/>
                <w:color w:val="D4D4D4"/>
                <w:sz w:val="18"/>
                <w:szCs w:val="18"/>
              </w:rPr>
              <w:t xml:space="preserve">PS C:\&gt; Get-NetFirewallProfile</w:t>
            </w:r>
          </w:p>
          <w:p>
            <w:pPr>
              <w:spacing w:after="20"/>
            </w:pPr>
            <w:r>
              <w:rPr>
                <w:rFonts w:ascii="Consolas" w:cs="Consolas" w:eastAsia="Consolas" w:hAnsi="Consolas"/>
                <w:color w:val="D4D4D4"/>
                <w:sz w:val="18"/>
                <w:szCs w:val="18"/>
              </w:rPr>
              <w:t xml:space="preserve">PS C:\&gt; Get-LocalGroupMember -Group "Administrators"</w:t>
            </w:r>
          </w:p>
          <w:p>
            <w:pPr>
              <w:spacing w:after="20"/>
            </w:pPr>
            <w:r>
              <w:rPr>
                <w:rFonts w:ascii="Consolas" w:cs="Consolas" w:eastAsia="Consolas" w:hAnsi="Consolas"/>
                <w:color w:val="D4D4D4"/>
                <w:sz w:val="18"/>
                <w:szCs w:val="18"/>
              </w:rPr>
              <w:t xml:space="preserve">PS C:\&gt; Get-LocalUser -Name "Administrator" | Select-Object Name, Enabled</w:t>
            </w:r>
          </w:p>
        </w:tc>
      </w:tr>
    </w:tbl>
    <w:p>
      <w:pPr>
        <w:spacing w:after="120"/>
      </w:pPr>
      <w:r>
        <w:rPr>
          <w:sz w:val="22"/>
          <w:szCs w:val="22"/>
        </w:rPr>
        <w:t xml:space="preserve">Result: All 3 firewall profiles (Domain, Private, Public) returned Enabled = True. Administrators group contains only my own account and the built-in Administrator account, which is confirmed disabled (Enabled = False). Full software inventory (80+ installed applications) reviewed line-by-line — all identified as legitimate development tools (Docker, Java, VS runtimes), virtualization software (VirtualBox), or cybersecurity training tools (PuTTY, Zed Attack Proxy) consistent with active coursework. No unrecognized or suspicious software found.</w:t>
      </w:r>
    </w:p>
    <w:p>
      <w:r>
        <w:br w:type="page"/>
      </w:r>
    </w:p>
    <w:p>
      <w:pPr>
        <w:pStyle w:val="Heading1"/>
        <w:spacing w:after="150" w:before="300"/>
      </w:pPr>
      <w:r>
        <w:rPr>
          <w:color w:val="1A2B3C"/>
        </w:rPr>
        <w:t xml:space="preserve">5. Section 2 — Remediation Actions (The Treatment)</w:t>
      </w:r>
    </w:p>
    <w:p>
      <w:pPr>
        <w:pStyle w:val="Heading2"/>
        <w:spacing w:after="150" w:before="300"/>
      </w:pPr>
      <w:r>
        <w:rPr>
          <w:color w:val="1A2B3C"/>
        </w:rPr>
        <w:t xml:space="preserve">5.1  Fixed: OS End-of-Life → Enrolled in Extended Security Updates</w:t>
      </w:r>
    </w:p>
    <w:tbl>
      <w:tblPr>
        <w:tblW w:type="dxa" w:w="2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2200"/>
            <w:shd w:fill="1E7B34" w:val="clear"/>
            <w:tcMar>
              <w:top w:type="dxa" w:w="60"/>
              <w:left w:type="dxa" w:w="150"/>
              <w:bottom w:type="dxa" w:w="60"/>
              <w:right w:type="dxa" w:w="150"/>
            </w:tcMar>
          </w:tcPr>
          <w:p>
            <w:pPr>
              <w:jc w:val="center"/>
            </w:pPr>
            <w:r>
              <w:rPr>
                <w:b/>
                <w:bCs/>
                <w:color w:val="FFFFFF"/>
                <w:sz w:val="20"/>
                <w:szCs w:val="20"/>
              </w:rPr>
              <w:t xml:space="preserve">STATUS: REMEDIATED</w:t>
            </w:r>
          </w:p>
        </w:tc>
      </w:tr>
    </w:tbl>
    <w:p>
      <w:pPr>
        <w:spacing w:after="120"/>
      </w:pPr>
      <w:r>
        <w:rPr>
          <w:sz w:val="22"/>
          <w:szCs w:val="22"/>
        </w:rPr>
        <w:t xml:space="preserve">Since the hardware could not support a Windows 11 upgrade, the realistic and safe remediation path was enrolling in Microsoft's consumer Extended Security Updates (ESU) program, which resumes delivery of official security patches at no cost.</w:t>
      </w:r>
    </w:p>
    <w:p>
      <w:pPr>
        <w:spacing w:after="120"/>
      </w:pPr>
      <w:r>
        <w:rPr>
          <w:sz w:val="22"/>
          <w:szCs w:val="22"/>
        </w:rPr>
        <w:t xml:space="preserve">Steps taken:</w:t>
      </w:r>
    </w:p>
    <w:p>
      <w:pPr>
        <w:spacing w:after="60"/>
      </w:pPr>
      <w:r>
        <w:rPr>
          <w:sz w:val="22"/>
          <w:szCs w:val="22"/>
        </w:rPr>
        <w:t xml:space="preserve">1. Navigated to Settings → Update &amp; Security → Windows Update.</w:t>
      </w:r>
    </w:p>
    <w:p>
      <w:pPr>
        <w:spacing w:after="60"/>
      </w:pPr>
      <w:r>
        <w:rPr>
          <w:sz w:val="22"/>
          <w:szCs w:val="22"/>
        </w:rPr>
        <w:t xml:space="preserve">2. Selected “Enroll now” under Extended Security Updates.</w:t>
      </w:r>
    </w:p>
    <w:p>
      <w:pPr>
        <w:spacing w:after="60"/>
      </w:pPr>
      <w:r>
        <w:rPr>
          <w:sz w:val="22"/>
          <w:szCs w:val="22"/>
        </w:rPr>
        <w:t xml:space="preserve">3. Linked a Microsoft account (required for ESU licensing; local Windows login was unaffected).</w:t>
      </w:r>
    </w:p>
    <w:p>
      <w:pPr>
        <w:spacing w:after="60"/>
      </w:pPr>
      <w:r>
        <w:rPr>
          <w:sz w:val="22"/>
          <w:szCs w:val="22"/>
        </w:rPr>
        <w:t xml:space="preserve">4. Selected the free enrollment path (Windows Backup of settings) rather than the paid option.</w:t>
      </w:r>
    </w:p>
    <w:p>
      <w:pPr>
        <w:spacing w:after="200"/>
      </w:pPr>
      <w:r>
        <w:rPr>
          <w:sz w:val="22"/>
          <w:szCs w:val="22"/>
        </w:rPr>
        <w:t xml:space="preserve">5. Confirmed enrollment. Device is now licensed to receive security patches through October 12, 2027.</w:t>
      </w:r>
    </w:p>
    <w:p>
      <w:pPr>
        <w:spacing w:after="150" w:before="150"/>
        <w:jc w:val="center"/>
      </w:pPr>
      <w:r>
        <w:drawing>
          <wp:inline distT="0" distB="0" distL="0" distR="0">
            <wp:extent cx="3048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48000" cy="3609975"/>
                    </a:xfrm>
                    <a:prstGeom prst="rect">
                      <a:avLst/>
                    </a:prstGeom>
                  </pic:spPr>
                </pic:pic>
              </a:graphicData>
            </a:graphic>
          </wp:inline>
        </w:drawing>
      </w:r>
    </w:p>
    <w:p>
      <w:pPr>
        <w:spacing w:after="250"/>
        <w:jc w:val="center"/>
      </w:pPr>
      <w:r>
        <w:rPr>
          <w:i/>
          <w:iCs/>
          <w:color w:val="666666"/>
          <w:sz w:val="18"/>
          <w:szCs w:val="18"/>
        </w:rPr>
        <w:t xml:space="preserve">Figure 2 — AFTER: Confirmed enrollment in Extended Security Updates through October 12, 2027.</w:t>
      </w:r>
    </w:p>
    <w:p>
      <w:pPr>
        <w:spacing w:after="120"/>
      </w:pPr>
      <w:r>
        <w:rPr>
          <w:sz w:val="22"/>
          <w:szCs w:val="22"/>
        </w:rPr>
        <w:t xml:space="preserve">Note: ESU is a mitigation, not a permanent resolution. The underlying hardware limitation remains — this device cannot run Windows 11. Long-term remediation will require hardware replacement; ESU buys time and restores patch coverage in the interim.</w:t>
      </w:r>
    </w:p>
    <w:p>
      <w:pPr>
        <w:pStyle w:val="Heading2"/>
        <w:spacing w:after="150" w:before="300"/>
      </w:pPr>
      <w:r>
        <w:rPr>
          <w:color w:val="1A2B3C"/>
        </w:rPr>
        <w:t xml:space="preserve">5.2  Deferred (By Design): Disk Encryption</w:t>
      </w:r>
    </w:p>
    <w:tbl>
      <w:tblPr>
        <w:tblW w:type="dxa" w:w="2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2200"/>
            <w:shd w:fill="B9770E" w:val="clear"/>
            <w:tcMar>
              <w:top w:type="dxa" w:w="60"/>
              <w:left w:type="dxa" w:w="150"/>
              <w:bottom w:type="dxa" w:w="60"/>
              <w:right w:type="dxa" w:w="150"/>
            </w:tcMar>
          </w:tcPr>
          <w:p>
            <w:pPr>
              <w:jc w:val="center"/>
            </w:pPr>
            <w:r>
              <w:rPr>
                <w:b/>
                <w:bCs/>
                <w:color w:val="FFFFFF"/>
                <w:sz w:val="20"/>
                <w:szCs w:val="20"/>
              </w:rPr>
              <w:t xml:space="preserve">STATUS: DEFERRED</w:t>
            </w:r>
          </w:p>
        </w:tc>
      </w:tr>
    </w:tbl>
    <w:p>
      <w:pPr>
        <w:spacing w:after="120"/>
      </w:pPr>
      <w:r>
        <w:rPr>
          <w:sz w:val="22"/>
          <w:szCs w:val="22"/>
        </w:rPr>
        <w:t xml:space="preserve">An attempt was made to enable BitLocker on the C: drive. During setup, Windows required a recovery key backup location before encryption could proceed. Two attempts failed for legitimate reasons:</w:t>
      </w:r>
    </w:p>
    <w:p>
      <w:pPr>
        <w:spacing w:after="150" w:before="150"/>
        <w:jc w:val="center"/>
      </w:pPr>
      <w:r>
        <w:drawing>
          <wp:inline distT="0" distB="0" distL="0" distR="0">
            <wp:extent cx="45720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295525"/>
                    </a:xfrm>
                    <a:prstGeom prst="rect">
                      <a:avLst/>
                    </a:prstGeom>
                  </pic:spPr>
                </pic:pic>
              </a:graphicData>
            </a:graphic>
          </wp:inline>
        </w:drawing>
      </w:r>
    </w:p>
    <w:p>
      <w:pPr>
        <w:spacing w:after="250"/>
        <w:jc w:val="center"/>
      </w:pPr>
      <w:r>
        <w:rPr>
          <w:i/>
          <w:iCs/>
          <w:color w:val="666666"/>
          <w:sz w:val="18"/>
          <w:szCs w:val="18"/>
        </w:rPr>
        <w:t xml:space="preserve">Figure 3 — BitLocker could not save the recovery key to a Microsoft account (local account in use).</w:t>
      </w:r>
    </w:p>
    <w:p>
      <w:pPr>
        <w:spacing w:after="150" w:before="150"/>
        <w:jc w:val="center"/>
      </w:pPr>
      <w:r>
        <w:drawing>
          <wp:inline distT="0" distB="0" distL="0" distR="0">
            <wp:extent cx="4572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476500"/>
                    </a:xfrm>
                    <a:prstGeom prst="rect">
                      <a:avLst/>
                    </a:prstGeom>
                  </pic:spPr>
                </pic:pic>
              </a:graphicData>
            </a:graphic>
          </wp:inline>
        </w:drawing>
      </w:r>
    </w:p>
    <w:p>
      <w:pPr>
        <w:spacing w:after="250"/>
        <w:jc w:val="center"/>
      </w:pPr>
      <w:r>
        <w:rPr>
          <w:i/>
          <w:iCs/>
          <w:color w:val="666666"/>
          <w:sz w:val="18"/>
          <w:szCs w:val="18"/>
        </w:rPr>
        <w:t xml:space="preserve">Figure 4 — BitLocker refused to save the recovery key onto an already-encrypted secondary drive, correctly preventing a scenario where the key could be locked away with no separate backup.</w:t>
      </w:r>
    </w:p>
    <w:p>
      <w:pPr>
        <w:spacing w:after="120"/>
      </w:pPr>
      <w:r>
        <w:rPr>
          <w:sz w:val="22"/>
          <w:szCs w:val="22"/>
        </w:rPr>
        <w:t xml:space="preserve">Decision: Rather than proceed without a verified, separately stored recovery key, encryption was intentionally paused. Forcing full-disk encryption without a safe key backup location risks permanent lockout from all personal data — a worse outcome than the current unencrypted state, which is at least fully accessible.</w:t>
      </w:r>
    </w:p>
    <w:p>
      <w:pPr>
        <w:spacing w:after="120"/>
      </w:pPr>
      <w:r>
        <w:rPr>
          <w:sz w:val="22"/>
          <w:szCs w:val="22"/>
        </w:rPr>
        <w:t xml:space="preserve">Recommended next step: Acquire a USB drive or confirm reliable cloud storage access, export the recovery key there first, then re-attempt encryption of the full drive.</w:t>
      </w:r>
    </w:p>
    <w:p>
      <w:r>
        <w:br w:type="page"/>
      </w:r>
    </w:p>
    <w:p>
      <w:pPr>
        <w:pStyle w:val="Heading1"/>
        <w:spacing w:after="150" w:before="300"/>
      </w:pPr>
      <w:r>
        <w:rPr>
          <w:color w:val="1A2B3C"/>
        </w:rPr>
        <w:t xml:space="preserve">6. Section 3 — Hardened Verification (The Proof)</w:t>
      </w:r>
    </w:p>
    <w:p>
      <w:pPr>
        <w:spacing w:after="120"/>
      </w:pPr>
      <w:r>
        <w:rPr>
          <w:sz w:val="22"/>
          <w:szCs w:val="22"/>
        </w:rPr>
        <w:t xml:space="preserve">The OS end-of-life finding was the primary remediated issue in this audit. Verification was performed by returning to the same Windows Update panel used to identify the original flaw.</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4250"/>
        <w:gridCol w:w="4250"/>
      </w:tblGrid>
      <w:tr>
        <w:trPr>
          <w:tblHeader/>
        </w:trPr>
        <w:tc>
          <w:tcPr>
            <w:tcW w:type="dxa" w:w="4250"/>
            <w:shd w:fill="C0392B" w:val="clear"/>
            <w:tcMar>
              <w:top w:type="dxa" w:w="100"/>
              <w:left w:type="dxa" w:w="120"/>
              <w:bottom w:type="dxa" w:w="100"/>
              <w:right w:type="dxa" w:w="120"/>
            </w:tcMar>
          </w:tcPr>
          <w:p>
            <w:pPr>
              <w:jc w:val="center"/>
            </w:pPr>
            <w:r>
              <w:rPr>
                <w:b/>
                <w:bCs/>
                <w:color w:val="FFFFFF"/>
                <w:sz w:val="20"/>
                <w:szCs w:val="20"/>
              </w:rPr>
              <w:t xml:space="preserve">BEFORE</w:t>
            </w:r>
          </w:p>
        </w:tc>
        <w:tc>
          <w:tcPr>
            <w:tcW w:type="dxa" w:w="4250"/>
            <w:shd w:fill="1E7B34" w:val="clear"/>
            <w:tcMar>
              <w:top w:type="dxa" w:w="100"/>
              <w:left w:type="dxa" w:w="120"/>
              <w:bottom w:type="dxa" w:w="100"/>
              <w:right w:type="dxa" w:w="120"/>
            </w:tcMar>
          </w:tcPr>
          <w:p>
            <w:pPr>
              <w:jc w:val="center"/>
            </w:pPr>
            <w:r>
              <w:rPr>
                <w:b/>
                <w:bCs/>
                <w:color w:val="FFFFFF"/>
                <w:sz w:val="20"/>
                <w:szCs w:val="20"/>
              </w:rPr>
              <w:t xml:space="preserve">AFTER</w:t>
            </w:r>
          </w:p>
        </w:tc>
      </w:tr>
      <w:tr>
        <w:tc>
          <w:tcPr>
            <w:tcW w:type="dxa" w:w="4250"/>
            <w:tcMar>
              <w:top w:type="dxa" w:w="100"/>
              <w:left w:type="dxa" w:w="120"/>
              <w:bottom w:type="dxa" w:w="100"/>
              <w:right w:type="dxa" w:w="120"/>
            </w:tcMar>
          </w:tcPr>
          <w:p>
            <w:pPr>
              <w:jc w:val="left"/>
            </w:pPr>
            <w:r>
              <w:rPr>
                <w:b w:val="false"/>
                <w:bCs w:val="false"/>
                <w:sz w:val="20"/>
                <w:szCs w:val="20"/>
              </w:rPr>
              <w:t xml:space="preserve">“Your version of Windows has reached the end of support. Your device is no longer receiving security updates.”</w:t>
            </w:r>
          </w:p>
        </w:tc>
        <w:tc>
          <w:tcPr>
            <w:tcW w:type="dxa" w:w="4250"/>
            <w:tcMar>
              <w:top w:type="dxa" w:w="100"/>
              <w:left w:type="dxa" w:w="120"/>
              <w:bottom w:type="dxa" w:w="100"/>
              <w:right w:type="dxa" w:w="120"/>
            </w:tcMar>
          </w:tcPr>
          <w:p>
            <w:pPr>
              <w:jc w:val="left"/>
            </w:pPr>
            <w:r>
              <w:rPr>
                <w:b w:val="false"/>
                <w:bCs w:val="false"/>
                <w:sz w:val="20"/>
                <w:szCs w:val="20"/>
              </w:rPr>
              <w:t xml:space="preserve">“You’re enrolled in Extended Security Updates through October 12, 2027.”</w:t>
            </w:r>
          </w:p>
        </w:tc>
      </w:tr>
    </w:tbl>
    <w:p>
      <w:pPr>
        <w:spacing w:after="120"/>
      </w:pPr>
      <w:r>
        <w:rPr>
          <w:sz w:val="22"/>
          <w:szCs w:val="22"/>
        </w:rPr>
        <w:t xml:space="preserve"> </w:t>
      </w:r>
    </w:p>
    <w:p>
      <w:pPr>
        <w:spacing w:after="120"/>
      </w:pPr>
      <w:r>
        <w:rPr>
          <w:sz w:val="22"/>
          <w:szCs w:val="22"/>
        </w:rPr>
        <w:t xml:space="preserve">The remaining critical finding (disk encryption) is documented above with evidence of the attempted remediation and a clear, risk-aware rationale for the deferral — along with a concrete next step to close it out.</w:t>
      </w:r>
    </w:p>
    <w:p>
      <w:pPr>
        <w:pStyle w:val="Heading1"/>
        <w:spacing w:after="150" w:before="300"/>
      </w:pPr>
      <w:r>
        <w:rPr>
          <w:color w:val="1A2B3C"/>
        </w:rPr>
        <w:t xml:space="preserve">7. Conclusion</w:t>
      </w:r>
    </w:p>
    <w:p>
      <w:pPr>
        <w:spacing w:after="120"/>
      </w:pPr>
      <w:r>
        <w:rPr>
          <w:sz w:val="22"/>
          <w:szCs w:val="22"/>
        </w:rPr>
        <w:t xml:space="preserve">This audit surfaced two critical-severity findings and confirmed three areas already in a secure, hardened state. One critical finding — unsupported OS patch status — was fully remediated by enrolling in Extended Security Updates, restoring official security patch coverage through October 2027. The second — unencrypted disk storage — was deliberately deferred rather than rushed, after encountering a genuine recovery-key backup obstacle; proceeding without a safe key backup location would have risked permanent data loss, a worse outcome than the current exposure.</w:t>
      </w:r>
    </w:p>
    <w:p>
      <w:pPr>
        <w:spacing w:after="120"/>
      </w:pPr>
      <w:r>
        <w:rPr>
          <w:sz w:val="22"/>
          <w:szCs w:val="22"/>
        </w:rPr>
        <w:t xml:space="preserve">This reflects a core principle of real-world security work: not every finding can or should be remediated immediately, and knowing when to pause, document, and plan a safe path forward is as important as the fix itself.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83a6ef763040533278b0eaf5ee9fc1ac25cd8bc.png"/><Relationship Id="rId8" Type="http://schemas.openxmlformats.org/officeDocument/2006/relationships/image" Target="media/ad91789b0692961213e5a5a176d586e5d59b82cd.png"/><Relationship Id="rId9" Type="http://schemas.openxmlformats.org/officeDocument/2006/relationships/image" Target="media/7442e0a45652e535066b110694c73a75ab67ed02.png"/><Relationship Id="rId10" Type="http://schemas.openxmlformats.org/officeDocument/2006/relationships/image" Target="media/331981cb0a7b9ccdb4ae83d39591d3c734c16391.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2026-07-07T20:02:25.397Z</dcterms:created>
  <dcterms:modified xsi:type="dcterms:W3CDTF">2026-07-07T20:02:25.397Z</dcterms:modified>
</cp:coreProperties>
</file>

<file path=docProps/custom.xml><?xml version="1.0" encoding="utf-8"?>
<Properties xmlns="http://schemas.openxmlformats.org/officeDocument/2006/custom-properties" xmlns:vt="http://schemas.openxmlformats.org/officeDocument/2006/docPropsVTypes"/>
</file>