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B3" w:rsidRPr="000F5FB3" w:rsidRDefault="000F5FB3" w:rsidP="000F5FB3">
      <w:pPr>
        <w:spacing w:before="150" w:after="150" w:line="600" w:lineRule="atLeast"/>
        <w:outlineLvl w:val="1"/>
        <w:rPr>
          <w:rFonts w:ascii="Verdana" w:eastAsia="Times New Roman" w:hAnsi="Verdana" w:cs="Times New Roman"/>
          <w:b/>
          <w:bCs/>
          <w:color w:val="5A5A00"/>
          <w:sz w:val="42"/>
          <w:szCs w:val="42"/>
          <w:lang w:eastAsia="es-ES"/>
        </w:rPr>
      </w:pPr>
      <w:r w:rsidRPr="000F5FB3">
        <w:rPr>
          <w:rFonts w:ascii="Verdana" w:eastAsia="Times New Roman" w:hAnsi="Verdana" w:cs="Times New Roman"/>
          <w:b/>
          <w:bCs/>
          <w:color w:val="5A5A00"/>
          <w:sz w:val="42"/>
          <w:szCs w:val="42"/>
          <w:lang w:eastAsia="es-ES"/>
        </w:rPr>
        <w:t>Ejercicios ERD 2</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Hay que identificar entidades, relaciones y atributos, indicando el tipo de cada relación. En los enunciados se ha incluido información irrelevante para el modelo de datos. Has de identificarla y descartarla.</w:t>
      </w:r>
    </w:p>
    <w:p w:rsidR="000F5FB3" w:rsidRPr="000F5FB3" w:rsidRDefault="000F5FB3" w:rsidP="000F5FB3">
      <w:pPr>
        <w:spacing w:before="150" w:after="150" w:line="600" w:lineRule="atLeast"/>
        <w:outlineLvl w:val="1"/>
        <w:rPr>
          <w:rFonts w:ascii="Verdana" w:eastAsia="Times New Roman" w:hAnsi="Verdana" w:cs="Times New Roman"/>
          <w:b/>
          <w:bCs/>
          <w:color w:val="5A5A00"/>
          <w:sz w:val="42"/>
          <w:szCs w:val="42"/>
          <w:lang w:eastAsia="es-ES"/>
        </w:rPr>
      </w:pPr>
      <w:r w:rsidRPr="000F5FB3">
        <w:rPr>
          <w:rFonts w:ascii="Verdana" w:eastAsia="Times New Roman" w:hAnsi="Verdana" w:cs="Times New Roman"/>
          <w:b/>
          <w:bCs/>
          <w:color w:val="5A5A00"/>
          <w:sz w:val="42"/>
          <w:szCs w:val="42"/>
          <w:lang w:eastAsia="es-ES"/>
        </w:rPr>
        <w:t>Huertos ecológicos</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 xml:space="preserve">Una asociación ecologista gestiona una parcela cedida por el Ayuntamiento para la instalación de huertos </w:t>
      </w:r>
      <w:proofErr w:type="spellStart"/>
      <w:r w:rsidRPr="000F5FB3">
        <w:rPr>
          <w:rFonts w:ascii="Verdana" w:eastAsia="Times New Roman" w:hAnsi="Verdana" w:cs="Times New Roman"/>
          <w:color w:val="5A5A00"/>
          <w:sz w:val="21"/>
          <w:szCs w:val="21"/>
          <w:lang w:eastAsia="es-ES"/>
        </w:rPr>
        <w:t>ecológicos.La</w:t>
      </w:r>
      <w:proofErr w:type="spellEnd"/>
      <w:r w:rsidRPr="000F5FB3">
        <w:rPr>
          <w:rFonts w:ascii="Verdana" w:eastAsia="Times New Roman" w:hAnsi="Verdana" w:cs="Times New Roman"/>
          <w:color w:val="5A5A00"/>
          <w:sz w:val="21"/>
          <w:szCs w:val="21"/>
          <w:lang w:eastAsia="es-ES"/>
        </w:rPr>
        <w:t xml:space="preserve"> parcela está dividida en huertos. Los huertos se ordenan en calles. Cada huerto se identifica por un número. Además de estos datos, el huerto tendrá una superficie y puede disponer o no de una caseta para guardar materiales.</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Para poder solicitar un huerto hay que hacerse socio de la cooperativa, que asignará un número de socio. Luego hay que hacer una solicitud de la que se hará una copia para el ayuntamiento y otra para la Junta de Andalucía. Cada huerto está adjudicado a un socio por un periodo de dos años, que puede renovarse. El socio también puede renunciar al huerto en el momento que quiera y se adjudicará a otro solicitante.</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Si el número de solicitudes es superior al número de huertos disponibles, se creará una lista de espera. A cada socio solicitante en espera se le asigna un número secuencial según el orden en el que lo solicitaron y se irán atendiendo por ese orden cuando haya huertos disponibles.</w:t>
      </w:r>
    </w:p>
    <w:p w:rsidR="000F5FB3" w:rsidRPr="000F5FB3" w:rsidRDefault="000F5FB3" w:rsidP="000F5FB3">
      <w:pPr>
        <w:spacing w:before="150" w:after="150" w:line="600" w:lineRule="atLeast"/>
        <w:outlineLvl w:val="1"/>
        <w:rPr>
          <w:rFonts w:ascii="Verdana" w:eastAsia="Times New Roman" w:hAnsi="Verdana" w:cs="Times New Roman"/>
          <w:b/>
          <w:bCs/>
          <w:color w:val="5A5A00"/>
          <w:sz w:val="42"/>
          <w:szCs w:val="42"/>
          <w:lang w:eastAsia="es-ES"/>
        </w:rPr>
      </w:pPr>
      <w:proofErr w:type="spellStart"/>
      <w:r w:rsidRPr="000F5FB3">
        <w:rPr>
          <w:rFonts w:ascii="Verdana" w:eastAsia="Times New Roman" w:hAnsi="Verdana" w:cs="Times New Roman"/>
          <w:b/>
          <w:bCs/>
          <w:color w:val="5A5A00"/>
          <w:sz w:val="42"/>
          <w:szCs w:val="42"/>
          <w:lang w:eastAsia="es-ES"/>
        </w:rPr>
        <w:t>Relaxing</w:t>
      </w:r>
      <w:proofErr w:type="spellEnd"/>
      <w:r w:rsidRPr="000F5FB3">
        <w:rPr>
          <w:rFonts w:ascii="Verdana" w:eastAsia="Times New Roman" w:hAnsi="Verdana" w:cs="Times New Roman"/>
          <w:b/>
          <w:bCs/>
          <w:color w:val="5A5A00"/>
          <w:sz w:val="42"/>
          <w:szCs w:val="42"/>
          <w:lang w:eastAsia="es-ES"/>
        </w:rPr>
        <w:t xml:space="preserve"> cup of café con leche</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 xml:space="preserve">Una tienda ofrece a sus clientes múltiples variedades de café con las que preparar mezclas personalizadas. Cada variedad de café tiene un nombre, un lugar de origen y unas propiedades (antioxidante, digestivo, tonificante, </w:t>
      </w:r>
      <w:proofErr w:type="spellStart"/>
      <w:r w:rsidRPr="000F5FB3">
        <w:rPr>
          <w:rFonts w:ascii="Verdana" w:eastAsia="Times New Roman" w:hAnsi="Verdana" w:cs="Times New Roman"/>
          <w:color w:val="5A5A00"/>
          <w:sz w:val="21"/>
          <w:szCs w:val="21"/>
          <w:lang w:eastAsia="es-ES"/>
        </w:rPr>
        <w:t>etc</w:t>
      </w:r>
      <w:proofErr w:type="spellEnd"/>
      <w:r w:rsidRPr="000F5FB3">
        <w:rPr>
          <w:rFonts w:ascii="Verdana" w:eastAsia="Times New Roman" w:hAnsi="Verdana" w:cs="Times New Roman"/>
          <w:color w:val="5A5A00"/>
          <w:sz w:val="21"/>
          <w:szCs w:val="21"/>
          <w:lang w:eastAsia="es-ES"/>
        </w:rPr>
        <w:t>). También tiene un precio de venta por kilo.</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La tienda también organiza actividades, como cata de cafés y talleres de tostado.</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Los clientes que deseen elaborar sus mezclas deben registrarse en la tienda, aportando sus datos personales (nombre, dirección), un Nick o nombre de usuario y una contraseña. Una vez registrados pueden elaborar sus propias mezclas, que quedarán almacenadas para poder usarlas. A cada mezcla se le asigna un código y nos interesa saber las proporciones en las que intervienen los distintos tipos de café. Las proporciones se expresan en tanto por ciento, deben ser múltiplos de cinco y todas juntas tienen que sumar 100. Una vez elaborada, una misma mezcla puede ser comprada por varios clientes.</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Algunos clientes prefieren los cafés americanos, mientras que otros gustan de los asiáticos o africanos.</w:t>
      </w:r>
    </w:p>
    <w:p w:rsidR="000F5FB3" w:rsidRPr="000F5FB3" w:rsidRDefault="000F5FB3" w:rsidP="000F5FB3">
      <w:pPr>
        <w:spacing w:before="150" w:after="150" w:line="600" w:lineRule="atLeast"/>
        <w:outlineLvl w:val="1"/>
        <w:rPr>
          <w:rFonts w:ascii="Verdana" w:eastAsia="Times New Roman" w:hAnsi="Verdana" w:cs="Times New Roman"/>
          <w:b/>
          <w:bCs/>
          <w:color w:val="5A5A00"/>
          <w:sz w:val="42"/>
          <w:szCs w:val="42"/>
          <w:lang w:eastAsia="es-ES"/>
        </w:rPr>
      </w:pPr>
      <w:r w:rsidRPr="000F5FB3">
        <w:rPr>
          <w:rFonts w:ascii="Verdana" w:eastAsia="Times New Roman" w:hAnsi="Verdana" w:cs="Times New Roman"/>
          <w:b/>
          <w:bCs/>
          <w:color w:val="5A5A00"/>
          <w:sz w:val="42"/>
          <w:szCs w:val="42"/>
          <w:lang w:eastAsia="es-ES"/>
        </w:rPr>
        <w:t>Desahucios</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 xml:space="preserve">Un desahucio o "ejecución hipotecaria” consiste en obligar a unas personas a desalojar la vivienda que habitan. Como puede ocurrir que no quieran irse voluntariamente, se envía a la policía para obligarlos. En un desahucio no basta </w:t>
      </w:r>
      <w:r w:rsidRPr="000F5FB3">
        <w:rPr>
          <w:rFonts w:ascii="Verdana" w:eastAsia="Times New Roman" w:hAnsi="Verdana" w:cs="Times New Roman"/>
          <w:color w:val="5A5A00"/>
          <w:sz w:val="21"/>
          <w:szCs w:val="21"/>
          <w:lang w:eastAsia="es-ES"/>
        </w:rPr>
        <w:lastRenderedPageBreak/>
        <w:t xml:space="preserve">con enviar a un único policía, sino que hacen falta muchos. Cada policía se identifica por un número de placa, pero además tendrá un nombre y un rango (agente, inspector, </w:t>
      </w:r>
      <w:proofErr w:type="spellStart"/>
      <w:r w:rsidRPr="000F5FB3">
        <w:rPr>
          <w:rFonts w:ascii="Verdana" w:eastAsia="Times New Roman" w:hAnsi="Verdana" w:cs="Times New Roman"/>
          <w:color w:val="5A5A00"/>
          <w:sz w:val="21"/>
          <w:szCs w:val="21"/>
          <w:lang w:eastAsia="es-ES"/>
        </w:rPr>
        <w:t>etc</w:t>
      </w:r>
      <w:proofErr w:type="spellEnd"/>
      <w:r w:rsidRPr="000F5FB3">
        <w:rPr>
          <w:rFonts w:ascii="Verdana" w:eastAsia="Times New Roman" w:hAnsi="Verdana" w:cs="Times New Roman"/>
          <w:color w:val="5A5A00"/>
          <w:sz w:val="21"/>
          <w:szCs w:val="21"/>
          <w:lang w:eastAsia="es-ES"/>
        </w:rPr>
        <w:t>). Los policías están autorizados a emplear la fuerza si es necesario para echar a la calle a los inquilinos, pero deben evitar usar armas de fuego salvo para repeler una agresión.</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El desahucio se programa para una fecha determinada y en una dirección concreta.</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Las plataformas de Afectados por la Hipoteca (</w:t>
      </w:r>
      <w:proofErr w:type="spellStart"/>
      <w:r w:rsidRPr="000F5FB3">
        <w:rPr>
          <w:rFonts w:ascii="Verdana" w:eastAsia="Times New Roman" w:hAnsi="Verdana" w:cs="Times New Roman"/>
          <w:color w:val="5A5A00"/>
          <w:sz w:val="21"/>
          <w:szCs w:val="21"/>
          <w:lang w:eastAsia="es-ES"/>
        </w:rPr>
        <w:t>PAHs</w:t>
      </w:r>
      <w:proofErr w:type="spellEnd"/>
      <w:r w:rsidRPr="000F5FB3">
        <w:rPr>
          <w:rFonts w:ascii="Verdana" w:eastAsia="Times New Roman" w:hAnsi="Verdana" w:cs="Times New Roman"/>
          <w:color w:val="5A5A00"/>
          <w:sz w:val="21"/>
          <w:szCs w:val="21"/>
          <w:lang w:eastAsia="es-ES"/>
        </w:rPr>
        <w:t xml:space="preserve">) intentan evitar los desahucios. Para ello convocan a sus asociados en el mismo momento y lugar para rodear la casa e impedir que la policía consiga sus objetivos. Los asociados tienen un nombre, apellidos, profesión y fecha de nacimiento. Nos interesa saber quiénes acuden a cada </w:t>
      </w:r>
      <w:proofErr w:type="spellStart"/>
      <w:r w:rsidRPr="000F5FB3">
        <w:rPr>
          <w:rFonts w:ascii="Verdana" w:eastAsia="Times New Roman" w:hAnsi="Verdana" w:cs="Times New Roman"/>
          <w:color w:val="5A5A00"/>
          <w:sz w:val="21"/>
          <w:szCs w:val="21"/>
          <w:lang w:eastAsia="es-ES"/>
        </w:rPr>
        <w:t>deshaucio</w:t>
      </w:r>
      <w:proofErr w:type="spellEnd"/>
      <w:r w:rsidRPr="000F5FB3">
        <w:rPr>
          <w:rFonts w:ascii="Verdana" w:eastAsia="Times New Roman" w:hAnsi="Verdana" w:cs="Times New Roman"/>
          <w:color w:val="5A5A00"/>
          <w:sz w:val="21"/>
          <w:szCs w:val="21"/>
          <w:lang w:eastAsia="es-ES"/>
        </w:rPr>
        <w:t>.</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 xml:space="preserve">A consecuencia de las diferencias de criterio puede ocurrir que algunos sean detenidos mientras participan en el intento de frenar el </w:t>
      </w:r>
      <w:proofErr w:type="spellStart"/>
      <w:r w:rsidRPr="000F5FB3">
        <w:rPr>
          <w:rFonts w:ascii="Verdana" w:eastAsia="Times New Roman" w:hAnsi="Verdana" w:cs="Times New Roman"/>
          <w:color w:val="5A5A00"/>
          <w:sz w:val="21"/>
          <w:szCs w:val="21"/>
          <w:lang w:eastAsia="es-ES"/>
        </w:rPr>
        <w:t>deshaucio</w:t>
      </w:r>
      <w:proofErr w:type="spellEnd"/>
      <w:r w:rsidRPr="000F5FB3">
        <w:rPr>
          <w:rFonts w:ascii="Verdana" w:eastAsia="Times New Roman" w:hAnsi="Verdana" w:cs="Times New Roman"/>
          <w:color w:val="5A5A00"/>
          <w:sz w:val="21"/>
          <w:szCs w:val="21"/>
          <w:lang w:eastAsia="es-ES"/>
        </w:rPr>
        <w:t>. Nos interesa saber ese dato</w:t>
      </w:r>
    </w:p>
    <w:p w:rsidR="000F5FB3" w:rsidRPr="000F5FB3" w:rsidRDefault="000F5FB3" w:rsidP="000F5FB3">
      <w:pPr>
        <w:spacing w:before="150" w:after="150" w:line="600" w:lineRule="atLeast"/>
        <w:outlineLvl w:val="1"/>
        <w:rPr>
          <w:rFonts w:ascii="Verdana" w:eastAsia="Times New Roman" w:hAnsi="Verdana" w:cs="Times New Roman"/>
          <w:b/>
          <w:bCs/>
          <w:color w:val="5A5A00"/>
          <w:sz w:val="42"/>
          <w:szCs w:val="42"/>
          <w:lang w:eastAsia="es-ES"/>
        </w:rPr>
      </w:pPr>
      <w:r w:rsidRPr="000F5FB3">
        <w:rPr>
          <w:rFonts w:ascii="Verdana" w:eastAsia="Times New Roman" w:hAnsi="Verdana" w:cs="Times New Roman"/>
          <w:b/>
          <w:bCs/>
          <w:color w:val="5A5A00"/>
          <w:sz w:val="42"/>
          <w:szCs w:val="42"/>
          <w:lang w:eastAsia="es-ES"/>
        </w:rPr>
        <w:t xml:space="preserve">Las Crónicas de </w:t>
      </w:r>
      <w:proofErr w:type="spellStart"/>
      <w:r w:rsidRPr="000F5FB3">
        <w:rPr>
          <w:rFonts w:ascii="Verdana" w:eastAsia="Times New Roman" w:hAnsi="Verdana" w:cs="Times New Roman"/>
          <w:b/>
          <w:bCs/>
          <w:color w:val="5A5A00"/>
          <w:sz w:val="42"/>
          <w:szCs w:val="42"/>
          <w:lang w:eastAsia="es-ES"/>
        </w:rPr>
        <w:t>Nervionia</w:t>
      </w:r>
      <w:proofErr w:type="spellEnd"/>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 xml:space="preserve">En el territorio de </w:t>
      </w:r>
      <w:proofErr w:type="spellStart"/>
      <w:r w:rsidRPr="000F5FB3">
        <w:rPr>
          <w:rFonts w:ascii="Verdana" w:eastAsia="Times New Roman" w:hAnsi="Verdana" w:cs="Times New Roman"/>
          <w:color w:val="5A5A00"/>
          <w:sz w:val="21"/>
          <w:szCs w:val="21"/>
          <w:lang w:eastAsia="es-ES"/>
        </w:rPr>
        <w:t>Nervionia</w:t>
      </w:r>
      <w:proofErr w:type="spellEnd"/>
      <w:r w:rsidRPr="000F5FB3">
        <w:rPr>
          <w:rFonts w:ascii="Verdana" w:eastAsia="Times New Roman" w:hAnsi="Verdana" w:cs="Times New Roman"/>
          <w:color w:val="5A5A00"/>
          <w:sz w:val="21"/>
          <w:szCs w:val="21"/>
          <w:lang w:eastAsia="es-ES"/>
        </w:rPr>
        <w:t xml:space="preserve"> habitan seres de diferentes especies. Las especies tienen un nombre común (enano) y un nombre científico (</w:t>
      </w:r>
      <w:proofErr w:type="spellStart"/>
      <w:r w:rsidRPr="000F5FB3">
        <w:rPr>
          <w:rFonts w:ascii="Verdana" w:eastAsia="Times New Roman" w:hAnsi="Verdana" w:cs="Times New Roman"/>
          <w:color w:val="5A5A00"/>
          <w:sz w:val="21"/>
          <w:szCs w:val="21"/>
          <w:lang w:eastAsia="es-ES"/>
        </w:rPr>
        <w:t>hipi</w:t>
      </w:r>
      <w:proofErr w:type="spellEnd"/>
      <w:r w:rsidRPr="000F5FB3">
        <w:rPr>
          <w:rFonts w:ascii="Verdana" w:eastAsia="Times New Roman" w:hAnsi="Verdana" w:cs="Times New Roman"/>
          <w:color w:val="5A5A00"/>
          <w:sz w:val="21"/>
          <w:szCs w:val="21"/>
          <w:lang w:eastAsia="es-ES"/>
        </w:rPr>
        <w:t xml:space="preserve"> </w:t>
      </w:r>
      <w:proofErr w:type="spellStart"/>
      <w:r w:rsidRPr="000F5FB3">
        <w:rPr>
          <w:rFonts w:ascii="Verdana" w:eastAsia="Times New Roman" w:hAnsi="Verdana" w:cs="Times New Roman"/>
          <w:color w:val="5A5A00"/>
          <w:sz w:val="21"/>
          <w:szCs w:val="21"/>
          <w:lang w:eastAsia="es-ES"/>
        </w:rPr>
        <w:t>chiquitujus</w:t>
      </w:r>
      <w:proofErr w:type="spellEnd"/>
      <w:r w:rsidRPr="000F5FB3">
        <w:rPr>
          <w:rFonts w:ascii="Verdana" w:eastAsia="Times New Roman" w:hAnsi="Verdana" w:cs="Times New Roman"/>
          <w:color w:val="5A5A00"/>
          <w:sz w:val="21"/>
          <w:szCs w:val="21"/>
          <w:lang w:eastAsia="es-ES"/>
        </w:rPr>
        <w:t xml:space="preserve">). También un tipo de alimentación (carnívoros, herbívoros, </w:t>
      </w:r>
      <w:proofErr w:type="spellStart"/>
      <w:r w:rsidRPr="000F5FB3">
        <w:rPr>
          <w:rFonts w:ascii="Verdana" w:eastAsia="Times New Roman" w:hAnsi="Verdana" w:cs="Times New Roman"/>
          <w:color w:val="5A5A00"/>
          <w:sz w:val="21"/>
          <w:szCs w:val="21"/>
          <w:lang w:eastAsia="es-ES"/>
        </w:rPr>
        <w:t>etc</w:t>
      </w:r>
      <w:proofErr w:type="spellEnd"/>
      <w:r w:rsidRPr="000F5FB3">
        <w:rPr>
          <w:rFonts w:ascii="Verdana" w:eastAsia="Times New Roman" w:hAnsi="Verdana" w:cs="Times New Roman"/>
          <w:color w:val="5A5A00"/>
          <w:sz w:val="21"/>
          <w:szCs w:val="21"/>
          <w:lang w:eastAsia="es-ES"/>
        </w:rPr>
        <w:t>) y nos interesa saber si pueden volar o no. Estos seres se agrupan en tribus. Cada tribu tiene un nombre y un lema. La tribu puede estar formada por individuos de la misma especie o de diferentes especies. Un individuo pertenece a una sola tribu, aunque hay algunos que son apátridas y no se incluyen en ninguna.</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Algunos individuos tienen esclavos. Los esclavos forman parte de la misma tribu que su amo y pueden ser de la misma especie o de otra diferente. Algunos esclavos lo son de forma temporal, como castigo por alguna falta cometida. Nos interesa saber en ese caso la fecha en la que dejarán de ser esclavos.</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 xml:space="preserve">En </w:t>
      </w:r>
      <w:proofErr w:type="spellStart"/>
      <w:r w:rsidRPr="000F5FB3">
        <w:rPr>
          <w:rFonts w:ascii="Verdana" w:eastAsia="Times New Roman" w:hAnsi="Verdana" w:cs="Times New Roman"/>
          <w:color w:val="5A5A00"/>
          <w:sz w:val="21"/>
          <w:szCs w:val="21"/>
          <w:lang w:eastAsia="es-ES"/>
        </w:rPr>
        <w:t>Nervionia</w:t>
      </w:r>
      <w:proofErr w:type="spellEnd"/>
      <w:r w:rsidRPr="000F5FB3">
        <w:rPr>
          <w:rFonts w:ascii="Verdana" w:eastAsia="Times New Roman" w:hAnsi="Verdana" w:cs="Times New Roman"/>
          <w:color w:val="5A5A00"/>
          <w:sz w:val="21"/>
          <w:szCs w:val="21"/>
          <w:lang w:eastAsia="es-ES"/>
        </w:rPr>
        <w:t xml:space="preserve"> hay una serie de poblados. Cada tribu controla uno o varios poblados. Algunas tribus son nómadas y no se interesan por los poblados. La información de cada poblado es su nombre, el número de habitantes, el número de fortificaciones y sus coordenadas geográficas (longitud y latitud).</w:t>
      </w:r>
    </w:p>
    <w:p w:rsidR="000F5FB3"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 xml:space="preserve">Los miembros de las tribus practican diferentes religiones. Cada religión tiene un nombre, un tipo (animista, politeísta, monoteísta, </w:t>
      </w:r>
      <w:proofErr w:type="spellStart"/>
      <w:r w:rsidRPr="000F5FB3">
        <w:rPr>
          <w:rFonts w:ascii="Verdana" w:eastAsia="Times New Roman" w:hAnsi="Verdana" w:cs="Times New Roman"/>
          <w:color w:val="5A5A00"/>
          <w:sz w:val="21"/>
          <w:szCs w:val="21"/>
          <w:lang w:eastAsia="es-ES"/>
        </w:rPr>
        <w:t>etc</w:t>
      </w:r>
      <w:proofErr w:type="spellEnd"/>
      <w:r w:rsidRPr="000F5FB3">
        <w:rPr>
          <w:rFonts w:ascii="Verdana" w:eastAsia="Times New Roman" w:hAnsi="Verdana" w:cs="Times New Roman"/>
          <w:color w:val="5A5A00"/>
          <w:sz w:val="21"/>
          <w:szCs w:val="21"/>
          <w:lang w:eastAsia="es-ES"/>
        </w:rPr>
        <w:t>). En algunas tribus se prohíbe la práctica de algunas de esas religiones. También hay tribus que tienen una religión "oficial” que goza de ciertos privilegios. Algunas religiones tienen sacerdotes o sacerdotisas que interpretan los designios de las divinidades y viven del cuento sin dar un palo al agua. Nos interesa saber quiénes son esos sacerdotes.</w:t>
      </w:r>
    </w:p>
    <w:p w:rsidR="00AD3578" w:rsidRPr="000F5FB3" w:rsidRDefault="000F5FB3" w:rsidP="000F5FB3">
      <w:pPr>
        <w:spacing w:after="150" w:line="240" w:lineRule="auto"/>
        <w:rPr>
          <w:rFonts w:ascii="Verdana" w:eastAsia="Times New Roman" w:hAnsi="Verdana" w:cs="Times New Roman"/>
          <w:color w:val="5A5A00"/>
          <w:sz w:val="21"/>
          <w:szCs w:val="21"/>
          <w:lang w:eastAsia="es-ES"/>
        </w:rPr>
      </w:pPr>
      <w:r w:rsidRPr="000F5FB3">
        <w:rPr>
          <w:rFonts w:ascii="Verdana" w:eastAsia="Times New Roman" w:hAnsi="Verdana" w:cs="Times New Roman"/>
          <w:color w:val="5A5A00"/>
          <w:sz w:val="21"/>
          <w:szCs w:val="21"/>
          <w:lang w:eastAsia="es-ES"/>
        </w:rPr>
        <w:t>Algunas veces estallan guerras. En cada guerra hay dos bandos, que reciben un nombre. Cada uno de los bandos está formado por una o varias tribus que se unen para luchar. Esos bandos se enfrentan en batallas. Nos interesa saber la fecha de cada batalla, la localidad más cercana y el número de bajas sufridas por cada tribu en la misma. También nos interesa saber cuándo empieza y termina la guerra y cuál fue el motivo desencadenante de la misma. Pueden producirse varias guerras de forma simultánea.</w:t>
      </w:r>
      <w:bookmarkStart w:id="0" w:name="_GoBack"/>
      <w:bookmarkEnd w:id="0"/>
    </w:p>
    <w:sectPr w:rsidR="00AD3578" w:rsidRPr="000F5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50"/>
    <w:rsid w:val="000F5FB3"/>
    <w:rsid w:val="00AD3578"/>
    <w:rsid w:val="00D06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E4B25-4CD9-4969-BF14-62664177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695385">
      <w:bodyDiv w:val="1"/>
      <w:marLeft w:val="0"/>
      <w:marRight w:val="0"/>
      <w:marTop w:val="0"/>
      <w:marBottom w:val="0"/>
      <w:divBdr>
        <w:top w:val="none" w:sz="0" w:space="0" w:color="auto"/>
        <w:left w:val="none" w:sz="0" w:space="0" w:color="auto"/>
        <w:bottom w:val="none" w:sz="0" w:space="0" w:color="auto"/>
        <w:right w:val="none" w:sz="0" w:space="0" w:color="auto"/>
      </w:divBdr>
      <w:divsChild>
        <w:div w:id="715008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879</Words>
  <Characters>4836</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Manzano Medina</dc:creator>
  <cp:keywords/>
  <dc:description/>
  <cp:lastModifiedBy>Rafael Manzano Medina</cp:lastModifiedBy>
  <cp:revision>2</cp:revision>
  <dcterms:created xsi:type="dcterms:W3CDTF">2017-10-03T10:44:00Z</dcterms:created>
  <dcterms:modified xsi:type="dcterms:W3CDTF">2017-10-03T10:44:00Z</dcterms:modified>
</cp:coreProperties>
</file>