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2,575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(324 after deduplication), 35 studies were included. Psychosexual and relational challenges were the most frequently reported outcomes (n = 24; 69%), followed by reduced quality of life, body image, and self-esteem (n = 19; 54%), broader psychological distress (n = 20; 57%), and depression and anxiety (n = 14; 40%). Coping mechanisms were documented in 15 studies, most often peer support (7) and avoidance or concealment (6), and healthcare system gaps in 10. Studies came mainly from Europe (n = 14) and Asia (n = 14).</w:t>
      </w:r>
    </w:p>
    <w:p>
      <w:r>
        <w:rPr>
          <w:b/>
          <w:i w:val="0"/>
        </w:rPr>
        <w:t>Conclusions:</w:t>
      </w:r>
      <w:r>
        <w:rPr>
          <w:b w:val="0"/>
          <w:i w:val="0"/>
        </w:rPr>
        <w:t xml:space="preserve"> MRKH affects far more than reproductive anatomy, yet its psychosocial burden remains under-integrated into care. Mental health screening, psychosexual counseling, and peer support should become standard in multidisciplinary MRKH care, and research must reach underrepresented and low-resource settings.</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and records not published in English (the English-only criterion recorded in the review's March 2026 screening tracker). Reviews, commentaries, editorials, and case reports were excluded as not primary research.</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The original screening records could not be recovered, so study selection was repeated from the original export files. Records from all sources were merged and 192 duplicates were identified by matching DOIs and normalized titles, leaving 324 unique records. Titles and abstracts were screened in two steps: objective criteria (publication year and article type) were applied first, and each remaining record was then read against the eligibility criteria. An AI tool (Claude, Anthropic) proposed a decision and reason for every record; </w:t>
      </w:r>
      <w:r>
        <w:rPr>
          <w:b w:val="0"/>
          <w:i w:val="0"/>
          <w:highlight w:val="yellow"/>
        </w:rPr>
        <w:t>[the first author and a second reviewer independently verified each decision, and disagreements were resolved by discussion — complete once verification is done]</w:t>
      </w:r>
      <w:r>
        <w:rPr>
          <w:b w:val="0"/>
          <w:i w:val="0"/>
        </w:rPr>
        <w:t xml:space="preserve">. Records that could not be classified from the exported title and abstract were assessed for eligibility using the published abstract; studies with mixed samples were included only if results were reported separately for participants with MRKH or at least 80% of participants had MRKH. Full texts were then obtained for 30 of the 35 included studies and checked against the same criteria; at this stage one study of adults with differences of sex development was excluded because only 2 of its 15 participants had MRKH and their findings were not analyzed separately. </w:t>
      </w:r>
      <w:r>
        <w:rPr>
          <w:b w:val="0"/>
          <w:i w:val="0"/>
          <w:highlight w:val="yellow"/>
        </w:rPr>
        <w:t>[The full texts of the remaining 5 studies could not be obtained; their inclusion rests on the published abstract or title.]</w:t>
      </w:r>
      <w:r>
        <w:rPr>
          <w:b w:val="0"/>
          <w:i w:val="0"/>
        </w:rPr>
        <w:t xml:space="preserve"> The screening workbook, with a decision and reason for every record, is available as supplementary material.</w:t>
      </w:r>
    </w:p>
    <w:p>
      <w:pPr>
        <w:pStyle w:val="Heading2"/>
      </w:pPr>
      <w:r>
        <w:rPr>
          <w:b w:val="0"/>
          <w:i w:val="0"/>
        </w:rPr>
        <w:t>Data Charting</w:t>
      </w:r>
    </w:p>
    <w:p>
      <w:pPr>
        <w:ind w:firstLine="720"/>
      </w:pPr>
      <w:r>
        <w:rPr>
          <w:b w:val="0"/>
          <w:i w:val="0"/>
        </w:rPr>
        <w:t xml:space="preserve">For each included study, data were charted on author, year, country, study design, sample size, reported mental health and psychosocial outcomes, coping mechanisms, and healthcare system gaps. Charted items were checked against the full text for 30 of 35 studies; the remaining 5 were charted from the title and abstract </w:t>
      </w:r>
      <w:r>
        <w:rPr>
          <w:b w:val="0"/>
          <w:i w:val="0"/>
          <w:highlight w:val="yellow"/>
        </w:rPr>
        <w:t>[and should be checked when their full texts are obtained]</w:t>
      </w:r>
      <w:r>
        <w:rPr>
          <w:b w:val="0"/>
          <w:i w:val="0"/>
        </w:rPr>
        <w:t>. Outcomes were coded into four domains—depression and anxiety; quality of life, body image, and self-esteem; psychosexual and relational challenges; and broader psychological distress—and coping mechanisms into seven categories.</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searches identified 516 records. After removal of 192 duplicates, 324 records were screened and 282 were excluded: published before 2019 (n = 89); case report / surgical case series (n = 75); not primary research (n = 48); surgical/functional outcomes only (n = 38); wrong population / topic (n = 28); not in english (n = 4). Of the 42 records assessed for eligibility, 7 were excluded (mixed sample, mrkh not separate, n = 5; no psychological outcome, n = 2), and 35 studies were included (Figure 1).</w:t>
      </w:r>
    </w:p>
    <w:p>
      <w:pPr>
        <w:keepNext/>
        <w:jc w:val="center"/>
      </w:pPr>
      <w:r>
        <w:drawing>
          <wp:inline xmlns:a="http://schemas.openxmlformats.org/drawingml/2006/main" xmlns:pic="http://schemas.openxmlformats.org/drawingml/2006/picture">
            <wp:extent cx="4937760" cy="4428456"/>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937760" cy="4428456"/>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Counts are pending confirmation by the review team.</w:t>
      </w:r>
    </w:p>
    <w:p>
      <w:pPr>
        <w:pStyle w:val="Heading2"/>
      </w:pPr>
      <w:r>
        <w:rPr>
          <w:b w:val="0"/>
          <w:i w:val="0"/>
        </w:rPr>
        <w:t>Characteristics of Included Studies</w:t>
      </w:r>
    </w:p>
    <w:p>
      <w:pPr>
        <w:ind w:firstLine="720"/>
      </w:pPr>
      <w:r>
        <w:rPr>
          <w:b w:val="0"/>
          <w:i w:val="0"/>
        </w:rPr>
        <w:t>The 35 included studies were published between 2019 and 2026 and comprised 18 quantitative studies (51.4%), 14 qualitative studies (40.0%), and 2 mixed-methods studies (5.7%); the design of 1 study could not be determined because only its title was available (Table 1; Figure 2). Quantitative designs included cross-sectional surveys, case-control comparisons, cohort and pre–post studies, and 1 randomized controlled trial.</w:t>
      </w:r>
      <w:r>
        <w:rPr>
          <w:b w:val="0"/>
          <w:i w:val="0"/>
          <w:vertAlign w:val="superscript"/>
        </w:rPr>
        <w:t>16</w:t>
      </w:r>
      <w:r>
        <w:rPr>
          <w:b w:val="0"/>
          <w:i w:val="0"/>
        </w:rPr>
        <w:t xml:space="preserve"> Most studies came from Europe (n = 14) and Asia (n = 14), followed by North America (n = 3), Africa (n = 1), and Oceania (n = 1); 2 studies recruited internationally, and none came from South America (Figure 3). China contributed the most studies (n = 6). Sample sizes, where reported, ranged from 5 to 616 participants. Two Chinese reports appear to draw on the same sample of 141 patients.</w:t>
      </w:r>
      <w:r>
        <w:rPr>
          <w:b w:val="0"/>
          <w:i w:val="0"/>
          <w:vertAlign w:val="superscript"/>
        </w:rPr>
        <w:t>17,18</w:t>
      </w:r>
      <w:r>
        <w:rPr>
          <w:b w:val="0"/>
          <w:i w:val="0"/>
        </w:rPr>
        <w:t xml:space="preserve"> Characteristics of each study are listed in Appendix B.</w:t>
      </w:r>
    </w:p>
    <w:p>
      <w:pPr>
        <w:keepNext/>
        <w:spacing w:line="240" w:lineRule="auto" w:before="240" w:after="80"/>
      </w:pPr>
      <w:r>
        <w:rPr>
          <w:b/>
          <w:i w:val="0"/>
        </w:rPr>
        <w:t>Table 1.</w:t>
      </w:r>
      <w:r>
        <w:rPr>
          <w:b w:val="0"/>
          <w:i w:val="0"/>
        </w:rPr>
        <w:t xml:space="preserve"> Study design and geographic distribution of included studies (N = 35)</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51.4%</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Not reported</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40.0%</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8.6%</w:t>
            </w:r>
          </w:p>
        </w:tc>
      </w:tr>
      <w:tr>
        <w:tc>
          <w:tcPr>
            <w:tcW w:type="dxa" w:w="5184"/>
          </w:tcPr>
          <w:p>
            <w:pPr>
              <w:spacing w:line="240" w:lineRule="auto"/>
            </w:pPr>
            <w:r/>
            <w:r>
              <w:rPr>
                <w:b w:val="0"/>
                <w:i w:val="0"/>
                <w:sz w:val="20"/>
              </w:rPr>
              <w:t>Multinational</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5.7%</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Oceania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2.9%</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0</w:t>
            </w:r>
          </w:p>
        </w:tc>
        <w:tc>
          <w:tcPr>
            <w:tcW w:type="dxa" w:w="1440"/>
          </w:tcPr>
          <w:p>
            <w:pPr>
              <w:spacing w:line="240" w:lineRule="auto"/>
            </w:pPr>
            <w:r/>
            <w:r>
              <w:rPr>
                <w:b w:val="0"/>
                <w:i w:val="0"/>
                <w:sz w:val="20"/>
              </w:rPr>
              <w:t>0.0%</w:t>
            </w:r>
          </w:p>
        </w:tc>
      </w:tr>
    </w:tbl>
    <w:p>
      <w:pPr>
        <w:spacing w:line="240" w:lineRule="auto" w:after="240"/>
      </w:pPr>
      <w:r>
        <w:rPr>
          <w:b w:val="0"/>
          <w:i w:val="0"/>
          <w:sz w:val="20"/>
        </w:rPr>
        <w:t>Percentages are of all included studies (N = 35) and may not total 100% because of rounding. Five studies were charted from the abstract or title only.</w:t>
      </w:r>
    </w:p>
    <w:p>
      <w:pPr>
        <w:keepNext/>
        <w:jc w:val="center"/>
      </w:pPr>
      <w:r>
        <w:drawing>
          <wp:inline xmlns:a="http://schemas.openxmlformats.org/drawingml/2006/main" xmlns:pic="http://schemas.openxmlformats.org/drawingml/2006/picture">
            <wp:extent cx="4389120" cy="2659961"/>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59961"/>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35).</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35). Darker shading indicates more studies; 2 multinational studies are not mapped.</w:t>
      </w:r>
    </w:p>
    <w:p>
      <w:pPr>
        <w:pStyle w:val="Heading2"/>
      </w:pPr>
      <w:r>
        <w:rPr>
          <w:b w:val="0"/>
          <w:i w:val="0"/>
        </w:rPr>
        <w:t>Mental Health and Psychosocial Outcomes</w:t>
      </w:r>
    </w:p>
    <w:p>
      <w:pPr>
        <w:ind w:firstLine="720"/>
      </w:pPr>
      <w:r>
        <w:rPr>
          <w:b w:val="0"/>
          <w:i w:val="0"/>
        </w:rPr>
        <w:t>Psychosexual and relational challenges were the most frequently reported domain (24 of 35 studies; 68.6%), followed by quality of life, body image, and self-esteem (19; 54.3%), broader psychological distress (20; 57.1%), and depression and anxiety (14; 40.0%) (Table 2; Figure 4).</w:t>
      </w:r>
    </w:p>
    <w:p>
      <w:pPr>
        <w:ind w:firstLine="720"/>
      </w:pPr>
      <w:r>
        <w:rPr>
          <w:b w:val="0"/>
          <w:i/>
        </w:rPr>
        <w:t>Psychosexual and relational challenges.</w:t>
      </w:r>
      <w:r>
        <w:rPr>
          <w:b w:val="0"/>
          <w:i w:val="0"/>
        </w:rPr>
        <w:t xml:space="preserve"> Compared with controls, women with MRKH reported lower sexual esteem, a more negative genital self-image, and more sexual distress, even after neovagina creation.</w:t>
      </w:r>
      <w:r>
        <w:rPr>
          <w:b w:val="0"/>
          <w:i w:val="0"/>
          <w:vertAlign w:val="superscript"/>
        </w:rPr>
        <w:t>19,20</w:t>
      </w:r>
      <w:r>
        <w:rPr>
          <w:b w:val="0"/>
          <w:i w:val="0"/>
        </w:rPr>
        <w:t xml:space="preserve"> Qualitative studies described insecurity about the neovagina, low sexual confidence, and anxiety about disclosing the diagnosis to partners.</w:t>
      </w:r>
      <w:r>
        <w:rPr>
          <w:b w:val="0"/>
          <w:i w:val="0"/>
          <w:vertAlign w:val="superscript"/>
        </w:rPr>
        <w:t>10,21–23</w:t>
      </w:r>
      <w:r>
        <w:rPr>
          <w:b w:val="0"/>
          <w:i w:val="0"/>
        </w:rPr>
        <w:t xml:space="preserve"> One randomized trial found that e-learning psychosexual education improved genital self-image and reduced sexual distress.</w:t>
      </w:r>
      <w:r>
        <w:rPr>
          <w:b w:val="0"/>
          <w:i w:val="0"/>
          <w:vertAlign w:val="superscript"/>
        </w:rPr>
        <w:t>16</w:t>
      </w:r>
      <w:r>
        <w:rPr>
          <w:b w:val="0"/>
          <w:i w:val="0"/>
        </w:rPr>
        <w:t xml:space="preserve"> In an African qualitative study, cultural and religious expectations about virginity discouraged vaginal dilation.</w:t>
      </w:r>
      <w:r>
        <w:rPr>
          <w:b w:val="0"/>
          <w:i w:val="0"/>
          <w:vertAlign w:val="superscript"/>
        </w:rPr>
        <w:t>24</w:t>
      </w:r>
    </w:p>
    <w:p>
      <w:pPr>
        <w:ind w:firstLine="720"/>
      </w:pPr>
      <w:r>
        <w:rPr>
          <w:b w:val="0"/>
          <w:i/>
        </w:rPr>
        <w:t>Quality of life, body image, and self-esteem.</w:t>
      </w:r>
      <w:r>
        <w:rPr>
          <w:b w:val="0"/>
          <w:i w:val="0"/>
        </w:rPr>
        <w:t xml:space="preserve"> A prospective study found impaired mental health–related quality of life despite normal body image,</w:t>
      </w:r>
      <w:r>
        <w:rPr>
          <w:b w:val="0"/>
          <w:i w:val="0"/>
          <w:vertAlign w:val="superscript"/>
        </w:rPr>
        <w:t>25</w:t>
      </w:r>
      <w:r>
        <w:rPr>
          <w:b w:val="0"/>
          <w:i w:val="0"/>
        </w:rPr>
        <w:t xml:space="preserve"> and an international survey of 263 patients reported higher distress and lower self-esteem than the general population.</w:t>
      </w:r>
      <w:r>
        <w:rPr>
          <w:b w:val="0"/>
          <w:i w:val="0"/>
          <w:vertAlign w:val="superscript"/>
        </w:rPr>
        <w:t>26</w:t>
      </w:r>
      <w:r>
        <w:rPr>
          <w:b w:val="0"/>
          <w:i w:val="0"/>
        </w:rPr>
        <w:t xml:space="preserve"> Low self-esteem was also reported in a further study.</w:t>
      </w:r>
      <w:r>
        <w:rPr>
          <w:b w:val="0"/>
          <w:i w:val="0"/>
          <w:vertAlign w:val="superscript"/>
        </w:rPr>
        <w:t>27</w:t>
      </w:r>
      <w:r>
        <w:rPr>
          <w:b w:val="0"/>
          <w:i w:val="0"/>
        </w:rPr>
        <w:t xml:space="preserve"> Others found similar quality of life across treatment approaches</w:t>
      </w:r>
      <w:r>
        <w:rPr>
          <w:b w:val="0"/>
          <w:i w:val="0"/>
          <w:vertAlign w:val="superscript"/>
        </w:rPr>
        <w:t>28</w:t>
      </w:r>
      <w:r>
        <w:rPr>
          <w:b w:val="0"/>
          <w:i w:val="0"/>
        </w:rPr>
        <w:t xml:space="preserve"> or improvements in well-being and body image after treatment.</w:t>
      </w:r>
      <w:r>
        <w:rPr>
          <w:b w:val="0"/>
          <w:i w:val="0"/>
          <w:vertAlign w:val="superscript"/>
        </w:rPr>
        <w:t>29,30</w:t>
      </w:r>
    </w:p>
    <w:p>
      <w:pPr>
        <w:ind w:firstLine="720"/>
      </w:pPr>
      <w:r>
        <w:rPr>
          <w:b w:val="0"/>
          <w:i/>
        </w:rPr>
        <w:t>Broader psychological distress.</w:t>
      </w:r>
      <w:r>
        <w:rPr>
          <w:b w:val="0"/>
          <w:i w:val="0"/>
        </w:rPr>
        <w:t xml:space="preserve"> Qualitative studies described shock, anger, sadness, shame, and secrecy around the diagnosis, and portrayed diagnosis as a turning point that disrupted imagined futures and female identity.</w:t>
      </w:r>
      <w:r>
        <w:rPr>
          <w:b w:val="0"/>
          <w:i w:val="0"/>
          <w:vertAlign w:val="superscript"/>
        </w:rPr>
        <w:t>9,31,32</w:t>
      </w:r>
      <w:r>
        <w:rPr>
          <w:b w:val="0"/>
          <w:i w:val="0"/>
        </w:rPr>
        <w:t xml:space="preserve"> The diagnostic process itself was experienced as upsetting and potentially traumatizing.</w:t>
      </w:r>
      <w:r>
        <w:rPr>
          <w:b w:val="0"/>
          <w:i w:val="0"/>
          <w:vertAlign w:val="superscript"/>
        </w:rPr>
        <w:t>33</w:t>
      </w:r>
      <w:r>
        <w:rPr>
          <w:b w:val="0"/>
          <w:i w:val="0"/>
        </w:rPr>
        <w:t xml:space="preserve"> Uterus transplant recipients described changes in self-perception, body, and sexuality.</w:t>
      </w:r>
      <w:r>
        <w:rPr>
          <w:b w:val="0"/>
          <w:i w:val="0"/>
          <w:vertAlign w:val="superscript"/>
        </w:rPr>
        <w:t>34</w:t>
      </w:r>
    </w:p>
    <w:p>
      <w:pPr>
        <w:ind w:firstLine="720"/>
      </w:pPr>
      <w:r>
        <w:rPr>
          <w:b w:val="0"/>
          <w:i/>
        </w:rPr>
        <w:t>Depression and anxiety.</w:t>
      </w:r>
      <w:r>
        <w:rPr>
          <w:b w:val="0"/>
          <w:i w:val="0"/>
        </w:rPr>
        <w:t xml:space="preserve"> Where measured with validated scales, findings were mixed. Depressive symptoms were reported in 75.2% of 141 Chinese patients (34.0% moderate to severe),</w:t>
      </w:r>
      <w:r>
        <w:rPr>
          <w:b w:val="0"/>
          <w:i w:val="0"/>
          <w:vertAlign w:val="superscript"/>
        </w:rPr>
        <w:t>18</w:t>
      </w:r>
      <w:r>
        <w:rPr>
          <w:b w:val="0"/>
          <w:i w:val="0"/>
        </w:rPr>
        <w:t xml:space="preserve"> moderate-to-severe anxiety in 24.1%,</w:t>
      </w:r>
      <w:r>
        <w:rPr>
          <w:b w:val="0"/>
          <w:i w:val="0"/>
          <w:vertAlign w:val="superscript"/>
        </w:rPr>
        <w:t>17</w:t>
      </w:r>
      <w:r>
        <w:rPr>
          <w:b w:val="0"/>
          <w:i w:val="0"/>
        </w:rPr>
        <w:t xml:space="preserve"> and depression and anxiety in 32.5% and 37.7% of 77 Malaysian women.</w:t>
      </w:r>
      <w:r>
        <w:rPr>
          <w:b w:val="0"/>
          <w:i w:val="0"/>
          <w:vertAlign w:val="superscript"/>
        </w:rPr>
        <w:t>35</w:t>
      </w:r>
      <w:r>
        <w:rPr>
          <w:b w:val="0"/>
          <w:i w:val="0"/>
        </w:rPr>
        <w:t xml:space="preserve"> After vaginoplasty, 45.3% of 53 women reported mild-to-moderate depression and 34.0% mild anxiety.</w:t>
      </w:r>
      <w:r>
        <w:rPr>
          <w:b w:val="0"/>
          <w:i w:val="0"/>
          <w:vertAlign w:val="superscript"/>
        </w:rPr>
        <w:t>36</w:t>
      </w:r>
      <w:r>
        <w:rPr>
          <w:b w:val="0"/>
          <w:i w:val="0"/>
        </w:rPr>
        <w:t xml:space="preserve"> A US cohort found anxiety and depressive disorders about twice as common as in male, but not female, referents.</w:t>
      </w:r>
      <w:r>
        <w:rPr>
          <w:b w:val="0"/>
          <w:i w:val="0"/>
          <w:vertAlign w:val="superscript"/>
        </w:rPr>
        <w:t>37</w:t>
      </w:r>
      <w:r>
        <w:rPr>
          <w:b w:val="0"/>
          <w:i w:val="0"/>
        </w:rPr>
        <w:t xml:space="preserve"> In contrast, some samples after neovagina creation or awaiting uterus transplantation showed few depressive symptoms.</w:t>
      </w:r>
      <w:r>
        <w:rPr>
          <w:b w:val="0"/>
          <w:i w:val="0"/>
          <w:vertAlign w:val="superscript"/>
        </w:rPr>
        <w:t>38,39</w:t>
      </w:r>
      <w:r>
        <w:rPr>
          <w:b w:val="0"/>
          <w:i w:val="0"/>
        </w:rPr>
        <w:t xml:space="preserve"> Among other uterus transplant candidates, however, MMPI-2 profiles showed elevated depression scales,</w:t>
      </w:r>
      <w:r>
        <w:rPr>
          <w:b w:val="0"/>
          <w:i w:val="0"/>
          <w:vertAlign w:val="superscript"/>
        </w:rPr>
        <w:t>40</w:t>
      </w:r>
      <w:r>
        <w:rPr>
          <w:b w:val="0"/>
          <w:i w:val="0"/>
        </w:rPr>
        <w:t xml:space="preserve"> and women with congenital uterine absence more often reported severe depression and anxiety symptoms than women with acquired uterine absence.</w:t>
      </w:r>
      <w:r>
        <w:rPr>
          <w:b w:val="0"/>
          <w:i w:val="0"/>
          <w:vertAlign w:val="superscript"/>
        </w:rPr>
        <w:t>41</w:t>
      </w:r>
    </w:p>
    <w:p>
      <w:pPr>
        <w:keepNext/>
        <w:spacing w:line="240" w:lineRule="auto" w:before="240" w:after="80"/>
      </w:pPr>
      <w:r>
        <w:rPr>
          <w:b/>
          <w:i w:val="0"/>
        </w:rPr>
        <w:t>Table 2.</w:t>
      </w:r>
      <w:r>
        <w:rPr>
          <w:b w:val="0"/>
          <w:i w:val="0"/>
        </w:rPr>
        <w:t xml:space="preserve"> Mental health and psychosocial outcome domains reported in included studies (N = 35)</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esteem, sexual distress and wellbeing, intimacy, partner relationships, disclosure</w:t>
            </w:r>
          </w:p>
        </w:tc>
        <w:tc>
          <w:tcPr>
            <w:tcW w:type="dxa" w:w="1728"/>
          </w:tcPr>
          <w:p>
            <w:pPr>
              <w:spacing w:line="240" w:lineRule="auto"/>
            </w:pPr>
            <w:r/>
            <w:r>
              <w:rPr>
                <w:b w:val="0"/>
                <w:i w:val="0"/>
                <w:sz w:val="20"/>
              </w:rPr>
              <w:t>24 (68.6%)</w:t>
            </w:r>
          </w:p>
        </w:tc>
      </w:tr>
      <w:tr>
        <w:tc>
          <w:tcPr>
            <w:tcW w:type="dxa" w:w="2736"/>
          </w:tcPr>
          <w:p>
            <w:pPr>
              <w:spacing w:line="240" w:lineRule="auto"/>
            </w:pPr>
            <w:r/>
            <w:r>
              <w:rPr>
                <w:b w:val="0"/>
                <w:i w:val="0"/>
                <w:sz w:val="20"/>
              </w:rPr>
              <w:t>Quality of life, body image and self-esteem</w:t>
            </w:r>
          </w:p>
        </w:tc>
        <w:tc>
          <w:tcPr>
            <w:tcW w:type="dxa" w:w="4752"/>
          </w:tcPr>
          <w:p>
            <w:pPr>
              <w:spacing w:line="240" w:lineRule="auto"/>
            </w:pPr>
            <w:r/>
            <w:r>
              <w:rPr>
                <w:b w:val="0"/>
                <w:i w:val="0"/>
                <w:sz w:val="20"/>
              </w:rPr>
              <w:t>Overall or mental health–related quality of life; body or genital image; global self-esteem</w:t>
            </w:r>
          </w:p>
        </w:tc>
        <w:tc>
          <w:tcPr>
            <w:tcW w:type="dxa" w:w="1728"/>
          </w:tcPr>
          <w:p>
            <w:pPr>
              <w:spacing w:line="240" w:lineRule="auto"/>
            </w:pPr>
            <w:r/>
            <w:r>
              <w:rPr>
                <w:b w:val="0"/>
                <w:i w:val="0"/>
                <w:sz w:val="20"/>
              </w:rPr>
              <w:t>19 (54.3%)</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Distress, shame, identity disruption, psychopathology</w:t>
            </w:r>
          </w:p>
        </w:tc>
        <w:tc>
          <w:tcPr>
            <w:tcW w:type="dxa" w:w="1728"/>
          </w:tcPr>
          <w:p>
            <w:pPr>
              <w:spacing w:line="240" w:lineRule="auto"/>
            </w:pPr>
            <w:r/>
            <w:r>
              <w:rPr>
                <w:b w:val="0"/>
                <w:i w:val="0"/>
                <w:sz w:val="20"/>
              </w:rPr>
              <w:t>20 (57.1%)</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14 (40.0%)</w:t>
            </w:r>
          </w:p>
        </w:tc>
      </w:tr>
    </w:tbl>
    <w:p>
      <w:pPr>
        <w:spacing w:line="240" w:lineRule="auto" w:after="240"/>
      </w:pPr>
      <w:r>
        <w:rPr>
          <w:b w:val="0"/>
          <w:i w:val="0"/>
          <w:sz w:val="20"/>
        </w:rPr>
        <w:t>Studies could report more than one domain; counts are not mutually exclusive.</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35). Studies could contribute to more than one category.</w:t>
      </w:r>
    </w:p>
    <w:p>
      <w:pPr>
        <w:pStyle w:val="Heading2"/>
      </w:pPr>
      <w:r>
        <w:rPr>
          <w:b w:val="0"/>
          <w:i w:val="0"/>
        </w:rPr>
        <w:t>Coping Mechanisms</w:t>
      </w:r>
    </w:p>
    <w:p>
      <w:pPr>
        <w:ind w:firstLine="720"/>
      </w:pPr>
      <w:r>
        <w:rPr>
          <w:b w:val="0"/>
          <w:i w:val="0"/>
        </w:rPr>
        <w:t>Coping mechanisms were documented in 15 studies (42.9%; Table 3). Peer, family, and social support was most common,</w:t>
      </w:r>
      <w:r>
        <w:rPr>
          <w:b w:val="0"/>
          <w:i w:val="0"/>
          <w:vertAlign w:val="superscript"/>
        </w:rPr>
        <w:t>23,25,26,32,33,42,43</w:t>
      </w:r>
      <w:r>
        <w:rPr>
          <w:b w:val="0"/>
          <w:i w:val="0"/>
        </w:rPr>
        <w:t xml:space="preserve"> including MRKH support groups and online communities. Avoidance and concealment—such as pretending to menstruate or hiding the diagnosis—were the most frequently documented maladaptive strategies.</w:t>
      </w:r>
      <w:r>
        <w:rPr>
          <w:b w:val="0"/>
          <w:i w:val="0"/>
          <w:vertAlign w:val="superscript"/>
        </w:rPr>
        <w:t>23,24,31,42–44</w:t>
      </w:r>
      <w:r>
        <w:rPr>
          <w:b w:val="0"/>
          <w:i w:val="0"/>
        </w:rPr>
        <w:t xml:space="preserve"> One qualitative study traced a shift from avoidance to empowerment through positive reappraisal and spiritual coping,</w:t>
      </w:r>
      <w:r>
        <w:rPr>
          <w:b w:val="0"/>
          <w:i w:val="0"/>
          <w:vertAlign w:val="superscript"/>
        </w:rPr>
        <w:t>42</w:t>
      </w:r>
      <w:r>
        <w:rPr>
          <w:b w:val="0"/>
          <w:i w:val="0"/>
        </w:rPr>
        <w:t xml:space="preserve"> and illness coherence and positive affect appeared protective for psychological adjustment.</w:t>
      </w:r>
      <w:r>
        <w:rPr>
          <w:b w:val="0"/>
          <w:i w:val="0"/>
          <w:vertAlign w:val="superscript"/>
        </w:rPr>
        <w:t>26</w:t>
      </w:r>
      <w:r>
        <w:rPr>
          <w:b w:val="0"/>
          <w:i w:val="0"/>
        </w:rPr>
        <w:t xml:space="preserve"> Structured psychological or psychosexual interventions were evaluated in only 2 studies.</w:t>
      </w:r>
      <w:r>
        <w:rPr>
          <w:b w:val="0"/>
          <w:i w:val="0"/>
          <w:vertAlign w:val="superscript"/>
        </w:rPr>
        <w:t>16,45</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4896"/>
        <w:gridCol w:w="2016"/>
        <w:gridCol w:w="1728"/>
      </w:tblGrid>
      <w:tr>
        <w:tc>
          <w:tcPr>
            <w:tcW w:type="dxa" w:w="4896"/>
            <w:shd w:val="clear" w:color="auto" w:fill="D9E2F3"/>
          </w:tcPr>
          <w:p>
            <w:pPr>
              <w:spacing w:line="240" w:lineRule="auto"/>
            </w:pPr>
            <w:r/>
            <w:r>
              <w:rPr>
                <w:b/>
                <w:i w:val="0"/>
                <w:sz w:val="20"/>
              </w:rPr>
              <w:t>Coping mechanism</w:t>
            </w:r>
          </w:p>
        </w:tc>
        <w:tc>
          <w:tcPr>
            <w:tcW w:type="dxa" w:w="2016"/>
            <w:shd w:val="clear" w:color="auto" w:fill="D9E2F3"/>
          </w:tcPr>
          <w:p>
            <w:pPr>
              <w:spacing w:line="240" w:lineRule="auto"/>
            </w:pPr>
            <w:r/>
            <w:r>
              <w:rPr>
                <w:b/>
                <w:i w:val="0"/>
                <w:sz w:val="20"/>
              </w:rPr>
              <w:t>Type</w:t>
            </w:r>
          </w:p>
        </w:tc>
        <w:tc>
          <w:tcPr>
            <w:tcW w:type="dxa" w:w="1728"/>
            <w:shd w:val="clear" w:color="auto" w:fill="D9E2F3"/>
          </w:tcPr>
          <w:p>
            <w:pPr>
              <w:spacing w:line="240" w:lineRule="auto"/>
            </w:pPr>
            <w:r/>
            <w:r>
              <w:rPr>
                <w:b/>
                <w:i w:val="0"/>
                <w:sz w:val="20"/>
              </w:rPr>
              <w:t>Studies, n</w:t>
            </w:r>
          </w:p>
        </w:tc>
      </w:tr>
      <w:tr>
        <w:tc>
          <w:tcPr>
            <w:tcW w:type="dxa" w:w="4896"/>
          </w:tcPr>
          <w:p>
            <w:pPr>
              <w:spacing w:line="240" w:lineRule="auto"/>
            </w:pPr>
            <w:r/>
            <w:r>
              <w:rPr>
                <w:b w:val="0"/>
                <w:i w:val="0"/>
                <w:sz w:val="20"/>
              </w:rPr>
              <w:t>Peer, family &amp; social support</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7</w:t>
            </w:r>
          </w:p>
        </w:tc>
      </w:tr>
      <w:tr>
        <w:tc>
          <w:tcPr>
            <w:tcW w:type="dxa" w:w="4896"/>
          </w:tcPr>
          <w:p>
            <w:pPr>
              <w:spacing w:line="240" w:lineRule="auto"/>
            </w:pPr>
            <w:r/>
            <w:r>
              <w:rPr>
                <w:b w:val="0"/>
                <w:i w:val="0"/>
                <w:sz w:val="20"/>
              </w:rPr>
              <w:t>Avoidance / concealment (maladaptive)</w:t>
            </w:r>
          </w:p>
        </w:tc>
        <w:tc>
          <w:tcPr>
            <w:tcW w:type="dxa" w:w="2016"/>
          </w:tcPr>
          <w:p>
            <w:pPr>
              <w:spacing w:line="240" w:lineRule="auto"/>
            </w:pPr>
            <w:r/>
            <w:r>
              <w:rPr>
                <w:b w:val="0"/>
                <w:i w:val="0"/>
                <w:sz w:val="20"/>
              </w:rPr>
              <w:t>Maladaptive</w:t>
            </w:r>
          </w:p>
        </w:tc>
        <w:tc>
          <w:tcPr>
            <w:tcW w:type="dxa" w:w="1728"/>
          </w:tcPr>
          <w:p>
            <w:pPr>
              <w:spacing w:line="240" w:lineRule="auto"/>
            </w:pPr>
            <w:r/>
            <w:r>
              <w:rPr>
                <w:b w:val="0"/>
                <w:i w:val="0"/>
                <w:sz w:val="20"/>
              </w:rPr>
              <w:t>6</w:t>
            </w:r>
          </w:p>
        </w:tc>
      </w:tr>
      <w:tr>
        <w:tc>
          <w:tcPr>
            <w:tcW w:type="dxa" w:w="4896"/>
          </w:tcPr>
          <w:p>
            <w:pPr>
              <w:spacing w:line="240" w:lineRule="auto"/>
            </w:pPr>
            <w:r/>
            <w:r>
              <w:rPr>
                <w:b w:val="0"/>
                <w:i w:val="0"/>
                <w:sz w:val="20"/>
              </w:rPr>
              <w:t>Identity reconstruction / positive reappraisal</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Psychological counseling/intervention</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Acceptance</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Spiritual coping</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r>
        <w:tc>
          <w:tcPr>
            <w:tcW w:type="dxa" w:w="4896"/>
          </w:tcPr>
          <w:p>
            <w:pPr>
              <w:spacing w:line="240" w:lineRule="auto"/>
            </w:pPr>
            <w:r/>
            <w:r>
              <w:rPr>
                <w:b w:val="0"/>
                <w:i w:val="0"/>
                <w:sz w:val="20"/>
              </w:rPr>
              <w:t>Self-advocacy</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bl>
    <w:p>
      <w:pPr>
        <w:spacing w:line="240" w:lineRule="auto" w:after="240"/>
      </w:pPr>
      <w:r>
        <w:rPr>
          <w:b w:val="0"/>
          <w:i w:val="0"/>
          <w:sz w:val="20"/>
        </w:rPr>
        <w:t>A study could document more than one coping mechanism.</w:t>
      </w:r>
    </w:p>
    <w:p>
      <w:pPr>
        <w:pStyle w:val="Heading2"/>
      </w:pPr>
      <w:r>
        <w:rPr>
          <w:b w:val="0"/>
          <w:i w:val="0"/>
        </w:rPr>
        <w:t>Healthcare System Gaps</w:t>
      </w:r>
    </w:p>
    <w:p>
      <w:pPr>
        <w:ind w:firstLine="720"/>
      </w:pPr>
      <w:r>
        <w:rPr>
          <w:b w:val="0"/>
          <w:i w:val="0"/>
        </w:rPr>
        <w:t>Healthcare system gaps were reported in 10 studies (28.6%; Table 4). Participants described providers with limited knowledge of MRKH and the need to advocate for themselves,</w:t>
      </w:r>
      <w:r>
        <w:rPr>
          <w:b w:val="0"/>
          <w:i w:val="0"/>
          <w:vertAlign w:val="superscript"/>
        </w:rPr>
        <w:t>31,46</w:t>
      </w:r>
      <w:r>
        <w:rPr>
          <w:b w:val="0"/>
          <w:i w:val="0"/>
        </w:rPr>
        <w:t xml:space="preserve"> delayed diagnosis and insensitive communication at diagnosis, including stigmatizing language,</w:t>
      </w:r>
      <w:r>
        <w:rPr>
          <w:b w:val="0"/>
          <w:i w:val="0"/>
          <w:vertAlign w:val="superscript"/>
        </w:rPr>
        <w:t>23,33,43</w:t>
      </w:r>
      <w:r>
        <w:rPr>
          <w:b w:val="0"/>
          <w:i w:val="0"/>
        </w:rPr>
        <w:t xml:space="preserve"> confusion after medical encounters in several African countries,</w:t>
      </w:r>
      <w:r>
        <w:rPr>
          <w:b w:val="0"/>
          <w:i w:val="0"/>
          <w:vertAlign w:val="superscript"/>
        </w:rPr>
        <w:t>24</w:t>
      </w:r>
      <w:r>
        <w:rPr>
          <w:b w:val="0"/>
          <w:i w:val="0"/>
        </w:rPr>
        <w:t xml:space="preserve"> scarce information, psychological support, and fertility counseling,</w:t>
      </w:r>
      <w:r>
        <w:rPr>
          <w:b w:val="0"/>
          <w:i w:val="0"/>
          <w:vertAlign w:val="superscript"/>
        </w:rPr>
        <w:t>43,44,47</w:t>
      </w:r>
      <w:r>
        <w:rPr>
          <w:b w:val="0"/>
          <w:i w:val="0"/>
        </w:rPr>
        <w:t xml:space="preserve"> and variable counseling around vaginal lengthening treatment.</w:t>
      </w:r>
      <w:r>
        <w:rPr>
          <w:b w:val="0"/>
          <w:i w:val="0"/>
          <w:vertAlign w:val="superscript"/>
        </w:rPr>
        <w:t>48</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Providers' limited knowledge of MRKH; patients must self-advocate</w:t>
            </w:r>
          </w:p>
        </w:tc>
        <w:tc>
          <w:tcPr>
            <w:tcW w:type="dxa" w:w="4608"/>
          </w:tcPr>
          <w:p>
            <w:pPr>
              <w:spacing w:line="240" w:lineRule="auto"/>
            </w:pPr>
            <w:r/>
            <w:r>
              <w:rPr>
                <w:b w:val="0"/>
                <w:i w:val="0"/>
                <w:sz w:val="20"/>
              </w:rPr>
              <w:t>Train providers in psychosocially informed MRKH care</w:t>
            </w:r>
          </w:p>
        </w:tc>
      </w:tr>
      <w:tr>
        <w:tc>
          <w:tcPr>
            <w:tcW w:type="dxa" w:w="4608"/>
          </w:tcPr>
          <w:p>
            <w:pPr>
              <w:spacing w:line="240" w:lineRule="auto"/>
            </w:pPr>
            <w:r/>
            <w:r>
              <w:rPr>
                <w:b w:val="0"/>
                <w:i w:val="0"/>
                <w:sz w:val="20"/>
              </w:rPr>
              <w:t>Delayed diagnosis and insensitive communication at diagnosis</w:t>
            </w:r>
          </w:p>
        </w:tc>
        <w:tc>
          <w:tcPr>
            <w:tcW w:type="dxa" w:w="4608"/>
          </w:tcPr>
          <w:p>
            <w:pPr>
              <w:spacing w:line="240" w:lineRule="auto"/>
            </w:pPr>
            <w:r/>
            <w:r>
              <w:rPr>
                <w:b w:val="0"/>
                <w:i w:val="0"/>
                <w:sz w:val="20"/>
              </w:rPr>
              <w:t>Integrate psychosocial support and mental health screening into diagnostic pathways</w:t>
            </w:r>
          </w:p>
        </w:tc>
      </w:tr>
      <w:tr>
        <w:tc>
          <w:tcPr>
            <w:tcW w:type="dxa" w:w="4608"/>
          </w:tcPr>
          <w:p>
            <w:pPr>
              <w:spacing w:line="240" w:lineRule="auto"/>
            </w:pPr>
            <w:r/>
            <w:r>
              <w:rPr>
                <w:b w:val="0"/>
                <w:i w:val="0"/>
                <w:sz w:val="20"/>
              </w:rPr>
              <w:t>Scarce information, psychological support, and fertility counseling</w:t>
            </w:r>
          </w:p>
        </w:tc>
        <w:tc>
          <w:tcPr>
            <w:tcW w:type="dxa" w:w="4608"/>
          </w:tcPr>
          <w:p>
            <w:pPr>
              <w:spacing w:line="240" w:lineRule="auto"/>
            </w:pPr>
            <w:r/>
            <w:r>
              <w:rPr>
                <w:b w:val="0"/>
                <w:i w:val="0"/>
                <w:sz w:val="20"/>
              </w:rPr>
              <w:t>Develop multidisciplinary protocols including psychology and social work; build peer support infrastructure</w:t>
            </w:r>
          </w:p>
        </w:tc>
      </w:tr>
      <w:tr>
        <w:tc>
          <w:tcPr>
            <w:tcW w:type="dxa" w:w="4608"/>
          </w:tcPr>
          <w:p>
            <w:pPr>
              <w:spacing w:line="240" w:lineRule="auto"/>
            </w:pPr>
            <w:r/>
            <w:r>
              <w:rPr>
                <w:b w:val="0"/>
                <w:i w:val="0"/>
                <w:sz w:val="20"/>
              </w:rPr>
              <w:t>Variable counseling around vaginal lengthening treatment</w:t>
            </w:r>
          </w:p>
        </w:tc>
        <w:tc>
          <w:tcPr>
            <w:tcW w:type="dxa" w:w="4608"/>
          </w:tcPr>
          <w:p>
            <w:pPr>
              <w:spacing w:line="240" w:lineRule="auto"/>
            </w:pPr>
            <w:r/>
            <w:r>
              <w:rPr>
                <w:b w:val="0"/>
                <w:i w:val="0"/>
                <w:sz w:val="20"/>
              </w:rPr>
              <w:t>Standardize counseling and shared decision-making for treatment</w:t>
            </w:r>
          </w:p>
        </w:tc>
      </w:tr>
      <w:tr>
        <w:tc>
          <w:tcPr>
            <w:tcW w:type="dxa" w:w="4608"/>
          </w:tcPr>
          <w:p>
            <w:pPr>
              <w:spacing w:line="240" w:lineRule="auto"/>
            </w:pPr>
            <w:r/>
            <w:r>
              <w:rPr>
                <w:b w:val="0"/>
                <w:i w:val="0"/>
                <w:sz w:val="20"/>
              </w:rPr>
              <w:t>Few studies from Africa and none from South America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35 studies published between 2019 and 2026 on the mental health and psychosocial outcomes of individuals with MRKH syndrome. Psychosexual and relational challenges were the most frequently reported outcome, reported in about two of every three studies, while broader psychological distress and quality of life, body image, and self-esteem were each reported in about half. Depression and anxiety were measured less often, and results were mixed. Coping was documented in more than one in three studies and relied largely on peer support and self-management, and more than one in four studies described healthcare system gaps.</w:t>
      </w:r>
    </w:p>
    <w:p>
      <w:pPr>
        <w:ind w:firstLine="720"/>
      </w:pPr>
      <w:r>
        <w:rPr>
          <w:b w:val="0"/>
          <w:i w:val="0"/>
        </w:rPr>
        <w:t>These findings are consistent with earlier evidence that women with MRKH experience greater psychological distress and lower self-esteem than controls,</w:t>
      </w:r>
      <w:r>
        <w:rPr>
          <w:b w:val="0"/>
          <w:i w:val="0"/>
          <w:vertAlign w:val="superscript"/>
        </w:rPr>
        <w:t>4</w:t>
      </w:r>
      <w:r>
        <w:rPr>
          <w:b w:val="0"/>
          <w:i w:val="0"/>
        </w:rPr>
        <w:t xml:space="preserve"> higher anxiety in adolescence,</w:t>
      </w:r>
      <w:r>
        <w:rPr>
          <w:b w:val="0"/>
          <w:i w:val="0"/>
          <w:vertAlign w:val="superscript"/>
        </w:rPr>
        <w:t>5</w:t>
      </w:r>
      <w:r>
        <w:rPr>
          <w:b w:val="0"/>
          <w:i w:val="0"/>
        </w:rPr>
        <w:t xml:space="preserve"> and poorer mental health–related quality of life and sexual wellness.</w:t>
      </w:r>
      <w:r>
        <w:rPr>
          <w:b w:val="0"/>
          <w:i w:val="0"/>
          <w:vertAlign w:val="superscript"/>
        </w:rPr>
        <w:t>6</w:t>
      </w:r>
      <w:r>
        <w:rPr>
          <w:b w:val="0"/>
          <w:i w:val="0"/>
        </w:rPr>
        <w:t xml:space="preserve"> Prior systematic reviews likewise highlighted poor sexual esteem and genital image.</w:t>
      </w:r>
      <w:r>
        <w:rPr>
          <w:b w:val="0"/>
          <w:i w:val="0"/>
          <w:vertAlign w:val="superscript"/>
        </w:rPr>
        <w:t>11,12</w:t>
      </w:r>
      <w:r>
        <w:rPr>
          <w:b w:val="0"/>
          <w:i w:val="0"/>
        </w:rPr>
        <w:t xml:space="preserve"> The present review indicates that psychosexual concerns remain central in the recent literature and extends earlier syntheses by mapping coping mechanisms and healthcare system gaps.</w:t>
      </w:r>
    </w:p>
    <w:p>
      <w:pPr>
        <w:pStyle w:val="Heading2"/>
      </w:pPr>
      <w:r>
        <w:rPr>
          <w:b w:val="0"/>
          <w:i w:val="0"/>
        </w:rPr>
        <w:t>Coping and Psychosocial Support</w:t>
      </w:r>
    </w:p>
    <w:p>
      <w:pPr>
        <w:ind w:firstLine="720"/>
      </w:pPr>
      <w:r>
        <w:rPr>
          <w:b w:val="0"/>
          <w:i w:val="0"/>
        </w:rPr>
        <w:t>Peer support, reappraisal, and spiritual coping suggest considerable resilience after diagnosis, consistent with earlier qualitative accounts of women managing threats to identity and intimacy.</w:t>
      </w:r>
      <w:r>
        <w:rPr>
          <w:b w:val="0"/>
          <w:i w:val="0"/>
          <w:vertAlign w:val="superscript"/>
        </w:rPr>
        <w:t>8</w:t>
      </w:r>
      <w:r>
        <w:rPr>
          <w:b w:val="0"/>
          <w:i w:val="0"/>
        </w:rPr>
        <w:t xml:space="preserve"> At the same time, avoidance and concealment were common and may delay help-seeking. Evidence that structured intervention helps is available—a randomized trial of group cognitive-behavioural therapy improved psychological outcomes,</w:t>
      </w:r>
      <w:r>
        <w:rPr>
          <w:b w:val="0"/>
          <w:i w:val="0"/>
          <w:vertAlign w:val="superscript"/>
        </w:rPr>
        <w:t>49</w:t>
      </w:r>
      <w:r>
        <w:rPr>
          <w:b w:val="0"/>
          <w:i w:val="0"/>
        </w:rPr>
        <w:t xml:space="preserve"> and recent studies of psychological support and psychosexual education reported benefits</w:t>
      </w:r>
      <w:r>
        <w:rPr>
          <w:b w:val="0"/>
          <w:i w:val="0"/>
          <w:vertAlign w:val="superscript"/>
        </w:rPr>
        <w:t>16,45</w:t>
      </w:r>
      <w:r>
        <w:rPr>
          <w:b w:val="0"/>
          <w:i w:val="0"/>
        </w:rPr>
        <w:t>—yet only a few studies evaluated such support, suggesting it has not been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participants described providers unfamiliar with the condition, insensitive communication, and scarce psychological and fertility counseling, indicating a gap between recommendations and practice. The evidence base is more geographically diverse than earlier literature—Asia contributed nearly as many studies as Europe—yet only 1 study came from Africa and none from South America, where expectations regarding fertility, marriage, and womanhood and access to specialized care may differ substantially. Studies from Türkiye, Vietnam, and Japan illustrate how cultural context shapes experiences of diagnosis, disclosure, and infertility.</w:t>
      </w:r>
      <w:r>
        <w:rPr>
          <w:b w:val="0"/>
          <w:i w:val="0"/>
          <w:vertAlign w:val="superscript"/>
        </w:rPr>
        <w:t>9,44,50</w:t>
      </w:r>
    </w:p>
    <w:p>
      <w:pPr>
        <w:pStyle w:val="Heading2"/>
      </w:pPr>
      <w:r>
        <w:rPr>
          <w:b w:val="0"/>
          <w:i w:val="0"/>
        </w:rPr>
        <w:t>Implications for Practice, Policy, and Research</w:t>
      </w:r>
    </w:p>
    <w:p>
      <w:pPr>
        <w:ind w:firstLine="720"/>
      </w:pPr>
      <w:r>
        <w:rPr>
          <w:b w:val="0"/>
          <w:i w:val="0"/>
        </w:rPr>
        <w:t>Five priorities emerge. First, psychosocial support and mental health screening should be integrated into MRKH diagnostic pathways. Second, multidisciplinary care protocols should include psychology and social work alongside gynecology. Third, psychosexual counseling should accompany vaginal lengthening treatment, given the prominence of sexual esteem and genital image concerns. Fourth, providers should be trained in sensitive, non-stigmatizing communication. Fifth, research investment should be expanded in underrepresented and low-resource settings. Future studies should use validated measures, longitudinal designs, and trials of psychosocial interventions delivered within routine care.</w:t>
      </w:r>
    </w:p>
    <w:p>
      <w:pPr>
        <w:pStyle w:val="Heading2"/>
      </w:pPr>
      <w:r>
        <w:rPr>
          <w:b w:val="0"/>
          <w:i w:val="0"/>
        </w:rPr>
        <w:t>Strengths and Limitations</w:t>
      </w:r>
    </w:p>
    <w:p>
      <w:pPr>
        <w:ind w:firstLine="720"/>
      </w:pPr>
      <w:r>
        <w:rPr>
          <w:b w:val="0"/>
          <w:i w:val="0"/>
        </w:rPr>
        <w:t xml:space="preserve">Strengths include an established methodological framework, PRISMA-ScR reporting, a search of biomedical, nursing, psychological, and women's studies databases, and inclusion of quantitative, qualitative, and mixed-methods evidence. The most important limitation is that the original screening records were lost and selection was repeated from the original exports with AI-assisted screening and charting. Charting was checked against the full text for 30 of the 35 included studies, but the remaining 5 rest on abstracts or titles, and </w:t>
      </w:r>
      <w:r>
        <w:rPr>
          <w:b w:val="0"/>
          <w:i w:val="0"/>
          <w:highlight w:val="yellow"/>
        </w:rPr>
        <w:t>[reviewer verification of all decisions is still required]</w:t>
      </w:r>
      <w:r>
        <w:rPr>
          <w:b w:val="0"/>
          <w:i w:val="0"/>
        </w:rPr>
        <w:t>. Two Danish reports and two Chinese reports appear to share samples. In addition, the review was limited to 2019–2026, date limits were applied inconsistently across database interfaces and enforced at screening, designs and measures were heterogeneous, and other studies may also share samples. Consistent with scoping methodology, study quality was not appraised, and counts reflect how often outcomes were studied, not their prevalence. Grey literature was not searched, and many included studies had small, single-center samples, which limits generalizability.</w:t>
      </w:r>
    </w:p>
    <w:p>
      <w:pPr>
        <w:pStyle w:val="Heading2"/>
      </w:pPr>
      <w:r>
        <w:rPr>
          <w:b w:val="0"/>
          <w:i w:val="0"/>
        </w:rPr>
        <w:t>Conclusions</w:t>
      </w:r>
    </w:p>
    <w:p>
      <w:pPr>
        <w:ind w:firstLine="720"/>
      </w:pPr>
      <w:r>
        <w:rPr>
          <w:b w:val="0"/>
          <w:i w:val="0"/>
        </w:rPr>
        <w:t>MRKH-related psychosocial burden is substantial yet under-integrated into care models. Psychosexual and relational challenges, reduced quality of life and self-esteem, and psychological distress are frequently reported, while coping relies largely on peer support and self-management rather than systematic clinical pathways. Multidisciplinary, mental health–inclusive care and greater research investment are urgently needed, particularly in underrepresented and low-resource settings.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propose title and abstract screening decisions, chart data from abstracts, draft and edit the manuscript, verify reference details, and prepare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2025;30(11):3137-3152. doi:10.1177/13591053241305941</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Vosoughi N, Maasoumi R, Haeri Mehrizi AA, Ghanbari Z. The effect of psychosexual education on promoting sexual function, genital self-image, and sexual distress among women with Rokitansky syndrome: a randomized controlled clinical trial. </w:t>
      </w:r>
      <w:r>
        <w:rPr>
          <w:b w:val="0"/>
          <w:i/>
        </w:rPr>
        <w:t>J Pediatr Adolesc Gynecol</w:t>
      </w:r>
      <w:r>
        <w:rPr>
          <w:b w:val="0"/>
          <w:i w:val="0"/>
        </w:rPr>
        <w:t>. 2022;35(1):73-81. doi:10.1016/j.jpag.2021.06.008</w:t>
      </w:r>
    </w:p>
    <w:p>
      <w:pPr>
        <w:ind w:left="504" w:hanging="504"/>
      </w:pPr>
      <w:r>
        <w:rPr>
          <w:b w:val="0"/>
          <w:i w:val="0"/>
        </w:rPr>
        <w:t>17.</w:t>
        <w:tab/>
        <w:t xml:space="preserve">Song S, Chen N, Duan YP, et al. Anxiety symptoms in patients with Mayer-Rokitansky-Küster-Hauser syndrome: a cross-sectional study. </w:t>
      </w:r>
      <w:r>
        <w:rPr>
          <w:b w:val="0"/>
          <w:i/>
        </w:rPr>
        <w:t>Chin Med J (Engl)</w:t>
      </w:r>
      <w:r>
        <w:rPr>
          <w:b w:val="0"/>
          <w:i w:val="0"/>
        </w:rPr>
        <w:t>. 2020;133(4):388-394. doi:10.1097/cm9.0000000000000648</w:t>
      </w:r>
    </w:p>
    <w:p>
      <w:pPr>
        <w:ind w:left="504" w:hanging="504"/>
      </w:pPr>
      <w:r>
        <w:rPr>
          <w:b w:val="0"/>
          <w:i w:val="0"/>
        </w:rPr>
        <w:t>18.</w:t>
        <w:tab/>
        <w:t xml:space="preserve">Chen N, Song S, Duan Y, et al. Study on depressive symptoms in patients with Mayer-Rokitansky-Küster-Hauser syndrome: an analysis of 141 cases. </w:t>
      </w:r>
      <w:r>
        <w:rPr>
          <w:b w:val="0"/>
          <w:i/>
        </w:rPr>
        <w:t>Orphanet J Rare Dis</w:t>
      </w:r>
      <w:r>
        <w:rPr>
          <w:b w:val="0"/>
          <w:i w:val="0"/>
        </w:rPr>
        <w:t>. 2020;15(1):121. doi:10.1186/s13023-020-01405-9</w:t>
      </w:r>
    </w:p>
    <w:p>
      <w:pPr>
        <w:ind w:left="504" w:hanging="504"/>
      </w:pPr>
      <w:r>
        <w:rPr>
          <w:b w:val="0"/>
          <w:i w:val="0"/>
        </w:rPr>
        <w:t>19.</w:t>
        <w:tab/>
        <w:t xml:space="preserve">Weijenborg PTM, Kluivers KB, Dessens AB, ten Kate-Booij MJ, Both S. Sexual functioning, sexual esteem, genital self-image and psychological and relational functioning in women with Mayer-Rokitansky-Küster-Hauser syndrome: a case-control study. </w:t>
      </w:r>
      <w:r>
        <w:rPr>
          <w:b w:val="0"/>
          <w:i/>
        </w:rPr>
        <w:t>Hum Reprod</w:t>
      </w:r>
      <w:r>
        <w:rPr>
          <w:b w:val="0"/>
          <w:i w:val="0"/>
        </w:rPr>
        <w:t>. 2019;34(9):1661-1673. doi:10.1093/humrep/dez130</w:t>
      </w:r>
    </w:p>
    <w:p>
      <w:pPr>
        <w:ind w:left="504" w:hanging="504"/>
      </w:pPr>
      <w:r>
        <w:rPr>
          <w:b w:val="0"/>
          <w:i w:val="0"/>
        </w:rPr>
        <w:t>20.</w:t>
        <w:tab/>
        <w:t xml:space="preserve">Beisert MJ, Chodecka AM, Walczyk-Matyja K, Szymańska-Pytlińska ME, Kędzia W, Kapczuk K. Psychological correlates of sexual self-esteem in young women with Mayer-Rokitansky-Küster-Hauser syndrome. </w:t>
      </w:r>
      <w:r>
        <w:rPr>
          <w:b w:val="0"/>
          <w:i/>
        </w:rPr>
        <w:t>Curr Issues Personal Psychol</w:t>
      </w:r>
      <w:r>
        <w:rPr>
          <w:b w:val="0"/>
          <w:i w:val="0"/>
        </w:rPr>
        <w:t>. 2022;10(4):333-342. doi:10.5114/cipp.2022.114044</w:t>
      </w:r>
    </w:p>
    <w:p>
      <w:pPr>
        <w:ind w:left="504" w:hanging="504"/>
      </w:pPr>
      <w:r>
        <w:rPr>
          <w:b w:val="0"/>
          <w:i w:val="0"/>
        </w:rPr>
        <w:t>21.</w:t>
        <w:tab/>
        <w:t xml:space="preserve">Jensen AH, Herlin MK, Trolle B, Vogel I, Lou S. Experiences of vaginal lengthening treatment and sexual well-being in women with Mayer-Rokitansky-Küster-Hauser (MRKH) syndrome: an interview study. </w:t>
      </w:r>
      <w:r>
        <w:rPr>
          <w:b w:val="0"/>
          <w:i/>
        </w:rPr>
        <w:t>BJOG</w:t>
      </w:r>
      <w:r>
        <w:rPr>
          <w:b w:val="0"/>
          <w:i w:val="0"/>
        </w:rPr>
        <w:t>. 2024;131(13):1841-1850. doi:10.1111/1471-0528.17916</w:t>
      </w:r>
    </w:p>
    <w:p>
      <w:pPr>
        <w:ind w:left="504" w:hanging="504"/>
      </w:pPr>
      <w:r>
        <w:rPr>
          <w:b w:val="0"/>
          <w:i w:val="0"/>
        </w:rPr>
        <w:t>22.</w:t>
        <w:tab/>
        <w:t xml:space="preserve">Stepanow C, Naderer A, Alexopoulos J, Walch K, Wenzl R, Leithner K. Sexual health and sexual well-being of women with Mayer-Rokitansky-Kuester-Hauser syndrome after vaginal reconstruction: a qualitative analysis. </w:t>
      </w:r>
      <w:r>
        <w:rPr>
          <w:b w:val="0"/>
          <w:i/>
        </w:rPr>
        <w:t>J Sex Med</w:t>
      </w:r>
      <w:r>
        <w:rPr>
          <w:b w:val="0"/>
          <w:i w:val="0"/>
        </w:rPr>
        <w:t>. 2023;20(1):57-64. doi:10.1093/jsxmed/qdac011</w:t>
      </w:r>
    </w:p>
    <w:p>
      <w:pPr>
        <w:ind w:left="504" w:hanging="504"/>
      </w:pPr>
      <w:r>
        <w:rPr>
          <w:b w:val="0"/>
          <w:i w:val="0"/>
        </w:rPr>
        <w:t>23.</w:t>
        <w:tab/>
        <w:t xml:space="preserve">Tsitoura A, Michala L. The sexuality of adolescents and young women with MRKH syndrome: a qualitative study. </w:t>
      </w:r>
      <w:r>
        <w:rPr>
          <w:b w:val="0"/>
          <w:i/>
        </w:rPr>
        <w:t>J Sex Med</w:t>
      </w:r>
      <w:r>
        <w:rPr>
          <w:b w:val="0"/>
          <w:i w:val="0"/>
        </w:rPr>
        <w:t>. 2021;18(12):2012-2019. doi:10.1016/j.jsxm.2021.09.006</w:t>
      </w:r>
    </w:p>
    <w:p>
      <w:pPr>
        <w:ind w:left="504" w:hanging="504"/>
      </w:pPr>
      <w:r>
        <w:rPr>
          <w:b w:val="0"/>
          <w:i w:val="0"/>
        </w:rPr>
        <w:t>24.</w:t>
        <w:tab/>
        <w:t xml:space="preserve">Ngoumou RD. How does the experience of the medical encounter with Mayer-Rokitansky-Küster-Hauser (MRKH) syndrome impact women in Africa? </w:t>
      </w:r>
      <w:r>
        <w:rPr>
          <w:b w:val="0"/>
          <w:i/>
        </w:rPr>
        <w:t>Pan Afr Med J</w:t>
      </w:r>
      <w:r>
        <w:rPr>
          <w:b w:val="0"/>
          <w:i w:val="0"/>
        </w:rPr>
        <w:t>. 2022;42:314. doi:10.11604/pamj.2022.42.314.32830</w:t>
      </w:r>
    </w:p>
    <w:p>
      <w:pPr>
        <w:ind w:left="504" w:hanging="504"/>
      </w:pPr>
      <w:r>
        <w:rPr>
          <w:b w:val="0"/>
          <w:i w:val="0"/>
        </w:rPr>
        <w:t>25.</w:t>
        <w:tab/>
        <w:t xml:space="preserve">Rall K, Schenk B, Schäffeler N, et al. Long term findings concerning the mental and physical condition, quality of life and sexuality after laparoscopically assisted creation of a neovagina (modified Vecchietti technique) in young MRKHS (Mayer-Rokitansky-Küster-Hauser-Syndrome) patients. </w:t>
      </w:r>
      <w:r>
        <w:rPr>
          <w:b w:val="0"/>
          <w:i/>
        </w:rPr>
        <w:t>J Clin Med</w:t>
      </w:r>
      <w:r>
        <w:rPr>
          <w:b w:val="0"/>
          <w:i w:val="0"/>
        </w:rPr>
        <w:t>. 2021;10(6):1269. doi:10.3390/jcm10061269</w:t>
      </w:r>
    </w:p>
    <w:p>
      <w:pPr>
        <w:ind w:left="504" w:hanging="504"/>
      </w:pPr>
      <w:r>
        <w:rPr>
          <w:b w:val="0"/>
          <w:i w:val="0"/>
        </w:rPr>
        <w:t>26.</w:t>
        <w:tab/>
        <w:t xml:space="preserve">Carroll S, Laufer MR, Thomas-Kowal P, Lossie AC, Moss-Morris R. From engulfment to enrichment: associations between illness representations, self-concept, and psychological adjustment in Mayer-Rokitansky-Küster-Hauser syndrome. </w:t>
      </w:r>
      <w:r>
        <w:rPr>
          <w:b w:val="0"/>
          <w:i/>
        </w:rPr>
        <w:t>J Pediatr Adolesc Gynecol</w:t>
      </w:r>
      <w:r>
        <w:rPr>
          <w:b w:val="0"/>
          <w:i w:val="0"/>
        </w:rPr>
        <w:t>. 2020;33(6):639-648. doi:10.1016/j.jpag.2020.07.006</w:t>
      </w:r>
    </w:p>
    <w:p>
      <w:pPr>
        <w:ind w:left="504" w:hanging="504"/>
      </w:pPr>
      <w:r>
        <w:rPr>
          <w:b w:val="0"/>
          <w:i w:val="0"/>
        </w:rPr>
        <w:t>27.</w:t>
        <w:tab/>
        <w:t xml:space="preserve">Arsy GR, Ratnawati R, Rachmawati SD. Low self-esteem of women suffering Mayer Rokitansky Kuster Hauser syndrome. </w:t>
      </w:r>
      <w:r>
        <w:rPr>
          <w:b w:val="0"/>
          <w:i/>
        </w:rPr>
        <w:t>Indian J Public Health Res Dev</w:t>
      </w:r>
      <w:r>
        <w:rPr>
          <w:b w:val="0"/>
          <w:i w:val="0"/>
        </w:rPr>
        <w:t>. 2019;10(8):2042-2045. doi:10.5958/0976-5506.2019.02155.7</w:t>
      </w:r>
    </w:p>
    <w:p>
      <w:pPr>
        <w:ind w:left="504" w:hanging="504"/>
      </w:pPr>
      <w:r>
        <w:rPr>
          <w:b w:val="0"/>
          <w:i w:val="0"/>
        </w:rPr>
        <w:t>28.</w:t>
        <w:tab/>
        <w:t xml:space="preserve">Kang J, Chen N, Song S, et al. Sexual function and quality of life after the creation of a neovagina in women with Mayer-Rokitansky-Küster-Hauser syndrome: comparison of vaginal dilation and surgical procedures. </w:t>
      </w:r>
      <w:r>
        <w:rPr>
          <w:b w:val="0"/>
          <w:i/>
        </w:rPr>
        <w:t>Fertil Steril</w:t>
      </w:r>
      <w:r>
        <w:rPr>
          <w:b w:val="0"/>
          <w:i w:val="0"/>
        </w:rPr>
        <w:t>. 2020;113(5):1024-1031. doi:10.1016/j.fertnstert.2020.01.017</w:t>
      </w:r>
    </w:p>
    <w:p>
      <w:pPr>
        <w:ind w:left="504" w:hanging="504"/>
      </w:pPr>
      <w:r>
        <w:rPr>
          <w:b w:val="0"/>
          <w:i w:val="0"/>
        </w:rPr>
        <w:t>29.</w:t>
        <w:tab/>
        <w:t xml:space="preserve">Sabatucci I, Palaia I, Marchese C, et al. Treatment of the Mayer-Rokitansky-Küster-Hauser syndrome with autologous in vitro cultured vaginal tissue: descriptive study of long-term results and patient outcomes. </w:t>
      </w:r>
      <w:r>
        <w:rPr>
          <w:b w:val="0"/>
          <w:i/>
        </w:rPr>
        <w:t>BJOG</w:t>
      </w:r>
      <w:r>
        <w:rPr>
          <w:b w:val="0"/>
          <w:i w:val="0"/>
        </w:rPr>
        <w:t>. 2019;126(1):123-127. doi:10.1111/1471-0528.15477</w:t>
      </w:r>
    </w:p>
    <w:p>
      <w:pPr>
        <w:ind w:left="504" w:hanging="504"/>
      </w:pPr>
      <w:r>
        <w:rPr>
          <w:b w:val="0"/>
          <w:i w:val="0"/>
        </w:rPr>
        <w:t>30.</w:t>
        <w:tab/>
        <w:t xml:space="preserve">Mao M, Zhang Y, Fu H, Wang Q, Bai J, Guo R. Long-term results of sexual function and body image after vaginoplasty with acellular dermal matrix in women with Mayer-Rokitansky-Küster-Hauser syndrome. </w:t>
      </w:r>
      <w:r>
        <w:rPr>
          <w:b w:val="0"/>
          <w:i/>
        </w:rPr>
        <w:t>J Minim Invasive Gynecol</w:t>
      </w:r>
      <w:r>
        <w:rPr>
          <w:b w:val="0"/>
          <w:i w:val="0"/>
        </w:rPr>
        <w:t>. 2024;31(1):37-42. doi:10.1016/j.jmig.2023.10.003</w:t>
      </w:r>
    </w:p>
    <w:p>
      <w:pPr>
        <w:ind w:left="504" w:hanging="504"/>
      </w:pPr>
      <w:r>
        <w:rPr>
          <w:b w:val="0"/>
          <w:i w:val="0"/>
        </w:rPr>
        <w:t>31.</w:t>
        <w:tab/>
        <w:t xml:space="preserve">Gilfillan R, Carter P. Issues of identity, perceptions and isolation: an interpretative phenomenological analysis of women's experience of Mayer-Rokitansky-Küster-Hauser (MRKH) syndrome. </w:t>
      </w:r>
      <w:r>
        <w:rPr>
          <w:b w:val="0"/>
          <w:i/>
        </w:rPr>
        <w:t>J Health Psychol</w:t>
      </w:r>
      <w:r>
        <w:rPr>
          <w:b w:val="0"/>
          <w:i w:val="0"/>
        </w:rPr>
        <w:t>. 2024;29(3):200-212. doi:10.1177/13591053231199253</w:t>
      </w:r>
    </w:p>
    <w:p>
      <w:pPr>
        <w:ind w:left="504" w:hanging="504"/>
      </w:pPr>
      <w:r>
        <w:rPr>
          <w:b w:val="0"/>
          <w:i w:val="0"/>
        </w:rPr>
        <w:t>32.</w:t>
        <w:tab/>
        <w:t xml:space="preserve">Jensen AH, Herlin MK, Vogel I, Lou S. A life course perspective on Mayer-Rokitansky-Küster-Hauser syndrome: women's experiences and negotiations of living with an underdeveloped uterus and vagina. </w:t>
      </w:r>
      <w:r>
        <w:rPr>
          <w:b w:val="0"/>
          <w:i/>
        </w:rPr>
        <w:t>Disabil Rehabil</w:t>
      </w:r>
      <w:r>
        <w:rPr>
          <w:b w:val="0"/>
          <w:i w:val="0"/>
        </w:rPr>
        <w:t>. 2024;46(6):1130-1140. doi:10.1080/09638288.2023.2191014</w:t>
      </w:r>
    </w:p>
    <w:p>
      <w:pPr>
        <w:ind w:left="504" w:hanging="504"/>
      </w:pPr>
      <w:r>
        <w:rPr>
          <w:b w:val="0"/>
          <w:i w:val="0"/>
        </w:rPr>
        <w:t>33.</w:t>
        <w:tab/>
        <w:t xml:space="preserve">Lou S, Jensen AH, Vogel I, Trolle B, Herlin MK. Understanding the diagnostic odyssey of women with Mayer-Rokitansky-Küster-Hauser (MRKH) syndrome in Denmark: a qualitative interview study. </w:t>
      </w:r>
      <w:r>
        <w:rPr>
          <w:b w:val="0"/>
          <w:i/>
        </w:rPr>
        <w:t>J Pediatr Adolesc Gynecol</w:t>
      </w:r>
      <w:r>
        <w:rPr>
          <w:b w:val="0"/>
          <w:i w:val="0"/>
        </w:rPr>
        <w:t>. 2024;37(4):412-418. doi:10.1016/j.jpag.2024.03.003</w:t>
      </w:r>
    </w:p>
    <w:p>
      <w:pPr>
        <w:ind w:left="504" w:hanging="504"/>
      </w:pPr>
      <w:r>
        <w:rPr>
          <w:b w:val="0"/>
          <w:i w:val="0"/>
        </w:rPr>
        <w:t>34.</w:t>
        <w:tab/>
        <w:t xml:space="preserve">Järvholm S, Enskog A, Hammarling C, Dahm-Kähler P, Brännström M. Uterus transplantation: joys and frustrations of becoming a "complete" woman—a qualitative study regarding self-image in the 5-year period after transplantation. </w:t>
      </w:r>
      <w:r>
        <w:rPr>
          <w:b w:val="0"/>
          <w:i/>
        </w:rPr>
        <w:t>Hum Reprod</w:t>
      </w:r>
      <w:r>
        <w:rPr>
          <w:b w:val="0"/>
          <w:i w:val="0"/>
        </w:rPr>
        <w:t>. 2020;35(8):1855-1863. doi:10.1093/humrep/deaa143</w:t>
      </w:r>
    </w:p>
    <w:p>
      <w:pPr>
        <w:ind w:left="504" w:hanging="504"/>
      </w:pPr>
      <w:r>
        <w:rPr>
          <w:b w:val="0"/>
          <w:i w:val="0"/>
        </w:rPr>
        <w:t>35.</w:t>
        <w:tab/>
        <w:t xml:space="preserve">Khairudin KB, Nik Mhd Nor NS, Childs JF, et al. Prevalence of anxiety and depression in women with Mayer-Rokitansky-Küster-Hauser (MRKH) syndrome in Malaysia. </w:t>
      </w:r>
      <w:r>
        <w:rPr>
          <w:b w:val="0"/>
          <w:i/>
        </w:rPr>
        <w:t>J Pediatr Adolesc Gynecol</w:t>
      </w:r>
      <w:r>
        <w:rPr>
          <w:b w:val="0"/>
          <w:i w:val="0"/>
        </w:rPr>
        <w:t>. 2026;39(2):215-220. doi:10.1016/j.jpag.2025.11.005</w:t>
      </w:r>
    </w:p>
    <w:p>
      <w:pPr>
        <w:ind w:left="504" w:hanging="504"/>
      </w:pPr>
      <w:r>
        <w:rPr>
          <w:b w:val="0"/>
          <w:i w:val="0"/>
        </w:rPr>
        <w:t>36.</w:t>
        <w:tab/>
        <w:t xml:space="preserve">Lei XH, Wang X, Shao SY, Hua KQ, Zhang Y. Self-esteem, depression, anxiety and sexual function in Mayer-Rokitansky-Küster-Hauser syndrome with neovagina: a case series. </w:t>
      </w:r>
      <w:r>
        <w:rPr>
          <w:b w:val="0"/>
          <w:i/>
        </w:rPr>
        <w:t>Eur J Obstet Gynecol Reprod Biol</w:t>
      </w:r>
      <w:r>
        <w:rPr>
          <w:b w:val="0"/>
          <w:i w:val="0"/>
        </w:rPr>
        <w:t>. 2024;298:85-90. doi:10.1016/j.ejogrb.2024.04.027</w:t>
      </w:r>
    </w:p>
    <w:p>
      <w:pPr>
        <w:ind w:left="504" w:hanging="504"/>
      </w:pPr>
      <w:r>
        <w:rPr>
          <w:b w:val="0"/>
          <w:i w:val="0"/>
        </w:rPr>
        <w:t>37.</w:t>
        <w:tab/>
        <w:t xml:space="preserve">Sorouri Khorashad B, Kaabi O, Gardner MD, et al. Psychiatric comorbidities in women with complete androgen insensitivity syndrome or Müllerian duct aplasia/agenesis. </w:t>
      </w:r>
      <w:r>
        <w:rPr>
          <w:b w:val="0"/>
          <w:i/>
        </w:rPr>
        <w:t>J Clin Endocrinol Metab</w:t>
      </w:r>
      <w:r>
        <w:rPr>
          <w:b w:val="0"/>
          <w:i w:val="0"/>
        </w:rPr>
        <w:t>. 2025;110(7):1906-1914. doi:10.1210/clinem/dgae720</w:t>
      </w:r>
    </w:p>
    <w:p>
      <w:pPr>
        <w:ind w:left="504" w:hanging="504"/>
      </w:pPr>
      <w:r>
        <w:rPr>
          <w:b w:val="0"/>
          <w:i w:val="0"/>
        </w:rPr>
        <w:t>38.</w:t>
        <w:tab/>
        <w:t xml:space="preserve">Karpel L, Nicaise M, Carbonnel M, et al. Psychological evaluation of candidates for the uterus transplantation French trial. </w:t>
      </w:r>
      <w:r>
        <w:rPr>
          <w:b w:val="0"/>
          <w:i/>
        </w:rPr>
        <w:t>Acta Obstet Gynecol Scand</w:t>
      </w:r>
      <w:r>
        <w:rPr>
          <w:b w:val="0"/>
          <w:i w:val="0"/>
        </w:rPr>
        <w:t>. 2025;104(3):522-527. doi:10.1111/aogs.15004</w:t>
      </w:r>
    </w:p>
    <w:p>
      <w:pPr>
        <w:ind w:left="504" w:hanging="504"/>
      </w:pPr>
      <w:r>
        <w:rPr>
          <w:b w:val="0"/>
          <w:i w:val="0"/>
        </w:rPr>
        <w:t>39.</w:t>
        <w:tab/>
        <w:t xml:space="preserve">Jha S, Singh S. Sexual and psychosocial outcome after neovaginoplasty using Interceed in females with Mayer-Rokitansky-Küster-Hauser syndrome: a case-control study. </w:t>
      </w:r>
      <w:r>
        <w:rPr>
          <w:b w:val="0"/>
          <w:i/>
        </w:rPr>
        <w:t>J Obstet Gynaecol Can</w:t>
      </w:r>
      <w:r>
        <w:rPr>
          <w:b w:val="0"/>
          <w:i w:val="0"/>
        </w:rPr>
        <w:t>. 2022;44(8):926-930. doi:10.1016/j.jogc.2022.03.018</w:t>
      </w:r>
    </w:p>
    <w:p>
      <w:pPr>
        <w:ind w:left="504" w:hanging="504"/>
      </w:pPr>
      <w:r>
        <w:rPr>
          <w:b w:val="0"/>
          <w:i w:val="0"/>
        </w:rPr>
        <w:t>40.</w:t>
        <w:tab/>
        <w:t xml:space="preserve">Scollo P, Pecorino B, La Spina S, Veroux P, Giaquinta A, Scibilia G. Psychological and personality assessment in patients candidates for uterus transplantation from deceased donor: preliminary results. </w:t>
      </w:r>
      <w:r>
        <w:rPr>
          <w:b w:val="0"/>
          <w:i/>
        </w:rPr>
        <w:t>Ital J Gynaecol Obstet</w:t>
      </w:r>
      <w:r>
        <w:rPr>
          <w:b w:val="0"/>
          <w:i w:val="0"/>
        </w:rPr>
        <w:t>. 2020;32(4):287-292. doi:10.36129/jog.32.04.08</w:t>
      </w:r>
    </w:p>
    <w:p>
      <w:pPr>
        <w:ind w:left="504" w:hanging="504"/>
      </w:pPr>
      <w:r>
        <w:rPr>
          <w:b w:val="0"/>
          <w:i w:val="0"/>
        </w:rPr>
        <w:t>41.</w:t>
        <w:tab/>
        <w:t xml:space="preserve">Pittman J, Gerstl B, Walch A, Lotz M, Deans R, Morrison N. Psychological well-being of women with uterine infertility before considering uterus transplantation as a treatment option. </w:t>
      </w:r>
      <w:r>
        <w:rPr>
          <w:b w:val="0"/>
          <w:i/>
        </w:rPr>
        <w:t>Aust N Z J Obstet Gynaecol</w:t>
      </w:r>
      <w:r>
        <w:rPr>
          <w:b w:val="0"/>
          <w:i w:val="0"/>
        </w:rPr>
        <w:t>. 2025;65(2):263-268. doi:10.1111/ajo.13895</w:t>
      </w:r>
    </w:p>
    <w:p>
      <w:pPr>
        <w:ind w:left="504" w:hanging="504"/>
      </w:pPr>
      <w:r>
        <w:rPr>
          <w:b w:val="0"/>
          <w:i w:val="0"/>
        </w:rPr>
        <w:t>42.</w:t>
        <w:tab/>
        <w:t xml:space="preserve">Güner P, Ulukaya T. From avoidance to empowerment: coping strategies in women with Müllerian agenesis (MRKH) after McIndoe reconstruction: a descriptive phenomenological study. </w:t>
      </w:r>
      <w:r>
        <w:rPr>
          <w:b w:val="0"/>
          <w:i/>
        </w:rPr>
        <w:t>J Pediatr Adolesc Gynecol</w:t>
      </w:r>
      <w:r>
        <w:rPr>
          <w:b w:val="0"/>
          <w:i w:val="0"/>
        </w:rPr>
        <w:t>. 2026;39(1):101-108. doi:10.1016/j.jpag.2025.10.013</w:t>
      </w:r>
    </w:p>
    <w:p>
      <w:pPr>
        <w:ind w:left="504" w:hanging="504"/>
      </w:pPr>
      <w:r>
        <w:rPr>
          <w:b w:val="0"/>
          <w:i w:val="0"/>
        </w:rPr>
        <w:t>43.</w:t>
        <w:tab/>
        <w:t xml:space="preserve">Hatim H, Zainuddin AA, Anizah A, et al. The missing uterus, the missed diagnosis, and the missing care. Mayer-Rokitansky-Küster-Hauser syndrome in the lives of women in Malaysia. </w:t>
      </w:r>
      <w:r>
        <w:rPr>
          <w:b w:val="0"/>
          <w:i/>
        </w:rPr>
        <w:t>J Pediatr Adolesc Gynecol</w:t>
      </w:r>
      <w:r>
        <w:rPr>
          <w:b w:val="0"/>
          <w:i w:val="0"/>
        </w:rPr>
        <w:t>. 2021;34(2):161-167. doi:10.1016/j.jpag.2020.11.009</w:t>
      </w:r>
    </w:p>
    <w:p>
      <w:pPr>
        <w:ind w:left="504" w:hanging="504"/>
      </w:pPr>
      <w:r>
        <w:rPr>
          <w:b w:val="0"/>
          <w:i w:val="0"/>
        </w:rPr>
        <w:t>44.</w:t>
        <w:tab/>
        <w:t xml:space="preserve">Le TTQ, Le NTH, Vu TA, Nguyen HH, Vuong LN. Perception of having children through surrogacy in individuals with MRKH in Vietnam: a qualitative study. </w:t>
      </w:r>
      <w:r>
        <w:rPr>
          <w:b w:val="0"/>
          <w:i/>
        </w:rPr>
        <w:t>Front Psychol</w:t>
      </w:r>
      <w:r>
        <w:rPr>
          <w:b w:val="0"/>
          <w:i w:val="0"/>
        </w:rPr>
        <w:t>. 2024;15:1372405. doi:10.3389/fpsyg.2024.1372405</w:t>
      </w:r>
    </w:p>
    <w:p>
      <w:pPr>
        <w:ind w:left="504" w:hanging="504"/>
      </w:pPr>
      <w:r>
        <w:rPr>
          <w:b w:val="0"/>
          <w:i w:val="0"/>
        </w:rPr>
        <w:t>45.</w:t>
        <w:tab/>
        <w:t xml:space="preserve">Shao S, Wang X, Lei X, Hua K, Zhang Y. Psychological intervention in women with Mayer-Rokitansky-Küster-Hauser syndrome after artificial vaginoplasty: a prospective study. </w:t>
      </w:r>
      <w:r>
        <w:rPr>
          <w:b w:val="0"/>
          <w:i/>
        </w:rPr>
        <w:t>Int Urogynecol J</w:t>
      </w:r>
      <w:r>
        <w:rPr>
          <w:b w:val="0"/>
          <w:i w:val="0"/>
        </w:rPr>
        <w:t>. 2022;33(3):723-729. doi:10.1007/s00192-022-05075-y</w:t>
      </w:r>
    </w:p>
    <w:p>
      <w:pPr>
        <w:ind w:left="504" w:hanging="504"/>
      </w:pPr>
      <w:r>
        <w:rPr>
          <w:b w:val="0"/>
          <w:i w:val="0"/>
        </w:rPr>
        <w:t>46.</w:t>
        <w:tab/>
        <w:t xml:space="preserve">Marshall N, Rajesh Z, Hunker K, et al. "Don't give up, advocate for yourself": a pilot study examining healthcare experiences of people with Mayer Rokitansky Küster Hauser syndrome. </w:t>
      </w:r>
      <w:r>
        <w:rPr>
          <w:b w:val="0"/>
          <w:i/>
        </w:rPr>
        <w:t>J Pediatr Adolesc Gynecol</w:t>
      </w:r>
      <w:r>
        <w:rPr>
          <w:b w:val="0"/>
          <w:i w:val="0"/>
        </w:rPr>
        <w:t>. 2025;38(2):167-173. doi:10.1016/j.jpag.2024.12.001</w:t>
      </w:r>
    </w:p>
    <w:p>
      <w:pPr>
        <w:ind w:left="504" w:hanging="504"/>
      </w:pPr>
      <w:r>
        <w:rPr>
          <w:b w:val="0"/>
          <w:i w:val="0"/>
        </w:rPr>
        <w:t>47.</w:t>
        <w:tab/>
        <w:t xml:space="preserve">Di Mattei VE, Taranto P, Perego G, et al. Illness experience and (unmet) needs of women with Mayer-Rokitansky-Küster-Hauser syndrome (MRKH): a qualitative analysis of an online forum. </w:t>
      </w:r>
      <w:r>
        <w:rPr>
          <w:b w:val="0"/>
          <w:i/>
        </w:rPr>
        <w:t>Psychol Health</w:t>
      </w:r>
      <w:r>
        <w:rPr>
          <w:b w:val="0"/>
          <w:i w:val="0"/>
        </w:rPr>
        <w:t>. 2026;41(1):53-75. doi:10.1080/08870446.2024.2390647</w:t>
      </w:r>
    </w:p>
    <w:p>
      <w:pPr>
        <w:ind w:left="504" w:hanging="504"/>
      </w:pPr>
      <w:r>
        <w:rPr>
          <w:b w:val="0"/>
          <w:i w:val="0"/>
        </w:rPr>
        <w:t>48.</w:t>
        <w:tab/>
        <w:t xml:space="preserve">Pennesi CM, Berkeley J, Lossie AC, Quint EH, Zieman KD, Carroll S. International experiences with vaginal lengthening treatment among individuals with Müllerian agenesis: a mixed-methods study. </w:t>
      </w:r>
      <w:r>
        <w:rPr>
          <w:b w:val="0"/>
          <w:i/>
        </w:rPr>
        <w:t>J Pediatr Adolesc Gynecol</w:t>
      </w:r>
      <w:r>
        <w:rPr>
          <w:b w:val="0"/>
          <w:i w:val="0"/>
        </w:rPr>
        <w:t>. 2023;36(5):476-483. doi:10.1016/j.jpag.2023.05.004</w:t>
      </w:r>
    </w:p>
    <w:p>
      <w:pPr>
        <w:ind w:left="504" w:hanging="504"/>
      </w:pPr>
      <w:r>
        <w:rPr>
          <w:b w:val="0"/>
          <w:i w:val="0"/>
        </w:rPr>
        <w:t>49.</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50.</w:t>
        <w:tab/>
        <w:t xml:space="preserve">Okunomiya A, Tsuyuki K, Ohsuga T, et al. Long-term psychosocial outcomes in Japanese Mayer-Rokitansky-Küster-Hauser syndrome: a single-center study. </w:t>
      </w:r>
      <w:r>
        <w:rPr>
          <w:b w:val="0"/>
          <w:i/>
        </w:rPr>
        <w:t>J Obstet Gynaecol Res</w:t>
      </w:r>
      <w:r>
        <w:rPr>
          <w:b w:val="0"/>
          <w:i w:val="0"/>
        </w:rPr>
        <w:t>. 2026;52(5):e70291. doi:10.1111/jog.70291</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(100 exported records; 89 after deduplication, all from EBSCOhost) were excluded at title and abstract screening.</w:t>
      </w:r>
    </w:p>
    <w:p>
      <w:pPr>
        <w:pStyle w:val="Heading1"/>
        <w:pageBreakBefore/>
      </w:pPr>
      <w:r>
        <w:rPr>
          <w:b w:val="0"/>
          <w:i w:val="0"/>
        </w:rPr>
        <w:t>Appendix B. Characteristics of Included Studies</w:t>
      </w:r>
    </w:p>
    <w:p>
      <w:pPr>
        <w:spacing w:line="240" w:lineRule="auto"/>
      </w:pPr>
      <w:r>
        <w:rPr>
          <w:b w:val="0"/>
          <w:i w:val="0"/>
          <w:sz w:val="20"/>
        </w:rPr>
        <w:t>Data charting was checked against the full text for 30 of 35 studies; entries marked † were charted from the abstract or title only. Domains: D, depression/anxiety; Q, quality of life, body image, self-esteem; S, psychosexual and relational; P, broader psychological distress; C, coping documented; H, healthcare system gaps. Reference numbers refer to the main reference list.</w:t>
      </w:r>
    </w:p>
    <w:p>
      <w:pPr>
        <w:keepNext/>
        <w:spacing w:line="240" w:lineRule="auto" w:before="240" w:after="80"/>
      </w:pPr>
      <w:r>
        <w:rPr>
          <w:b/>
          <w:i w:val="0"/>
        </w:rPr>
        <w:t>Table B1.</w:t>
      </w:r>
      <w:r>
        <w:rPr>
          <w:b w:val="0"/>
          <w:i w:val="0"/>
        </w:rPr>
        <w:t xml:space="preserve"> Characteristics of included studies (N = 35)</w:t>
      </w:r>
    </w:p>
    <w:tbl>
      <w:tblPr>
        <w:tblStyle w:val="TableGrid"/>
        <w:tblW w:type="auto" w:w="0"/>
        <w:jc w:val="center"/>
        <w:tblLayout w:type="fixed"/>
        <w:tblLook w:firstColumn="1" w:firstRow="1" w:lastColumn="0" w:lastRow="0" w:noHBand="0" w:noVBand="1" w:val="04A0"/>
      </w:tblPr>
      <w:tblGrid>
        <w:gridCol w:w="1584"/>
        <w:gridCol w:w="1296"/>
        <w:gridCol w:w="2160"/>
        <w:gridCol w:w="1152"/>
        <w:gridCol w:w="1008"/>
        <w:gridCol w:w="2160"/>
      </w:tblGrid>
      <w:tr>
        <w:tc>
          <w:tcPr>
            <w:tcW w:type="dxa" w:w="1584"/>
            <w:shd w:val="clear" w:color="auto" w:fill="D9E2F3"/>
          </w:tcPr>
          <w:p>
            <w:pPr>
              <w:spacing w:line="240" w:lineRule="auto"/>
            </w:pPr>
            <w:r/>
            <w:r>
              <w:rPr>
                <w:b/>
                <w:i w:val="0"/>
                <w:sz w:val="16"/>
              </w:rPr>
              <w:t>Study</w:t>
            </w:r>
          </w:p>
        </w:tc>
        <w:tc>
          <w:tcPr>
            <w:tcW w:type="dxa" w:w="1296"/>
            <w:shd w:val="clear" w:color="auto" w:fill="D9E2F3"/>
          </w:tcPr>
          <w:p>
            <w:pPr>
              <w:spacing w:line="240" w:lineRule="auto"/>
            </w:pPr>
            <w:r/>
            <w:r>
              <w:rPr>
                <w:b/>
                <w:i w:val="0"/>
                <w:sz w:val="16"/>
              </w:rPr>
              <w:t>Country</w:t>
            </w:r>
          </w:p>
        </w:tc>
        <w:tc>
          <w:tcPr>
            <w:tcW w:type="dxa" w:w="2160"/>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n</w:t>
            </w:r>
          </w:p>
        </w:tc>
        <w:tc>
          <w:tcPr>
            <w:tcW w:type="dxa" w:w="1008"/>
            <w:shd w:val="clear" w:color="auto" w:fill="D9E2F3"/>
          </w:tcPr>
          <w:p>
            <w:pPr>
              <w:spacing w:line="240" w:lineRule="auto"/>
            </w:pPr>
            <w:r/>
            <w:r>
              <w:rPr>
                <w:b/>
                <w:i w:val="0"/>
                <w:sz w:val="16"/>
              </w:rPr>
              <w:t>Domains</w:t>
            </w:r>
          </w:p>
        </w:tc>
        <w:tc>
          <w:tcPr>
            <w:tcW w:type="dxa" w:w="2160"/>
            <w:shd w:val="clear" w:color="auto" w:fill="D9E2F3"/>
          </w:tcPr>
          <w:p>
            <w:pPr>
              <w:spacing w:line="240" w:lineRule="auto"/>
            </w:pPr>
            <w:r/>
            <w:r>
              <w:rPr>
                <w:b/>
                <w:i w:val="0"/>
                <w:sz w:val="16"/>
              </w:rPr>
              <w:t>Coping</w:t>
            </w:r>
          </w:p>
        </w:tc>
      </w:tr>
      <w:tr>
        <w:tc>
          <w:tcPr>
            <w:tcW w:type="dxa" w:w="1584"/>
          </w:tcPr>
          <w:p>
            <w:pPr>
              <w:spacing w:line="240" w:lineRule="auto"/>
            </w:pPr>
            <w:r/>
            <w:r>
              <w:rPr>
                <w:b w:val="0"/>
                <w:i w:val="0"/>
                <w:sz w:val="16"/>
              </w:rPr>
              <w:t>Arsy 2019</w:t>
            </w:r>
            <w:r>
              <w:rPr>
                <w:b w:val="0"/>
                <w:i w:val="0"/>
                <w:sz w:val="16"/>
                <w:vertAlign w:val="superscript"/>
              </w:rPr>
              <w:t>27</w:t>
            </w:r>
            <w:r>
              <w:rPr>
                <w:b w:val="0"/>
                <w:i w:val="0"/>
                <w:sz w:val="16"/>
              </w:rPr>
              <w:t>†</w:t>
            </w:r>
          </w:p>
        </w:tc>
        <w:tc>
          <w:tcPr>
            <w:tcW w:type="dxa" w:w="1296"/>
          </w:tcPr>
          <w:p>
            <w:pPr>
              <w:spacing w:line="240" w:lineRule="auto"/>
            </w:pPr>
            <w:r/>
            <w:r>
              <w:rPr>
                <w:b w:val="0"/>
                <w:i w:val="0"/>
                <w:sz w:val="16"/>
              </w:rPr>
              <w:t>Indonesia</w:t>
            </w:r>
          </w:p>
        </w:tc>
        <w:tc>
          <w:tcPr>
            <w:tcW w:type="dxa" w:w="2160"/>
          </w:tcPr>
          <w:p>
            <w:pPr>
              <w:spacing w:line="240" w:lineRule="auto"/>
            </w:pPr>
            <w:r/>
            <w:r>
              <w:rPr>
                <w:b w:val="0"/>
                <w:i w:val="0"/>
                <w:sz w:val="16"/>
              </w:rPr>
              <w:t>Not reported in export (no abstract)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Beisert 2022</w:t>
            </w:r>
            <w:r>
              <w:rPr>
                <w:b w:val="0"/>
                <w:i w:val="0"/>
                <w:sz w:val="16"/>
                <w:vertAlign w:val="superscript"/>
              </w:rPr>
              <w:t>20</w:t>
            </w:r>
          </w:p>
        </w:tc>
        <w:tc>
          <w:tcPr>
            <w:tcW w:type="dxa" w:w="1296"/>
          </w:tcPr>
          <w:p>
            <w:pPr>
              <w:spacing w:line="240" w:lineRule="auto"/>
            </w:pPr>
            <w:r/>
            <w:r>
              <w:rPr>
                <w:b w:val="0"/>
                <w:i w:val="0"/>
                <w:sz w:val="16"/>
              </w:rPr>
              <w:t>Poland</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32 (+32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Carroll 2020</w:t>
            </w:r>
            <w:r>
              <w:rPr>
                <w:b w:val="0"/>
                <w:i w:val="0"/>
                <w:sz w:val="16"/>
                <w:vertAlign w:val="superscript"/>
              </w:rPr>
              <w:t>26</w:t>
            </w:r>
          </w:p>
        </w:tc>
        <w:tc>
          <w:tcPr>
            <w:tcW w:type="dxa" w:w="1296"/>
          </w:tcPr>
          <w:p>
            <w:pPr>
              <w:spacing w:line="240" w:lineRule="auto"/>
            </w:pPr>
            <w:r/>
            <w:r>
              <w:rPr>
                <w:b w:val="0"/>
                <w:i w:val="0"/>
                <w:sz w:val="16"/>
              </w:rPr>
              <w:t>Multinational</w:t>
            </w:r>
          </w:p>
        </w:tc>
        <w:tc>
          <w:tcPr>
            <w:tcW w:type="dxa" w:w="2160"/>
          </w:tcPr>
          <w:p>
            <w:pPr>
              <w:spacing w:line="240" w:lineRule="auto"/>
            </w:pPr>
            <w:r/>
            <w:r>
              <w:rPr>
                <w:b w:val="0"/>
                <w:i w:val="0"/>
                <w:sz w:val="16"/>
              </w:rPr>
              <w:t>Cross-sectional online survey</w:t>
            </w:r>
          </w:p>
        </w:tc>
        <w:tc>
          <w:tcPr>
            <w:tcW w:type="dxa" w:w="1152"/>
          </w:tcPr>
          <w:p>
            <w:pPr>
              <w:spacing w:line="240" w:lineRule="auto"/>
            </w:pPr>
            <w:r/>
            <w:r>
              <w:rPr>
                <w:b w:val="0"/>
                <w:i w:val="0"/>
                <w:sz w:val="16"/>
              </w:rPr>
              <w:t>263</w:t>
            </w:r>
          </w:p>
        </w:tc>
        <w:tc>
          <w:tcPr>
            <w:tcW w:type="dxa" w:w="1008"/>
          </w:tcPr>
          <w:p>
            <w:pPr>
              <w:spacing w:line="240" w:lineRule="auto"/>
            </w:pPr>
            <w:r/>
            <w:r>
              <w:rPr>
                <w:b w:val="0"/>
                <w:i w:val="0"/>
                <w:sz w:val="16"/>
              </w:rPr>
              <w:t>Q P C</w:t>
            </w:r>
          </w:p>
        </w:tc>
        <w:tc>
          <w:tcPr>
            <w:tcW w:type="dxa" w:w="2160"/>
          </w:tcPr>
          <w:p>
            <w:pPr>
              <w:spacing w:line="240" w:lineRule="auto"/>
            </w:pPr>
            <w:r/>
            <w:r>
              <w:rPr>
                <w:b w:val="0"/>
                <w:i w:val="0"/>
                <w:sz w:val="16"/>
              </w:rPr>
              <w:t>Peer, family &amp; social support; Identity reconstruction / positive reappraisal</w:t>
            </w:r>
          </w:p>
        </w:tc>
      </w:tr>
      <w:tr>
        <w:tc>
          <w:tcPr>
            <w:tcW w:type="dxa" w:w="1584"/>
          </w:tcPr>
          <w:p>
            <w:pPr>
              <w:spacing w:line="240" w:lineRule="auto"/>
            </w:pPr>
            <w:r/>
            <w:r>
              <w:rPr>
                <w:b w:val="0"/>
                <w:i w:val="0"/>
                <w:sz w:val="16"/>
              </w:rPr>
              <w:t>Chen 2020</w:t>
            </w:r>
            <w:r>
              <w:rPr>
                <w:b w:val="0"/>
                <w:i w:val="0"/>
                <w:sz w:val="16"/>
                <w:vertAlign w:val="superscript"/>
              </w:rPr>
              <w:t>18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Di Mattei 2026</w:t>
            </w:r>
            <w:r>
              <w:rPr>
                <w:b w:val="0"/>
                <w:i w:val="0"/>
                <w:sz w:val="16"/>
                <w:vertAlign w:val="superscript"/>
              </w:rPr>
              <w:t>47</w:t>
            </w:r>
            <w:r>
              <w:rPr>
                <w:b w:val="0"/>
                <w:i w:val="0"/>
                <w:sz w:val="16"/>
              </w:rPr>
              <w:t>†</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Thematic analysis of online forum</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Gilfillan 2024</w:t>
            </w:r>
            <w:r>
              <w:rPr>
                <w:b w:val="0"/>
                <w:i w:val="0"/>
                <w:sz w:val="16"/>
                <w:vertAlign w:val="superscript"/>
              </w:rPr>
              <w:t>31</w:t>
            </w:r>
          </w:p>
        </w:tc>
        <w:tc>
          <w:tcPr>
            <w:tcW w:type="dxa" w:w="1296"/>
          </w:tcPr>
          <w:p>
            <w:pPr>
              <w:spacing w:line="240" w:lineRule="auto"/>
            </w:pPr>
            <w:r/>
            <w:r>
              <w:rPr>
                <w:b w:val="0"/>
                <w:i w:val="0"/>
                <w:sz w:val="16"/>
              </w:rPr>
              <w:t>United Kingdom</w:t>
            </w:r>
          </w:p>
        </w:tc>
        <w:tc>
          <w:tcPr>
            <w:tcW w:type="dxa" w:w="2160"/>
          </w:tcPr>
          <w:p>
            <w:pPr>
              <w:spacing w:line="240" w:lineRule="auto"/>
            </w:pPr>
            <w:r/>
            <w:r>
              <w:rPr>
                <w:b w:val="0"/>
                <w:i w:val="0"/>
                <w:sz w:val="16"/>
              </w:rPr>
              <w:t>Interpretative phenomenological analysis</w:t>
            </w:r>
          </w:p>
        </w:tc>
        <w:tc>
          <w:tcPr>
            <w:tcW w:type="dxa" w:w="1152"/>
          </w:tcPr>
          <w:p>
            <w:pPr>
              <w:spacing w:line="240" w:lineRule="auto"/>
            </w:pPr>
            <w:r/>
            <w:r>
              <w:rPr>
                <w:b w:val="0"/>
                <w:i w:val="0"/>
                <w:sz w:val="16"/>
              </w:rPr>
              <w:t>13</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Acceptance; Avoidance / concealment (maladaptive)</w:t>
            </w:r>
          </w:p>
        </w:tc>
      </w:tr>
      <w:tr>
        <w:tc>
          <w:tcPr>
            <w:tcW w:type="dxa" w:w="1584"/>
          </w:tcPr>
          <w:p>
            <w:pPr>
              <w:spacing w:line="240" w:lineRule="auto"/>
            </w:pPr>
            <w:r/>
            <w:r>
              <w:rPr>
                <w:b w:val="0"/>
                <w:i w:val="0"/>
                <w:sz w:val="16"/>
              </w:rPr>
              <w:t>Güner 2025</w:t>
            </w:r>
            <w:r>
              <w:rPr>
                <w:b w:val="0"/>
                <w:i w:val="0"/>
                <w:sz w:val="16"/>
                <w:vertAlign w:val="superscript"/>
              </w:rPr>
              <w:t>9</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2026</w:t>
            </w:r>
            <w:r>
              <w:rPr>
                <w:b w:val="0"/>
                <w:i w:val="0"/>
                <w:sz w:val="16"/>
                <w:vertAlign w:val="superscript"/>
              </w:rPr>
              <w:t>42</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Descriptive 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 Identity reconstruction / positive reappraisal; Spiritual coping; Peer, family &amp; social support</w:t>
            </w:r>
          </w:p>
        </w:tc>
      </w:tr>
      <w:tr>
        <w:tc>
          <w:tcPr>
            <w:tcW w:type="dxa" w:w="1584"/>
          </w:tcPr>
          <w:p>
            <w:pPr>
              <w:spacing w:line="240" w:lineRule="auto"/>
            </w:pPr>
            <w:r/>
            <w:r>
              <w:rPr>
                <w:b w:val="0"/>
                <w:i w:val="0"/>
                <w:sz w:val="16"/>
              </w:rPr>
              <w:t>Hatim 2021</w:t>
            </w:r>
            <w:r>
              <w:rPr>
                <w:b w:val="0"/>
                <w:i w:val="0"/>
                <w:sz w:val="16"/>
                <w:vertAlign w:val="superscript"/>
              </w:rPr>
              <w:t>43</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Qualitative with quantitative component</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D Q S P C H</w:t>
            </w:r>
          </w:p>
        </w:tc>
        <w:tc>
          <w:tcPr>
            <w:tcW w:type="dxa" w:w="2160"/>
          </w:tcPr>
          <w:p>
            <w:pPr>
              <w:spacing w:line="240" w:lineRule="auto"/>
            </w:pPr>
            <w:r/>
            <w:r>
              <w:rPr>
                <w:b w:val="0"/>
                <w:i w:val="0"/>
                <w:sz w:val="16"/>
              </w:rPr>
              <w:t>Peer, family &amp; social support; Avoidance / concealment (maladaptive)</w:t>
            </w:r>
          </w:p>
        </w:tc>
      </w:tr>
      <w:tr>
        <w:tc>
          <w:tcPr>
            <w:tcW w:type="dxa" w:w="1584"/>
          </w:tcPr>
          <w:p>
            <w:pPr>
              <w:spacing w:line="240" w:lineRule="auto"/>
            </w:pPr>
            <w:r/>
            <w:r>
              <w:rPr>
                <w:b w:val="0"/>
                <w:i w:val="0"/>
                <w:sz w:val="16"/>
              </w:rPr>
              <w:t>Jensen 2024</w:t>
            </w:r>
            <w:r>
              <w:rPr>
                <w:b w:val="0"/>
                <w:i w:val="0"/>
                <w:sz w:val="16"/>
                <w:vertAlign w:val="superscript"/>
              </w:rPr>
              <w:t>32</w:t>
            </w:r>
            <w:r>
              <w:rPr>
                <w:b w:val="0"/>
                <w:i w:val="0"/>
                <w:sz w:val="16"/>
              </w:rPr>
              <w:t>†</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 (life course)</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21</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Jha 2022</w:t>
            </w:r>
            <w:r>
              <w:rPr>
                <w:b w:val="0"/>
                <w:i w:val="0"/>
                <w:sz w:val="16"/>
                <w:vertAlign w:val="superscript"/>
              </w:rPr>
              <w:t>39</w:t>
            </w:r>
            <w:r>
              <w:rPr>
                <w:b w:val="0"/>
                <w:i w:val="0"/>
                <w:sz w:val="16"/>
              </w:rPr>
              <w:t>†</w:t>
            </w:r>
          </w:p>
        </w:tc>
        <w:tc>
          <w:tcPr>
            <w:tcW w:type="dxa" w:w="1296"/>
          </w:tcPr>
          <w:p>
            <w:pPr>
              <w:spacing w:line="240" w:lineRule="auto"/>
            </w:pPr>
            <w:r/>
            <w:r>
              <w:rPr>
                <w:b w:val="0"/>
                <w:i w:val="0"/>
                <w:sz w:val="16"/>
              </w:rPr>
              <w:t>India</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Järvholm 2020</w:t>
            </w:r>
            <w:r>
              <w:rPr>
                <w:b w:val="0"/>
                <w:i w:val="0"/>
                <w:sz w:val="16"/>
                <w:vertAlign w:val="superscript"/>
              </w:rPr>
              <w:t>34</w:t>
            </w:r>
          </w:p>
        </w:tc>
        <w:tc>
          <w:tcPr>
            <w:tcW w:type="dxa" w:w="1296"/>
          </w:tcPr>
          <w:p>
            <w:pPr>
              <w:spacing w:line="240" w:lineRule="auto"/>
            </w:pPr>
            <w:r/>
            <w:r>
              <w:rPr>
                <w:b w:val="0"/>
                <w:i w:val="0"/>
                <w:sz w:val="16"/>
              </w:rPr>
              <w:t>Sweden</w:t>
            </w:r>
          </w:p>
        </w:tc>
        <w:tc>
          <w:tcPr>
            <w:tcW w:type="dxa" w:w="2160"/>
          </w:tcPr>
          <w:p>
            <w:pPr>
              <w:spacing w:line="240" w:lineRule="auto"/>
            </w:pPr>
            <w:r/>
            <w:r>
              <w:rPr>
                <w:b w:val="0"/>
                <w:i w:val="0"/>
                <w:sz w:val="16"/>
              </w:rPr>
              <w:t>Interviews after uterus transplantation</w:t>
            </w:r>
          </w:p>
        </w:tc>
        <w:tc>
          <w:tcPr>
            <w:tcW w:type="dxa" w:w="1152"/>
          </w:tcPr>
          <w:p>
            <w:pPr>
              <w:spacing w:line="240" w:lineRule="auto"/>
            </w:pPr>
            <w:r/>
            <w:r>
              <w:rPr>
                <w:b w:val="0"/>
                <w:i w:val="0"/>
                <w:sz w:val="16"/>
              </w:rPr>
              <w:t>9 (8 MRKH)</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Kang 2020</w:t>
            </w:r>
            <w:r>
              <w:rPr>
                <w:b w:val="0"/>
                <w:i w:val="0"/>
                <w:sz w:val="16"/>
                <w:vertAlign w:val="superscript"/>
              </w:rPr>
              <w:t>28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(dilation vs surgery)</w:t>
            </w:r>
          </w:p>
        </w:tc>
        <w:tc>
          <w:tcPr>
            <w:tcW w:type="dxa" w:w="1152"/>
          </w:tcPr>
          <w:p>
            <w:pPr>
              <w:spacing w:line="240" w:lineRule="auto"/>
            </w:pPr>
            <w:r/>
            <w:r>
              <w:rPr>
                <w:b w:val="0"/>
                <w:i w:val="0"/>
                <w:sz w:val="16"/>
              </w:rPr>
              <w:t>133</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Karpel 2025</w:t>
            </w:r>
            <w:r>
              <w:rPr>
                <w:b w:val="0"/>
                <w:i w:val="0"/>
                <w:sz w:val="16"/>
                <w:vertAlign w:val="superscript"/>
              </w:rPr>
              <w:t>38</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Cross-sectional (uterus transplant candidates)</w:t>
            </w:r>
          </w:p>
        </w:tc>
        <w:tc>
          <w:tcPr>
            <w:tcW w:type="dxa" w:w="1152"/>
          </w:tcPr>
          <w:p>
            <w:pPr>
              <w:spacing w:line="240" w:lineRule="auto"/>
            </w:pPr>
            <w:r/>
            <w:r>
              <w:rPr>
                <w:b w:val="0"/>
                <w:i w:val="0"/>
                <w:sz w:val="16"/>
              </w:rPr>
              <w:t>16 recipients (+16 partners, 16 donors)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Khairudin 2026</w:t>
            </w:r>
            <w:r>
              <w:rPr>
                <w:b w:val="0"/>
                <w:i w:val="0"/>
                <w:sz w:val="16"/>
                <w:vertAlign w:val="superscript"/>
              </w:rPr>
              <w:t>35</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77</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Le 2024</w:t>
            </w:r>
            <w:r>
              <w:rPr>
                <w:b w:val="0"/>
                <w:i w:val="0"/>
                <w:sz w:val="16"/>
                <w:vertAlign w:val="superscript"/>
              </w:rPr>
              <w:t>44</w:t>
            </w:r>
          </w:p>
        </w:tc>
        <w:tc>
          <w:tcPr>
            <w:tcW w:type="dxa" w:w="1296"/>
          </w:tcPr>
          <w:p>
            <w:pPr>
              <w:spacing w:line="240" w:lineRule="auto"/>
            </w:pPr>
            <w:r/>
            <w:r>
              <w:rPr>
                <w:b w:val="0"/>
                <w:i w:val="0"/>
                <w:sz w:val="16"/>
              </w:rPr>
              <w:t>Vietnam</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20</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Lei 2024</w:t>
            </w:r>
            <w:r>
              <w:rPr>
                <w:b w:val="0"/>
                <w:i w:val="0"/>
                <w:sz w:val="16"/>
                <w:vertAlign w:val="superscript"/>
              </w:rPr>
              <w:t>36</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Longitudinal case series (2 survey rounds)</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Lou 2024</w:t>
            </w:r>
            <w:r>
              <w:rPr>
                <w:b w:val="0"/>
                <w:i w:val="0"/>
                <w:sz w:val="16"/>
                <w:vertAlign w:val="superscript"/>
              </w:rPr>
              <w:t>33</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Mao 2024</w:t>
            </w:r>
            <w:r>
              <w:rPr>
                <w:b w:val="0"/>
                <w:i w:val="0"/>
                <w:sz w:val="16"/>
                <w:vertAlign w:val="superscript"/>
              </w:rPr>
              <w:t>30</w:t>
            </w:r>
            <w:r>
              <w:rPr>
                <w:b w:val="0"/>
                <w:i w:val="0"/>
                <w:sz w:val="16"/>
              </w:rPr>
              <w:t>†</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Retrospective (with controls)</w:t>
            </w:r>
          </w:p>
        </w:tc>
        <w:tc>
          <w:tcPr>
            <w:tcW w:type="dxa" w:w="1152"/>
          </w:tcPr>
          <w:p>
            <w:pPr>
              <w:spacing w:line="240" w:lineRule="auto"/>
            </w:pPr>
            <w:r/>
            <w:r>
              <w:rPr>
                <w:b w:val="0"/>
                <w:i w:val="0"/>
                <w:sz w:val="16"/>
              </w:rPr>
              <w:t>42 (+30 controls)</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Marshall 2025</w:t>
            </w:r>
            <w:r>
              <w:rPr>
                <w:b w:val="0"/>
                <w:i w:val="0"/>
                <w:sz w:val="16"/>
                <w:vertAlign w:val="superscript"/>
              </w:rPr>
              <w:t>46</w:t>
            </w:r>
          </w:p>
        </w:tc>
        <w:tc>
          <w:tcPr>
            <w:tcW w:type="dxa" w:w="1296"/>
          </w:tcPr>
          <w:p>
            <w:pPr>
              <w:spacing w:line="240" w:lineRule="auto"/>
            </w:pPr>
            <w:r/>
            <w:r>
              <w:rPr>
                <w:b w:val="0"/>
                <w:i w:val="0"/>
                <w:sz w:val="16"/>
              </w:rPr>
              <w:t>United States/Canada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Self-advocacy</w:t>
            </w:r>
          </w:p>
        </w:tc>
      </w:tr>
      <w:tr>
        <w:tc>
          <w:tcPr>
            <w:tcW w:type="dxa" w:w="1584"/>
          </w:tcPr>
          <w:p>
            <w:pPr>
              <w:spacing w:line="240" w:lineRule="auto"/>
            </w:pPr>
            <w:r/>
            <w:r>
              <w:rPr>
                <w:b w:val="0"/>
                <w:i w:val="0"/>
                <w:sz w:val="16"/>
              </w:rPr>
              <w:t>Ngoumou 2022</w:t>
            </w:r>
            <w:r>
              <w:rPr>
                <w:b w:val="0"/>
                <w:i w:val="0"/>
                <w:sz w:val="16"/>
                <w:vertAlign w:val="superscript"/>
              </w:rPr>
              <w:t>24</w:t>
            </w:r>
          </w:p>
        </w:tc>
        <w:tc>
          <w:tcPr>
            <w:tcW w:type="dxa" w:w="1296"/>
          </w:tcPr>
          <w:p>
            <w:pPr>
              <w:spacing w:line="240" w:lineRule="auto"/>
            </w:pPr>
            <w:r/>
            <w:r>
              <w:rPr>
                <w:b w:val="0"/>
                <w:i w:val="0"/>
                <w:sz w:val="16"/>
              </w:rPr>
              <w:t>Cameroon, Côte d'Ivoire, Senegal</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5</w:t>
            </w:r>
          </w:p>
        </w:tc>
        <w:tc>
          <w:tcPr>
            <w:tcW w:type="dxa" w:w="1008"/>
          </w:tcPr>
          <w:p>
            <w:pPr>
              <w:spacing w:line="240" w:lineRule="auto"/>
            </w:pPr>
            <w:r/>
            <w:r>
              <w:rPr>
                <w:b w:val="0"/>
                <w:i w:val="0"/>
                <w:sz w:val="16"/>
              </w:rPr>
              <w:t>Q S P C H</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Pennesi 2023</w:t>
            </w:r>
            <w:r>
              <w:rPr>
                <w:b w:val="0"/>
                <w:i w:val="0"/>
                <w:sz w:val="16"/>
                <w:vertAlign w:val="superscript"/>
              </w:rPr>
              <w:t>48</w:t>
            </w:r>
          </w:p>
        </w:tc>
        <w:tc>
          <w:tcPr>
            <w:tcW w:type="dxa" w:w="1296"/>
          </w:tcPr>
          <w:p>
            <w:pPr>
              <w:spacing w:line="240" w:lineRule="auto"/>
            </w:pPr>
            <w:r/>
            <w:r>
              <w:rPr>
                <w:b w:val="0"/>
                <w:i w:val="0"/>
                <w:sz w:val="16"/>
              </w:rPr>
              <w:t>Multinational (40 countries)</w:t>
            </w:r>
          </w:p>
        </w:tc>
        <w:tc>
          <w:tcPr>
            <w:tcW w:type="dxa" w:w="2160"/>
          </w:tcPr>
          <w:p>
            <w:pPr>
              <w:spacing w:line="240" w:lineRule="auto"/>
            </w:pPr>
            <w:r/>
            <w:r>
              <w:rPr>
                <w:b w:val="0"/>
                <w:i w:val="0"/>
                <w:sz w:val="16"/>
              </w:rPr>
              <w:t>Cross-sectional mixed-methods survey</w:t>
            </w:r>
          </w:p>
        </w:tc>
        <w:tc>
          <w:tcPr>
            <w:tcW w:type="dxa" w:w="1152"/>
          </w:tcPr>
          <w:p>
            <w:pPr>
              <w:spacing w:line="240" w:lineRule="auto"/>
            </w:pPr>
            <w:r/>
            <w:r>
              <w:rPr>
                <w:b w:val="0"/>
                <w:i w:val="0"/>
                <w:sz w:val="16"/>
              </w:rPr>
              <w:t>616</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Pittman 2025</w:t>
            </w:r>
            <w:r>
              <w:rPr>
                <w:b w:val="0"/>
                <w:i w:val="0"/>
                <w:sz w:val="16"/>
                <w:vertAlign w:val="superscript"/>
              </w:rPr>
              <w:t>41</w:t>
            </w:r>
          </w:p>
        </w:tc>
        <w:tc>
          <w:tcPr>
            <w:tcW w:type="dxa" w:w="1296"/>
          </w:tcPr>
          <w:p>
            <w:pPr>
              <w:spacing w:line="240" w:lineRule="auto"/>
            </w:pPr>
            <w:r/>
            <w:r>
              <w:rPr>
                <w:b w:val="0"/>
                <w:i w:val="0"/>
                <w:sz w:val="16"/>
              </w:rPr>
              <w:t>Australia</w:t>
            </w:r>
          </w:p>
        </w:tc>
        <w:tc>
          <w:tcPr>
            <w:tcW w:type="dxa" w:w="2160"/>
          </w:tcPr>
          <w:p>
            <w:pPr>
              <w:spacing w:line="240" w:lineRule="auto"/>
            </w:pPr>
            <w:r/>
            <w:r>
              <w:rPr>
                <w:b w:val="0"/>
                <w:i w:val="0"/>
                <w:sz w:val="16"/>
              </w:rPr>
              <w:t>Cross-sectional survey (congenital vs acquired uterine factor infertility)</w:t>
            </w:r>
          </w:p>
        </w:tc>
        <w:tc>
          <w:tcPr>
            <w:tcW w:type="dxa" w:w="1152"/>
          </w:tcPr>
          <w:p>
            <w:pPr>
              <w:spacing w:line="240" w:lineRule="auto"/>
            </w:pPr>
            <w:r/>
            <w:r>
              <w:rPr>
                <w:b w:val="0"/>
                <w:i w:val="0"/>
                <w:sz w:val="16"/>
              </w:rPr>
              <w:t>39 (31 MRKH)</w:t>
            </w:r>
          </w:p>
        </w:tc>
        <w:tc>
          <w:tcPr>
            <w:tcW w:type="dxa" w:w="1008"/>
          </w:tcPr>
          <w:p>
            <w:pPr>
              <w:spacing w:line="240" w:lineRule="auto"/>
            </w:pPr>
            <w:r/>
            <w:r>
              <w:rPr>
                <w:b w:val="0"/>
                <w:i w:val="0"/>
                <w:sz w:val="16"/>
              </w:rPr>
              <w:t>D Q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Rajesh 2026</w:t>
            </w:r>
            <w:r>
              <w:rPr>
                <w:b w:val="0"/>
                <w:i w:val="0"/>
                <w:sz w:val="16"/>
                <w:vertAlign w:val="superscript"/>
              </w:rPr>
              <w:t>10</w:t>
            </w:r>
          </w:p>
        </w:tc>
        <w:tc>
          <w:tcPr>
            <w:tcW w:type="dxa" w:w="1296"/>
          </w:tcPr>
          <w:p>
            <w:pPr>
              <w:spacing w:line="240" w:lineRule="auto"/>
            </w:pPr>
            <w:r/>
            <w:r>
              <w:rPr>
                <w:b w:val="0"/>
                <w:i w:val="0"/>
                <w:sz w:val="16"/>
              </w:rPr>
              <w:t>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Identity reconstruction / positive reappraisal</w:t>
            </w:r>
          </w:p>
        </w:tc>
      </w:tr>
      <w:tr>
        <w:tc>
          <w:tcPr>
            <w:tcW w:type="dxa" w:w="1584"/>
          </w:tcPr>
          <w:p>
            <w:pPr>
              <w:spacing w:line="240" w:lineRule="auto"/>
            </w:pPr>
            <w:r/>
            <w:r>
              <w:rPr>
                <w:b w:val="0"/>
                <w:i w:val="0"/>
                <w:sz w:val="16"/>
              </w:rPr>
              <w:t>Rall 2021</w:t>
            </w:r>
            <w:r>
              <w:rPr>
                <w:b w:val="0"/>
                <w:i w:val="0"/>
                <w:sz w:val="16"/>
                <w:vertAlign w:val="superscript"/>
              </w:rPr>
              <w:t>25</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Prospective cohort (pre/post surgery)</w:t>
            </w:r>
          </w:p>
        </w:tc>
        <w:tc>
          <w:tcPr>
            <w:tcW w:type="dxa" w:w="1152"/>
          </w:tcPr>
          <w:p>
            <w:pPr>
              <w:spacing w:line="240" w:lineRule="auto"/>
            </w:pPr>
            <w:r/>
            <w:r>
              <w:rPr>
                <w:b w:val="0"/>
                <w:i w:val="0"/>
                <w:sz w:val="16"/>
              </w:rPr>
              <w:t>82</w:t>
            </w:r>
          </w:p>
        </w:tc>
        <w:tc>
          <w:tcPr>
            <w:tcW w:type="dxa" w:w="1008"/>
          </w:tcPr>
          <w:p>
            <w:pPr>
              <w:spacing w:line="240" w:lineRule="auto"/>
            </w:pPr>
            <w:r/>
            <w:r>
              <w:rPr>
                <w:b w:val="0"/>
                <w:i w:val="0"/>
                <w:sz w:val="16"/>
              </w:rPr>
              <w:t>D Q S P C</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Sabatucci 2019</w:t>
            </w:r>
            <w:r>
              <w:rPr>
                <w:b w:val="0"/>
                <w:i w:val="0"/>
                <w:sz w:val="16"/>
                <w:vertAlign w:val="superscript"/>
              </w:rPr>
              <w:t>29</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Descriptive longitudinal</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Scollo 2020</w:t>
            </w:r>
            <w:r>
              <w:rPr>
                <w:b w:val="0"/>
                <w:i w:val="0"/>
                <w:sz w:val="16"/>
                <w:vertAlign w:val="superscript"/>
              </w:rPr>
              <w:t>40</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Retrospective (MMPI-2; uterus transplant candidates)</w:t>
            </w:r>
          </w:p>
        </w:tc>
        <w:tc>
          <w:tcPr>
            <w:tcW w:type="dxa" w:w="1152"/>
          </w:tcPr>
          <w:p>
            <w:pPr>
              <w:spacing w:line="240" w:lineRule="auto"/>
            </w:pPr>
            <w:r/>
            <w:r>
              <w:rPr>
                <w:b w:val="0"/>
                <w:i w:val="0"/>
                <w:sz w:val="16"/>
              </w:rPr>
              <w:t>19 (18 MRKH)</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Shao 2022</w:t>
            </w:r>
            <w:r>
              <w:rPr>
                <w:b w:val="0"/>
                <w:i w:val="0"/>
                <w:sz w:val="16"/>
                <w:vertAlign w:val="superscript"/>
              </w:rPr>
              <w:t>45</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Prospective pre/post intervention</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D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Song 2020</w:t>
            </w:r>
            <w:r>
              <w:rPr>
                <w:b w:val="0"/>
                <w:i w:val="0"/>
                <w:sz w:val="16"/>
                <w:vertAlign w:val="superscript"/>
              </w:rPr>
              <w:t>17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Sorouri Khorashad 2025</w:t>
            </w:r>
            <w:r>
              <w:rPr>
                <w:b w:val="0"/>
                <w:i w:val="0"/>
                <w:sz w:val="16"/>
                <w:vertAlign w:val="superscript"/>
              </w:rPr>
              <w:t>37</w:t>
            </w:r>
          </w:p>
        </w:tc>
        <w:tc>
          <w:tcPr>
            <w:tcW w:type="dxa" w:w="1296"/>
          </w:tcPr>
          <w:p>
            <w:pPr>
              <w:spacing w:line="240" w:lineRule="auto"/>
            </w:pPr>
            <w:r/>
            <w:r>
              <w:rPr>
                <w:b w:val="0"/>
                <w:i w:val="0"/>
                <w:sz w:val="16"/>
              </w:rPr>
              <w:t>United States</w:t>
            </w:r>
          </w:p>
        </w:tc>
        <w:tc>
          <w:tcPr>
            <w:tcW w:type="dxa" w:w="2160"/>
          </w:tcPr>
          <w:p>
            <w:pPr>
              <w:spacing w:line="240" w:lineRule="auto"/>
            </w:pPr>
            <w:r/>
            <w:r>
              <w:rPr>
                <w:b w:val="0"/>
                <w:i w:val="0"/>
                <w:sz w:val="16"/>
              </w:rPr>
              <w:t>Retrospective cohort (EHR, matched referents)</w:t>
            </w:r>
          </w:p>
        </w:tc>
        <w:tc>
          <w:tcPr>
            <w:tcW w:type="dxa" w:w="1152"/>
          </w:tcPr>
          <w:p>
            <w:pPr>
              <w:spacing w:line="240" w:lineRule="auto"/>
            </w:pPr>
            <w:r/>
            <w:r>
              <w:rPr>
                <w:b w:val="0"/>
                <w:i w:val="0"/>
                <w:sz w:val="16"/>
              </w:rPr>
              <w:t>101 MA (60 uterovaginal agenesis) + 63 CAIS</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Stepanow 2023</w:t>
            </w:r>
            <w:r>
              <w:rPr>
                <w:b w:val="0"/>
                <w:i w:val="0"/>
                <w:sz w:val="16"/>
                <w:vertAlign w:val="superscript"/>
              </w:rPr>
              <w:t>22</w:t>
            </w:r>
          </w:p>
        </w:tc>
        <w:tc>
          <w:tcPr>
            <w:tcW w:type="dxa" w:w="1296"/>
          </w:tcPr>
          <w:p>
            <w:pPr>
              <w:spacing w:line="240" w:lineRule="auto"/>
            </w:pPr>
            <w:r/>
            <w:r>
              <w:rPr>
                <w:b w:val="0"/>
                <w:i w:val="0"/>
                <w:sz w:val="16"/>
              </w:rPr>
              <w:t>Austria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10 (+20 controls)</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Acceptance</w:t>
            </w:r>
          </w:p>
        </w:tc>
      </w:tr>
      <w:tr>
        <w:tc>
          <w:tcPr>
            <w:tcW w:type="dxa" w:w="1584"/>
          </w:tcPr>
          <w:p>
            <w:pPr>
              <w:spacing w:line="240" w:lineRule="auto"/>
            </w:pPr>
            <w:r/>
            <w:r>
              <w:rPr>
                <w:b w:val="0"/>
                <w:i w:val="0"/>
                <w:sz w:val="16"/>
              </w:rPr>
              <w:t>Tsitoura 2021</w:t>
            </w:r>
            <w:r>
              <w:rPr>
                <w:b w:val="0"/>
                <w:i w:val="0"/>
                <w:sz w:val="16"/>
                <w:vertAlign w:val="superscript"/>
              </w:rPr>
              <w:t>23</w:t>
            </w:r>
          </w:p>
        </w:tc>
        <w:tc>
          <w:tcPr>
            <w:tcW w:type="dxa" w:w="1296"/>
          </w:tcPr>
          <w:p>
            <w:pPr>
              <w:spacing w:line="240" w:lineRule="auto"/>
            </w:pPr>
            <w:r/>
            <w:r>
              <w:rPr>
                <w:b w:val="0"/>
                <w:i w:val="0"/>
                <w:sz w:val="16"/>
              </w:rPr>
              <w:t>Greece</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7</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Avoidance / concealment (maladaptive); Peer, family &amp; social support</w:t>
            </w:r>
          </w:p>
        </w:tc>
      </w:tr>
      <w:tr>
        <w:tc>
          <w:tcPr>
            <w:tcW w:type="dxa" w:w="1584"/>
          </w:tcPr>
          <w:p>
            <w:pPr>
              <w:spacing w:line="240" w:lineRule="auto"/>
            </w:pPr>
            <w:r/>
            <w:r>
              <w:rPr>
                <w:b w:val="0"/>
                <w:i w:val="0"/>
                <w:sz w:val="16"/>
              </w:rPr>
              <w:t>Vosoughi 2022</w:t>
            </w:r>
            <w:r>
              <w:rPr>
                <w:b w:val="0"/>
                <w:i w:val="0"/>
                <w:sz w:val="16"/>
                <w:vertAlign w:val="superscript"/>
              </w:rPr>
              <w:t>16</w:t>
            </w:r>
          </w:p>
        </w:tc>
        <w:tc>
          <w:tcPr>
            <w:tcW w:type="dxa" w:w="1296"/>
          </w:tcPr>
          <w:p>
            <w:pPr>
              <w:spacing w:line="240" w:lineRule="auto"/>
            </w:pPr>
            <w:r/>
            <w:r>
              <w:rPr>
                <w:b w:val="0"/>
                <w:i w:val="0"/>
                <w:sz w:val="16"/>
              </w:rPr>
              <w:t>Iran</w:t>
            </w:r>
          </w:p>
        </w:tc>
        <w:tc>
          <w:tcPr>
            <w:tcW w:type="dxa" w:w="2160"/>
          </w:tcPr>
          <w:p>
            <w:pPr>
              <w:spacing w:line="240" w:lineRule="auto"/>
            </w:pPr>
            <w:r/>
            <w:r>
              <w:rPr>
                <w:b w:val="0"/>
                <w:i w:val="0"/>
                <w:sz w:val="16"/>
              </w:rPr>
              <w:t>Randomized controlled trial</w:t>
            </w:r>
          </w:p>
        </w:tc>
        <w:tc>
          <w:tcPr>
            <w:tcW w:type="dxa" w:w="1152"/>
          </w:tcPr>
          <w:p>
            <w:pPr>
              <w:spacing w:line="240" w:lineRule="auto"/>
            </w:pPr>
            <w:r/>
            <w:r>
              <w:rPr>
                <w:b w:val="0"/>
                <w:i w:val="0"/>
                <w:sz w:val="16"/>
              </w:rPr>
              <w:t>38</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Weijenborg 2019</w:t>
            </w:r>
            <w:r>
              <w:rPr>
                <w:b w:val="0"/>
                <w:i w:val="0"/>
                <w:sz w:val="16"/>
                <w:vertAlign w:val="superscript"/>
              </w:rPr>
              <w:t>19</w:t>
            </w:r>
          </w:p>
        </w:tc>
        <w:tc>
          <w:tcPr>
            <w:tcW w:type="dxa" w:w="1296"/>
          </w:tcPr>
          <w:p>
            <w:pPr>
              <w:spacing w:line="240" w:lineRule="auto"/>
            </w:pPr>
            <w:r/>
            <w:r>
              <w:rPr>
                <w:b w:val="0"/>
                <w:i w:val="0"/>
                <w:sz w:val="16"/>
              </w:rPr>
              <w:t>Netherlands</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54 (+79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Results; Figure 1</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