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“I felt like a woman”: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 xml:space="preserve">. Published online 2025. doi:10.1177/13591053241305941 </w:t>
      </w:r>
      <w:r>
        <w:rPr>
          <w:b w:val="0"/>
          <w:i w:val="0"/>
          <w:highlight w:val="yellow"/>
        </w:rPr>
        <w:t>[add volume/issue/pages from the journal page]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wellbeing—a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Mak S, Thomas A. Steps for conducting a scoping review. </w:t>
      </w:r>
      <w:r>
        <w:rPr>
          <w:b w:val="0"/>
          <w:i/>
        </w:rPr>
        <w:t>J Grad Med Educ</w:t>
      </w:r>
      <w:r>
        <w:rPr>
          <w:b w:val="0"/>
          <w:i w:val="0"/>
        </w:rPr>
        <w:t>. 2022;14(5):565-567. doi:10.4300/JGME-D-22-00621.1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17.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 xml:space="preserve">. 2026;52(5). doi:10.1111/jog.70291 </w:t>
      </w:r>
      <w:r>
        <w:rPr>
          <w:b w:val="0"/>
          <w:i w:val="0"/>
          <w:highlight w:val="yellow"/>
        </w:rPr>
        <w:t>[add article number/pages]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