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2,566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35 studies were included. Psychosexual and relational challenges were the most frequently reported outcomes (n = 24; 69%), followed by reduced quality of life, body image, and self-esteem (n = 19; 54%), broader psychological distress (n = 20; 57%), and depression and anxiety (n = 14; 40%). Coping mechanisms were documented in 15 studies, mostly peer support and self-management, and healthcare system gaps in 10. Studies came mainly from Europe (n = 14) and Asia (n = 14).</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and records not published in English (the English-only criterion recorded in the review's March 2026 screening tracker). Reviews, commentaries, editorials, and case reports were excluded as not primary research.</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xml:space="preserve">. Records that could not be classified from the exported title and abstract were assessed for eligibility using the published abstract; studies with mixed samples were included only if results were reported separately for participants with MRKH or at least 80% of participants had MRKH. Full texts were then obtained for 30 of the 35 included studies and checked against the same criteria; at this stage one study of adults with differences of sex development was excluded because only 2 of its 15 participants had MRKH and their findings were not analyzed separately. </w:t>
      </w:r>
      <w:r>
        <w:rPr>
          <w:b w:val="0"/>
          <w:i w:val="0"/>
          <w:highlight w:val="yellow"/>
        </w:rPr>
        <w:t>[The full texts of the remaining 5 studies could not be obtained; their inclusion rests on the published abstract or title.]</w:t>
      </w:r>
      <w:r>
        <w:rPr>
          <w:b w:val="0"/>
          <w:i w:val="0"/>
        </w:rPr>
        <w:t xml:space="preserve"> The screening workbook, with a decision and reason for every record, is available as supplementary material.</w:t>
      </w:r>
    </w:p>
    <w:p>
      <w:pPr>
        <w:pStyle w:val="Heading2"/>
      </w:pPr>
      <w:r>
        <w:rPr>
          <w:b w:val="0"/>
          <w:i w:val="0"/>
        </w:rPr>
        <w:t>Data Charting</w:t>
      </w:r>
    </w:p>
    <w:p>
      <w:pPr>
        <w:ind w:firstLine="720"/>
      </w:pPr>
      <w:r>
        <w:rPr>
          <w:b w:val="0"/>
          <w:i w:val="0"/>
        </w:rPr>
        <w:t xml:space="preserve">For each included study, data were charted on author, year, country, study design, sample size, reported mental health and psychosocial outcomes, coping mechanisms, and healthcare system gaps. Charted items were checked against the full text for 30 of 35 studies; the remaining 5 were charted from the title and abstract </w:t>
      </w:r>
      <w:r>
        <w:rPr>
          <w:b w:val="0"/>
          <w:i w:val="0"/>
          <w:highlight w:val="yellow"/>
        </w:rPr>
        <w:t>[and should be checked when their full texts are obtained]</w:t>
      </w:r>
      <w:r>
        <w:rPr>
          <w:b w:val="0"/>
          <w:i w:val="0"/>
        </w:rPr>
        <w: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282 were excluded: published before 2019 (n = 89); case report / surgical case series (n = 75); not primary research (n = 48); surgical/functional outcomes only (n = 38); wrong population / topic (n = 28); not in english (n = 4). Of the 42 records assessed for eligibility, 7 were excluded (mixed sample, mrkh not separate, n = 5; no psychological outcome, n = 2), and 35 studies were included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pending confirmation by the review team.</w:t>
      </w:r>
    </w:p>
    <w:p>
      <w:pPr>
        <w:pStyle w:val="Heading2"/>
      </w:pPr>
      <w:r>
        <w:rPr>
          <w:b w:val="0"/>
          <w:i w:val="0"/>
        </w:rPr>
        <w:t>Characteristics of Included Studies</w:t>
      </w:r>
    </w:p>
    <w:p>
      <w:pPr>
        <w:ind w:firstLine="720"/>
      </w:pPr>
      <w:r>
        <w:rPr>
          <w:b w:val="0"/>
          <w:i w:val="0"/>
        </w:rPr>
        <w:t>The 35 included studies were published between 2019 and 2026 and comprised 18 quantitative studies (51.4%), 14 qualitative studies (40.0%), and 2 mixed-methods studies (5.7%); the design of 1 study could not be determined because only its title was available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Most studies came from Europe (n = 14) and Asia (n = 14), followed by North America (n = 3), Africa (n = 1), and Oceania (n = 1); 2 studies recruited internationally, and none came from South America (Figure 3). China contributed the most studies (n = 6). Sample sizes, where reported, ranged from 5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35)</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51.4%</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8.6%</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Oceania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35) and may not total 100% because of rounding. Five studies were charted from the abstract or title only.</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35).</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35).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(24 of 35 studies; 68.6%), followed by quality of life, body image, and self-esteem (19; 54.3%), broader psychological distress (20; 57.1%), and depression and anxiety (14; 40.0%)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In an African qualitative study, cultural and religious expectations about virginity discouraged vaginal dilation.</w:t>
      </w:r>
      <w:r>
        <w:rPr>
          <w:b w:val="0"/>
          <w:i w:val="0"/>
          <w:vertAlign w:val="superscript"/>
        </w:rPr>
        <w:t>24</w:t>
      </w:r>
    </w:p>
    <w:p>
      <w:pPr>
        <w:ind w:firstLine="720"/>
      </w:pPr>
      <w:r>
        <w:rPr>
          <w:b w:val="0"/>
          <w:i/>
        </w:rPr>
        <w:t>Quality of life, body image, and self-esteem.</w:t>
      </w:r>
      <w:r>
        <w:rPr>
          <w:b w:val="0"/>
          <w:i w:val="0"/>
        </w:rPr>
        <w:t xml:space="preserve"> A prospective study found impaired mental health–related quality of life despite normal body image,</w:t>
      </w:r>
      <w:r>
        <w:rPr>
          <w:b w:val="0"/>
          <w:i w:val="0"/>
          <w:vertAlign w:val="superscript"/>
        </w:rPr>
        <w:t>25</w:t>
      </w:r>
      <w:r>
        <w:rPr>
          <w:b w:val="0"/>
          <w:i w:val="0"/>
        </w:rPr>
        <w:t xml:space="preserve"> and an international survey of 263 patients reported higher distress and lower self-esteem than the general population.</w:t>
      </w:r>
      <w:r>
        <w:rPr>
          <w:b w:val="0"/>
          <w:i w:val="0"/>
          <w:vertAlign w:val="superscript"/>
        </w:rPr>
        <w:t>26</w:t>
      </w:r>
      <w:r>
        <w:rPr>
          <w:b w:val="0"/>
          <w:i w:val="0"/>
        </w:rPr>
        <w:t xml:space="preserve"> Low self-esteem was also reported in a further study.</w:t>
      </w:r>
      <w:r>
        <w:rPr>
          <w:b w:val="0"/>
          <w:i w:val="0"/>
          <w:vertAlign w:val="superscript"/>
        </w:rPr>
        <w:t>27</w:t>
      </w:r>
      <w:r>
        <w:rPr>
          <w:b w:val="0"/>
          <w:i w:val="0"/>
        </w:rPr>
        <w:t xml:space="preserve"> Others found similar quality of life across treatment approaches</w:t>
      </w:r>
      <w:r>
        <w:rPr>
          <w:b w:val="0"/>
          <w:i w:val="0"/>
          <w:vertAlign w:val="superscript"/>
        </w:rPr>
        <w:t>28</w:t>
      </w:r>
      <w:r>
        <w:rPr>
          <w:b w:val="0"/>
          <w:i w:val="0"/>
        </w:rPr>
        <w:t xml:space="preserve"> or improvements in well-being and body image after treatment.</w:t>
      </w:r>
      <w:r>
        <w:rPr>
          <w:b w:val="0"/>
          <w:i w:val="0"/>
          <w:vertAlign w:val="superscript"/>
        </w:rPr>
        <w:t>29,30</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9,31,32</w:t>
      </w:r>
      <w:r>
        <w:rPr>
          <w:b w:val="0"/>
          <w:i w:val="0"/>
        </w:rPr>
        <w:t xml:space="preserve"> The diagnostic process itself was experienced as upsetting and potentially traumatizing.</w:t>
      </w:r>
      <w:r>
        <w:rPr>
          <w:b w:val="0"/>
          <w:i w:val="0"/>
          <w:vertAlign w:val="superscript"/>
        </w:rPr>
        <w:t>33</w:t>
      </w:r>
      <w:r>
        <w:rPr>
          <w:b w:val="0"/>
          <w:i w:val="0"/>
        </w:rPr>
        <w:t xml:space="preserve"> Uterus transplant recipients described changes in self-perception, body, and sexuality.</w:t>
      </w:r>
      <w:r>
        <w:rPr>
          <w:b w:val="0"/>
          <w:i w:val="0"/>
          <w:vertAlign w:val="superscript"/>
        </w:rPr>
        <w:t>34</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35</w:t>
      </w:r>
      <w:r>
        <w:rPr>
          <w:b w:val="0"/>
          <w:i w:val="0"/>
        </w:rPr>
        <w:t xml:space="preserve"> After vaginoplasty, 45.3% of 53 women reported mild-to-moderate depression and 34.0% mild anxiety.</w:t>
      </w:r>
      <w:r>
        <w:rPr>
          <w:b w:val="0"/>
          <w:i w:val="0"/>
          <w:vertAlign w:val="superscript"/>
        </w:rPr>
        <w:t>36</w:t>
      </w:r>
      <w:r>
        <w:rPr>
          <w:b w:val="0"/>
          <w:i w:val="0"/>
        </w:rPr>
        <w:t xml:space="preserve"> A US cohort found anxiety and depressive disorders about twice as common as in male, but not female, referents.</w:t>
      </w:r>
      <w:r>
        <w:rPr>
          <w:b w:val="0"/>
          <w:i w:val="0"/>
          <w:vertAlign w:val="superscript"/>
        </w:rPr>
        <w:t>37</w:t>
      </w:r>
      <w:r>
        <w:rPr>
          <w:b w:val="0"/>
          <w:i w:val="0"/>
        </w:rPr>
        <w:t xml:space="preserve"> In contrast, some samples after neovagina creation or awaiting uterus transplantation showed few depressive symptoms.</w:t>
      </w:r>
      <w:r>
        <w:rPr>
          <w:b w:val="0"/>
          <w:i w:val="0"/>
          <w:vertAlign w:val="superscript"/>
        </w:rPr>
        <w:t>38,39</w:t>
      </w:r>
      <w:r>
        <w:rPr>
          <w:b w:val="0"/>
          <w:i w:val="0"/>
        </w:rPr>
        <w:t xml:space="preserve"> Among other uterus transplant candidates, however, MMPI-2 profiles showed elevated depression scales,</w:t>
      </w:r>
      <w:r>
        <w:rPr>
          <w:b w:val="0"/>
          <w:i w:val="0"/>
          <w:vertAlign w:val="superscript"/>
        </w:rPr>
        <w:t>40</w:t>
      </w:r>
      <w:r>
        <w:rPr>
          <w:b w:val="0"/>
          <w:i w:val="0"/>
        </w:rPr>
        <w:t xml:space="preserve"> and women with congenital uterine absence more often reported severe depression and anxiety symptoms than women with acquired uterine absence.</w:t>
      </w:r>
      <w:r>
        <w:rPr>
          <w:b w:val="0"/>
          <w:i w:val="0"/>
          <w:vertAlign w:val="superscript"/>
        </w:rPr>
        <w:t>41</w:t>
      </w:r>
    </w:p>
    <w:p>
      <w:pPr>
        <w:keepNext/>
        <w:spacing w:line="240" w:lineRule="auto" w:before="240" w:after="80"/>
      </w:pPr>
      <w:r>
        <w:rPr>
          <w:b/>
          <w:i w:val="0"/>
        </w:rPr>
        <w:t>Table 2.</w:t>
      </w:r>
      <w:r>
        <w:rPr>
          <w:b w:val="0"/>
          <w:i w:val="0"/>
        </w:rPr>
        <w:t xml:space="preserve"> Mental health and psychosocial outcome domains reported in included studies (N = 35)</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24 (68.6%)</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19 (54.3%)</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20 (57.1%)</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14 (40.0%)</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35). Studies could contribute to more than one category.</w:t>
      </w:r>
    </w:p>
    <w:p>
      <w:pPr>
        <w:pStyle w:val="Heading2"/>
      </w:pPr>
      <w:r>
        <w:rPr>
          <w:b w:val="0"/>
          <w:i w:val="0"/>
        </w:rPr>
        <w:t>Coping Mechanisms</w:t>
      </w:r>
    </w:p>
    <w:p>
      <w:pPr>
        <w:ind w:firstLine="720"/>
      </w:pPr>
      <w:r>
        <w:rPr>
          <w:b w:val="0"/>
          <w:i w:val="0"/>
        </w:rPr>
        <w:t>Coping mechanisms were documented in 15 studies (42.9%; Table 3). Peer, family, and social support was most common,</w:t>
      </w:r>
      <w:r>
        <w:rPr>
          <w:b w:val="0"/>
          <w:i w:val="0"/>
          <w:vertAlign w:val="superscript"/>
        </w:rPr>
        <w:t>23,25,26,32,33,42,43</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23,24,31,42–44</w:t>
      </w:r>
      <w:r>
        <w:rPr>
          <w:b w:val="0"/>
          <w:i w:val="0"/>
        </w:rPr>
        <w:t xml:space="preserve"> One qualitative study traced a shift from avoidance to empowerment through positive reappraisal and spiritual coping,</w:t>
      </w:r>
      <w:r>
        <w:rPr>
          <w:b w:val="0"/>
          <w:i w:val="0"/>
          <w:vertAlign w:val="superscript"/>
        </w:rPr>
        <w:t>42</w:t>
      </w:r>
      <w:r>
        <w:rPr>
          <w:b w:val="0"/>
          <w:i w:val="0"/>
        </w:rPr>
        <w:t xml:space="preserve"> and illness coherence and positive affect appeared protective for psychological adjustment.</w:t>
      </w:r>
      <w:r>
        <w:rPr>
          <w:b w:val="0"/>
          <w:i w:val="0"/>
          <w:vertAlign w:val="superscript"/>
        </w:rPr>
        <w:t>26</w:t>
      </w:r>
      <w:r>
        <w:rPr>
          <w:b w:val="0"/>
          <w:i w:val="0"/>
        </w:rPr>
        <w:t xml:space="preserve"> Structured psychological or psychosexual interventions were evaluated in only 2 studies.</w:t>
      </w:r>
      <w:r>
        <w:rPr>
          <w:b w:val="0"/>
          <w:i w:val="0"/>
          <w:vertAlign w:val="superscript"/>
        </w:rPr>
        <w:t>16,45</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7</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10 studies (28.6%; Table 4). Participants described providers with limited knowledge of MRKH and the need to advocate for themselves,</w:t>
      </w:r>
      <w:r>
        <w:rPr>
          <w:b w:val="0"/>
          <w:i w:val="0"/>
          <w:vertAlign w:val="superscript"/>
        </w:rPr>
        <w:t>31,46</w:t>
      </w:r>
      <w:r>
        <w:rPr>
          <w:b w:val="0"/>
          <w:i w:val="0"/>
        </w:rPr>
        <w:t xml:space="preserve"> delayed diagnosis and insensitive communication at diagnosis, including stigmatizing language,</w:t>
      </w:r>
      <w:r>
        <w:rPr>
          <w:b w:val="0"/>
          <w:i w:val="0"/>
          <w:vertAlign w:val="superscript"/>
        </w:rPr>
        <w:t>23,33,43</w:t>
      </w:r>
      <w:r>
        <w:rPr>
          <w:b w:val="0"/>
          <w:i w:val="0"/>
        </w:rPr>
        <w:t xml:space="preserve"> confusion after medical encounters in several African countries,</w:t>
      </w:r>
      <w:r>
        <w:rPr>
          <w:b w:val="0"/>
          <w:i w:val="0"/>
          <w:vertAlign w:val="superscript"/>
        </w:rPr>
        <w:t>24</w:t>
      </w:r>
      <w:r>
        <w:rPr>
          <w:b w:val="0"/>
          <w:i w:val="0"/>
        </w:rPr>
        <w:t xml:space="preserve"> scarce information, psychological support, and fertility counseling,</w:t>
      </w:r>
      <w:r>
        <w:rPr>
          <w:b w:val="0"/>
          <w:i w:val="0"/>
          <w:vertAlign w:val="superscript"/>
        </w:rPr>
        <w:t>43,44,47</w:t>
      </w:r>
      <w:r>
        <w:rPr>
          <w:b w:val="0"/>
          <w:i w:val="0"/>
        </w:rPr>
        <w:t xml:space="preserve"> and variable counseling around vaginal lengthening treatment.</w:t>
      </w:r>
      <w:r>
        <w:rPr>
          <w:b w:val="0"/>
          <w:i w:val="0"/>
          <w:vertAlign w:val="superscript"/>
        </w:rPr>
        <w:t>48</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35 studies published between 2019 and 2026 on the mental health and psychosocial outcomes of individuals with MRKH syndrome. Psychosexual and relational challenges were the most frequently reported outcome, reported in about two of every three studies, while broader psychological distress and quality of life, body image, and self-esteem were each reported in about half. Depression and anxiety were measured less often, and results were mixed. Coping was documented in more than one in three studies and relied largely on peer support and self-management, and more than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49</w:t>
      </w:r>
      <w:r>
        <w:rPr>
          <w:b w:val="0"/>
          <w:i w:val="0"/>
        </w:rPr>
        <w:t xml:space="preserve"> and recent studies of psychological support and psychosexual education reported benefits</w:t>
      </w:r>
      <w:r>
        <w:rPr>
          <w:b w:val="0"/>
          <w:i w:val="0"/>
          <w:vertAlign w:val="superscript"/>
        </w:rPr>
        <w:t>16,45</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nearly as many studies as Europe—yet only 1 study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9,44,50</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 xml:space="preserve">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charting. Charting was checked against the full text for 30 of the 35 included studies, but the remaining 5 rest on abstracts or titles, and </w:t>
      </w:r>
      <w:r>
        <w:rPr>
          <w:b w:val="0"/>
          <w:i w:val="0"/>
          <w:highlight w:val="yellow"/>
        </w:rPr>
        <w:t>[reviewer verification of all decisions is still required]</w:t>
      </w:r>
      <w:r>
        <w:rPr>
          <w:b w:val="0"/>
          <w:i w:val="0"/>
        </w:rPr>
        <w:t xml:space="preserve">. Two Danish reports and two Chinese reports appear to share samples. In addition, the review was limited to 2019–2026, date limits were applied inconsistently across database interfaces and enforced at screening, designs and measures were heterogeneous, and other studies may also share samples. Consistent with scoping methodology, study quality was not appraised, and counts reflect how often outcomes were studied, not their prevalence. </w:t>
      </w:r>
      <w:r>
        <w:rPr>
          <w:b w:val="0"/>
          <w:i w:val="0"/>
          <w:highlight w:val="yellow"/>
        </w:rPr>
        <w:t>[Add, if applicable: grey literature not searched.]</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Ngoumou R.-D.. How does the experience of the medical encounter with Mayer-Rokitansky-Küster-Hauser (MRKH) Syndrome impact women in Africa?. </w:t>
      </w:r>
      <w:r>
        <w:rPr>
          <w:b w:val="0"/>
          <w:i/>
        </w:rPr>
        <w:t>Pan African Medical Journal</w:t>
      </w:r>
      <w:r>
        <w:rPr>
          <w:b w:val="0"/>
          <w:i w:val="0"/>
        </w:rPr>
        <w:t>. 2022;42:314. doi:10.11604/pamj.2022.42.314.32830</w:t>
      </w:r>
    </w:p>
    <w:p>
      <w:pPr>
        <w:ind w:left="504" w:hanging="504"/>
      </w:pPr>
      <w:r>
        <w:rPr>
          <w:b w:val="0"/>
          <w:i w:val="0"/>
        </w:rPr>
        <w:t>25.</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26.</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27.</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28.</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29.</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30.</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31.</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32.</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33.</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34.</w:t>
        <w:tab/>
        <w:t xml:space="preserve">Järvholm S, Enskog A, Hammarling C, Dahm-Kähler P, Brännström M. Uterus transplantation: Joys and frustrations of becoming a 'complete' woman-a qualitative study regarding self-image in the 5-year period after transplantation. </w:t>
      </w:r>
      <w:r>
        <w:rPr>
          <w:b w:val="0"/>
          <w:i/>
        </w:rPr>
        <w:t>Human Reproduction</w:t>
      </w:r>
      <w:r>
        <w:rPr>
          <w:b w:val="0"/>
          <w:i w:val="0"/>
        </w:rPr>
        <w:t>. 2020;35(8):1855-1863. doi:10.1093/humrep/deaa143</w:t>
      </w:r>
    </w:p>
    <w:p>
      <w:pPr>
        <w:ind w:left="504" w:hanging="504"/>
      </w:pPr>
      <w:r>
        <w:rPr>
          <w:b w:val="0"/>
          <w:i w:val="0"/>
        </w:rPr>
        <w:t>35.</w:t>
        <w:tab/>
        <w:t xml:space="preserve">Khairudin KB, Nik Mhd Nor NS, Childs JF, et al. Prevalence of anxiety and depression in women with Mayer-Rokitansky-Kϋster-Hauser (MRKH) syndrome in Malaysia. </w:t>
      </w:r>
      <w:r>
        <w:rPr>
          <w:b w:val="0"/>
          <w:i/>
        </w:rPr>
        <w:t>J Pediatr Adolesc Gynecol</w:t>
      </w:r>
      <w:r>
        <w:rPr>
          <w:b w:val="0"/>
          <w:i w:val="0"/>
        </w:rPr>
        <w:t>. 2026;39(2):215-220. doi:10.1016/j.jpag.2025.11.005</w:t>
      </w:r>
    </w:p>
    <w:p>
      <w:pPr>
        <w:ind w:left="504" w:hanging="504"/>
      </w:pPr>
      <w:r>
        <w:rPr>
          <w:b w:val="0"/>
          <w:i w:val="0"/>
        </w:rPr>
        <w:t>36.</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37.</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38.</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39.</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40.</w:t>
        <w:tab/>
        <w:t xml:space="preserve">Scollo P, Pecorino B, La Spina S, Veroux P, Giaquinta A, Scibilia G. Psychological and personality assessment in patients candidates for Uterus Transplantation from deceased donor: preliminary results. </w:t>
      </w:r>
      <w:r>
        <w:rPr>
          <w:b w:val="0"/>
          <w:i/>
        </w:rPr>
        <w:t>Italian Journal of Gynaecology and Obstetrics</w:t>
      </w:r>
      <w:r>
        <w:rPr>
          <w:b w:val="0"/>
          <w:i w:val="0"/>
        </w:rPr>
        <w:t>. 2020;32(4):287-292. doi:10.36129/jog.32.04.08</w:t>
      </w:r>
    </w:p>
    <w:p>
      <w:pPr>
        <w:ind w:left="504" w:hanging="504"/>
      </w:pPr>
      <w:r>
        <w:rPr>
          <w:b w:val="0"/>
          <w:i w:val="0"/>
        </w:rPr>
        <w:t>41.</w:t>
        <w:tab/>
        <w:t xml:space="preserve">Pittman J, Gerstl B, Walch A, Lotz M, Deans R, Morrison N. Psychological well-being of women with uterine infertility before considering uterus transplantation as a treatment option. </w:t>
      </w:r>
      <w:r>
        <w:rPr>
          <w:b w:val="0"/>
          <w:i/>
        </w:rPr>
        <w:t>Aust N Z J Obstet Gynaecol</w:t>
      </w:r>
      <w:r>
        <w:rPr>
          <w:b w:val="0"/>
          <w:i w:val="0"/>
        </w:rPr>
        <w:t>. 2025;65(2):263-268. doi:10.1111/ajo.13895</w:t>
      </w:r>
    </w:p>
    <w:p>
      <w:pPr>
        <w:ind w:left="504" w:hanging="504"/>
      </w:pPr>
      <w:r>
        <w:rPr>
          <w:b w:val="0"/>
          <w:i w:val="0"/>
        </w:rPr>
        <w:t>42.</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43.</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44.</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45.</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46.</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47.</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48.</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49.</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50.</w:t>
        <w:tab/>
        <w:t xml:space="preserve">Okunomiya A, Tsuyuki K, Ohsuga T, et al. Long-term psychosocial outcomes in Japanese Mayer-Rokitansky-Küster-Hauser syndrome: a single-center study. </w:t>
      </w:r>
      <w:r>
        <w:rPr>
          <w:b w:val="0"/>
          <w:i/>
        </w:rPr>
        <w:t>J Obstet Gynaecol Res</w:t>
      </w:r>
      <w:r>
        <w:rPr>
          <w:b w:val="0"/>
          <w:i w:val="0"/>
        </w:rPr>
        <w:t xml:space="preserve">. 2026;52(5). doi:10.1111/jog.70291 </w:t>
      </w:r>
      <w:r>
        <w:rPr>
          <w:b w:val="0"/>
          <w:i w:val="0"/>
          <w:highlight w:val="yellow"/>
        </w:rPr>
        <w:t>[add article number]</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Data charting was checked against the full text for 30 of 35 studies; entries marked † were charted from the abstract or title only.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35)</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27</w:t>
            </w:r>
            <w:r>
              <w:rPr>
                <w:b w:val="0"/>
                <w:i w:val="0"/>
                <w:sz w:val="16"/>
              </w:rPr>
              <w:t>†</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26</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47</w:t>
            </w:r>
            <w:r>
              <w:rPr>
                <w:b w:val="0"/>
                <w:i w:val="0"/>
                <w:sz w:val="16"/>
              </w:rPr>
              <w:t>†</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31</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42</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43</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D Q S P C H</w:t>
            </w:r>
          </w:p>
        </w:tc>
        <w:tc>
          <w:tcPr>
            <w:tcW w:type="dxa" w:w="2160"/>
          </w:tcPr>
          <w:p>
            <w:pPr>
              <w:spacing w:line="240" w:lineRule="auto"/>
            </w:pPr>
            <w:r/>
            <w:r>
              <w:rPr>
                <w:b w:val="0"/>
                <w:i w:val="0"/>
                <w:sz w:val="16"/>
              </w:rPr>
              <w:t>Peer, family &amp; social support; Avoidance / concealment (maladaptive)</w:t>
            </w:r>
          </w:p>
        </w:tc>
      </w:tr>
      <w:tr>
        <w:tc>
          <w:tcPr>
            <w:tcW w:type="dxa" w:w="1584"/>
          </w:tcPr>
          <w:p>
            <w:pPr>
              <w:spacing w:line="240" w:lineRule="auto"/>
            </w:pPr>
            <w:r/>
            <w:r>
              <w:rPr>
                <w:b w:val="0"/>
                <w:i w:val="0"/>
                <w:sz w:val="16"/>
              </w:rPr>
              <w:t>Jensen 2024</w:t>
            </w:r>
            <w:r>
              <w:rPr>
                <w:b w:val="0"/>
                <w:i w:val="0"/>
                <w:sz w:val="16"/>
                <w:vertAlign w:val="superscript"/>
              </w:rPr>
              <w:t>32</w:t>
            </w:r>
            <w:r>
              <w:rPr>
                <w:b w:val="0"/>
                <w:i w:val="0"/>
                <w:sz w:val="16"/>
              </w:rPr>
              <w:t>†</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39</w:t>
            </w:r>
            <w:r>
              <w:rPr>
                <w:b w:val="0"/>
                <w:i w:val="0"/>
                <w:sz w:val="16"/>
              </w:rPr>
              <w:t>†</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Järvholm 2020</w:t>
            </w:r>
            <w:r>
              <w:rPr>
                <w:b w:val="0"/>
                <w:i w:val="0"/>
                <w:sz w:val="16"/>
                <w:vertAlign w:val="superscript"/>
              </w:rPr>
              <w:t>34</w:t>
            </w:r>
          </w:p>
        </w:tc>
        <w:tc>
          <w:tcPr>
            <w:tcW w:type="dxa" w:w="1296"/>
          </w:tcPr>
          <w:p>
            <w:pPr>
              <w:spacing w:line="240" w:lineRule="auto"/>
            </w:pPr>
            <w:r/>
            <w:r>
              <w:rPr>
                <w:b w:val="0"/>
                <w:i w:val="0"/>
                <w:sz w:val="16"/>
              </w:rPr>
              <w:t>Sweden</w:t>
            </w:r>
          </w:p>
        </w:tc>
        <w:tc>
          <w:tcPr>
            <w:tcW w:type="dxa" w:w="2160"/>
          </w:tcPr>
          <w:p>
            <w:pPr>
              <w:spacing w:line="240" w:lineRule="auto"/>
            </w:pPr>
            <w:r/>
            <w:r>
              <w:rPr>
                <w:b w:val="0"/>
                <w:i w:val="0"/>
                <w:sz w:val="16"/>
              </w:rPr>
              <w:t>Interviews after uterus transplantation</w:t>
            </w:r>
          </w:p>
        </w:tc>
        <w:tc>
          <w:tcPr>
            <w:tcW w:type="dxa" w:w="1152"/>
          </w:tcPr>
          <w:p>
            <w:pPr>
              <w:spacing w:line="240" w:lineRule="auto"/>
            </w:pPr>
            <w:r/>
            <w:r>
              <w:rPr>
                <w:b w:val="0"/>
                <w:i w:val="0"/>
                <w:sz w:val="16"/>
              </w:rPr>
              <w:t>9 (8 MRKH)</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28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(dilation vs surgery)</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38</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recipients (+16 partners, 16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35</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44</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Lei 2024</w:t>
            </w:r>
            <w:r>
              <w:rPr>
                <w:b w:val="0"/>
                <w:i w:val="0"/>
                <w:sz w:val="16"/>
                <w:vertAlign w:val="superscript"/>
              </w:rPr>
              <w:t>36</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33</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Mao 2024</w:t>
            </w:r>
            <w:r>
              <w:rPr>
                <w:b w:val="0"/>
                <w:i w:val="0"/>
                <w:sz w:val="16"/>
                <w:vertAlign w:val="superscript"/>
              </w:rPr>
              <w:t>30</w:t>
            </w:r>
            <w:r>
              <w:rPr>
                <w:b w:val="0"/>
                <w:i w:val="0"/>
                <w:sz w:val="16"/>
              </w:rPr>
              <w:t>†</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46</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Ngoumou 2022</w:t>
            </w:r>
            <w:r>
              <w:rPr>
                <w:b w:val="0"/>
                <w:i w:val="0"/>
                <w:sz w:val="16"/>
                <w:vertAlign w:val="superscript"/>
              </w:rPr>
              <w:t>24</w:t>
            </w:r>
          </w:p>
        </w:tc>
        <w:tc>
          <w:tcPr>
            <w:tcW w:type="dxa" w:w="1296"/>
          </w:tcPr>
          <w:p>
            <w:pPr>
              <w:spacing w:line="240" w:lineRule="auto"/>
            </w:pPr>
            <w:r/>
            <w:r>
              <w:rPr>
                <w:b w:val="0"/>
                <w:i w:val="0"/>
                <w:sz w:val="16"/>
              </w:rPr>
              <w:t>Cameroon, Côte d'Ivoire, Senegal</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5</w:t>
            </w:r>
          </w:p>
        </w:tc>
        <w:tc>
          <w:tcPr>
            <w:tcW w:type="dxa" w:w="1008"/>
          </w:tcPr>
          <w:p>
            <w:pPr>
              <w:spacing w:line="240" w:lineRule="auto"/>
            </w:pPr>
            <w:r/>
            <w:r>
              <w:rPr>
                <w:b w:val="0"/>
                <w:i w:val="0"/>
                <w:sz w:val="16"/>
              </w:rPr>
              <w:t>Q S P 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Pennesi 2023</w:t>
            </w:r>
            <w:r>
              <w:rPr>
                <w:b w:val="0"/>
                <w:i w:val="0"/>
                <w:sz w:val="16"/>
                <w:vertAlign w:val="superscript"/>
              </w:rPr>
              <w:t>48</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Pittman 2025</w:t>
            </w:r>
            <w:r>
              <w:rPr>
                <w:b w:val="0"/>
                <w:i w:val="0"/>
                <w:sz w:val="16"/>
                <w:vertAlign w:val="superscript"/>
              </w:rPr>
              <w:t>41</w:t>
            </w:r>
          </w:p>
        </w:tc>
        <w:tc>
          <w:tcPr>
            <w:tcW w:type="dxa" w:w="1296"/>
          </w:tcPr>
          <w:p>
            <w:pPr>
              <w:spacing w:line="240" w:lineRule="auto"/>
            </w:pPr>
            <w:r/>
            <w:r>
              <w:rPr>
                <w:b w:val="0"/>
                <w:i w:val="0"/>
                <w:sz w:val="16"/>
              </w:rPr>
              <w:t>Australia</w:t>
            </w:r>
          </w:p>
        </w:tc>
        <w:tc>
          <w:tcPr>
            <w:tcW w:type="dxa" w:w="2160"/>
          </w:tcPr>
          <w:p>
            <w:pPr>
              <w:spacing w:line="240" w:lineRule="auto"/>
            </w:pPr>
            <w:r/>
            <w:r>
              <w:rPr>
                <w:b w:val="0"/>
                <w:i w:val="0"/>
                <w:sz w:val="16"/>
              </w:rPr>
              <w:t>Cross-sectional survey (congenital vs acquired uterine factor infertility)</w:t>
            </w:r>
          </w:p>
        </w:tc>
        <w:tc>
          <w:tcPr>
            <w:tcW w:type="dxa" w:w="1152"/>
          </w:tcPr>
          <w:p>
            <w:pPr>
              <w:spacing w:line="240" w:lineRule="auto"/>
            </w:pPr>
            <w:r/>
            <w:r>
              <w:rPr>
                <w:b w:val="0"/>
                <w:i w:val="0"/>
                <w:sz w:val="16"/>
              </w:rPr>
              <w:t>39 (31 MRKH)</w:t>
            </w:r>
          </w:p>
        </w:tc>
        <w:tc>
          <w:tcPr>
            <w:tcW w:type="dxa" w:w="1008"/>
          </w:tcPr>
          <w:p>
            <w:pPr>
              <w:spacing w:line="240" w:lineRule="auto"/>
            </w:pPr>
            <w:r/>
            <w:r>
              <w:rPr>
                <w:b w:val="0"/>
                <w:i w:val="0"/>
                <w:sz w:val="16"/>
              </w:rPr>
              <w:t>D Q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25</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D 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29</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Scollo 2020</w:t>
            </w:r>
            <w:r>
              <w:rPr>
                <w:b w:val="0"/>
                <w:i w:val="0"/>
                <w:sz w:val="16"/>
                <w:vertAlign w:val="superscript"/>
              </w:rPr>
              <w:t>40</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Retrospective (MMPI-2; uterus transplant candidates)</w:t>
            </w:r>
          </w:p>
        </w:tc>
        <w:tc>
          <w:tcPr>
            <w:tcW w:type="dxa" w:w="1152"/>
          </w:tcPr>
          <w:p>
            <w:pPr>
              <w:spacing w:line="240" w:lineRule="auto"/>
            </w:pPr>
            <w:r/>
            <w:r>
              <w:rPr>
                <w:b w:val="0"/>
                <w:i w:val="0"/>
                <w:sz w:val="16"/>
              </w:rPr>
              <w:t>19 (18 MRKH)</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Shao 2022</w:t>
            </w:r>
            <w:r>
              <w:rPr>
                <w:b w:val="0"/>
                <w:i w:val="0"/>
                <w:sz w:val="16"/>
                <w:vertAlign w:val="superscript"/>
              </w:rPr>
              <w:t>45</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37</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 (EHR, matched referents)</w:t>
            </w:r>
          </w:p>
        </w:tc>
        <w:tc>
          <w:tcPr>
            <w:tcW w:type="dxa" w:w="1152"/>
          </w:tcPr>
          <w:p>
            <w:pPr>
              <w:spacing w:line="240" w:lineRule="auto"/>
            </w:pPr>
            <w:r/>
            <w:r>
              <w:rPr>
                <w:b w:val="0"/>
                <w:i w:val="0"/>
                <w:sz w:val="16"/>
              </w:rPr>
              <w:t>101 MA (60 uterovaginal agenesis) + 63 CAIS</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Results; Figure 1</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