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OSF Registration Draft (Retrospective) — Scoping Review</w:t>
      </w:r>
    </w:p>
    <w:p>
      <w:r>
        <w:t>Template: OSF “Generalized Systematic Review Registration.” Paste each answer into the matching field. Highlighted items need the authors' input. This review was completed before registration, so the registration must be labelled retrospective.</w:t>
      </w:r>
    </w:p>
    <w:p>
      <w:pPr>
        <w:pStyle w:val="Heading2"/>
      </w:pPr>
      <w:r>
        <w:t>Title</w:t>
      </w:r>
    </w:p>
    <w:p>
      <w:r>
        <w:t>Mental Health and Psychosocial Outcomes Among Individuals With Mayer-Rokitansky-Küster-Hauser (MRKH) Syndrome: A Scoping Review</w:t>
      </w:r>
    </w:p>
    <w:p>
      <w:pPr>
        <w:pStyle w:val="Heading2"/>
      </w:pPr>
      <w:r>
        <w:t>Description</w:t>
      </w:r>
    </w:p>
    <w:p>
      <w:r>
        <w:t>Retrospective registration of a completed scoping review mapping the mental health and psychosocial outcomes, coping mechanisms, and healthcare system gaps reported in primary studies of individuals with MRKH syndrome published January 2019–March 2026. This registration describes the methods as conducted; it was not written before the review began.</w:t>
      </w:r>
    </w:p>
    <w:p>
      <w:pPr>
        <w:pStyle w:val="Heading2"/>
      </w:pPr>
      <w:r>
        <w:t>Contributors</w:t>
      </w:r>
    </w:p>
    <w:p>
      <w:r>
        <w:t>Ifeoluwanimi P. Shobayo, BSc, MSPHc (Department of Public and Community Health, Liberty University); Paul Okojie, PhD (Liberty University); Robyn Anderson, PhD (Liberty University).</w:t>
      </w:r>
    </w:p>
    <w:p>
      <w:pPr>
        <w:pStyle w:val="Heading2"/>
      </w:pPr>
      <w:r>
        <w:t>Tasks and roles</w:t>
      </w:r>
    </w:p>
    <w:p>
      <w:r/>
      <w:r>
        <w:rPr>
          <w:highlight w:val="yellow"/>
        </w:rPr>
        <w:t>[Confirm: I.P.S.—conceptualization, search, screening, data charting, analysis, writing; P.O. and R.A.—supervision, methodology, review and editing.]</w:t>
      </w:r>
      <w:r/>
    </w:p>
    <w:p>
      <w:pPr>
        <w:pStyle w:val="Heading1"/>
      </w:pPr>
      <w:r>
        <w:t>Type of review and stages</w:t>
      </w:r>
    </w:p>
    <w:p>
      <w:pPr>
        <w:pStyle w:val="Heading2"/>
      </w:pPr>
      <w:r>
        <w:t>Type of review</w:t>
      </w:r>
    </w:p>
    <w:p>
      <w:r>
        <w:t>Scoping review.</w:t>
      </w:r>
    </w:p>
    <w:p>
      <w:pPr>
        <w:pStyle w:val="Heading2"/>
      </w:pPr>
      <w:r>
        <w:t>Review stages</w:t>
      </w:r>
    </w:p>
    <w:p>
      <w:r>
        <w:t>Preparation; search; title/abstract screening; eligibility (full-text) assessment; data charting; synthesis; reporting.</w:t>
      </w:r>
    </w:p>
    <w:p>
      <w:pPr>
        <w:pStyle w:val="Heading2"/>
      </w:pPr>
      <w:r>
        <w:t>Current review stage</w:t>
      </w:r>
    </w:p>
    <w:p>
      <w:r>
        <w:t>Completed. All stages were finished before registration (retrospective registration).</w:t>
      </w:r>
    </w:p>
    <w:p>
      <w:pPr>
        <w:pStyle w:val="Heading2"/>
      </w:pPr>
      <w:r>
        <w:t>Start date</w:t>
      </w:r>
    </w:p>
    <w:p>
      <w:r/>
      <w:r>
        <w:rPr>
          <w:highlight w:val="yellow"/>
        </w:rPr>
        <w:t>[Month year the review was started]</w:t>
      </w:r>
      <w:r/>
    </w:p>
    <w:p>
      <w:pPr>
        <w:pStyle w:val="Heading2"/>
      </w:pPr>
      <w:r>
        <w:t>End date</w:t>
      </w:r>
    </w:p>
    <w:p>
      <w:r>
        <w:t>September 2026 (data charting and synthesis completed).</w:t>
      </w:r>
    </w:p>
    <w:p>
      <w:pPr>
        <w:pStyle w:val="Heading1"/>
      </w:pPr>
      <w:r>
        <w:t>Background and questions</w:t>
      </w:r>
    </w:p>
    <w:p>
      <w:pPr>
        <w:pStyle w:val="Heading2"/>
      </w:pPr>
      <w:r>
        <w:t>Background</w:t>
      </w:r>
    </w:p>
    <w:p>
      <w:r>
        <w:t>MRKH syndrome is the congenital absence of the uterus and upper vagina in individuals with a 46,XX karyotype and functioning ovaries, affecting about 1 in 4,500–5,000 female births. It is usually diagnosed in adolescence and affects fertility, sexuality, and identity. Earlier studies linked MRKH with psychological distress, anxiety, and reduced quality of life, and prior reviews focused on psychological and sexual outcomes. Coping mechanisms and healthcare system gaps have not been mapped across the literature published since 2019.</w:t>
      </w:r>
    </w:p>
    <w:p>
      <w:pPr>
        <w:pStyle w:val="Heading2"/>
      </w:pPr>
      <w:r>
        <w:t>Primary research question</w:t>
      </w:r>
    </w:p>
    <w:p>
      <w:r>
        <w:t>What mental health and psychosocial outcomes and coping mechanisms are reported among individuals with MRKH syndrome, and what healthcare system gaps exist?</w:t>
      </w:r>
    </w:p>
    <w:p>
      <w:pPr>
        <w:pStyle w:val="Heading2"/>
      </w:pPr>
      <w:r>
        <w:t>Secondary research questions</w:t>
      </w:r>
    </w:p>
    <w:p>
      <w:r>
        <w:t>What study designs and geographic regions make up the recent evidence base, and where are the gaps?</w:t>
      </w:r>
    </w:p>
    <w:p>
      <w:pPr>
        <w:pStyle w:val="Heading2"/>
      </w:pPr>
      <w:r>
        <w:t>Expectations / hypotheses</w:t>
      </w:r>
    </w:p>
    <w:p>
      <w:r>
        <w:t>None; scoping reviews map evidence and do not test hypotheses.</w:t>
      </w:r>
    </w:p>
    <w:p>
      <w:pPr>
        <w:pStyle w:val="Heading1"/>
      </w:pPr>
      <w:r>
        <w:t>Framework and eligibility</w:t>
      </w:r>
    </w:p>
    <w:p>
      <w:pPr>
        <w:pStyle w:val="Heading2"/>
      </w:pPr>
      <w:r>
        <w:t>Methodological framework</w:t>
      </w:r>
    </w:p>
    <w:p>
      <w:r>
        <w:t>Arksey and O'Malley's five-stage framework (Int J Soc Res Methodol. 2005;8(1):19-32); reported according to PRISMA-ScR (Ann Intern Med. 2018;169(7):467-473).</w:t>
      </w:r>
    </w:p>
    <w:p>
      <w:pPr>
        <w:pStyle w:val="Heading2"/>
      </w:pPr>
      <w:r>
        <w:t>Population, Concept, Context</w:t>
      </w:r>
    </w:p>
    <w:p>
      <w:r>
        <w:t>Population: individuals with MRKH syndrome (Müllerian agenesis/aplasia). Concept: mental health and psychosocial outcomes, coping mechanisms, and healthcare system gaps. Context: any country or care setting.</w:t>
      </w:r>
    </w:p>
    <w:p>
      <w:pPr>
        <w:pStyle w:val="Heading2"/>
      </w:pPr>
      <w:r>
        <w:t>Inclusion criteria</w:t>
      </w:r>
    </w:p>
    <w:p>
      <w:r>
        <w:t>(1) Primary quantitative, qualitative, or mixed-methods research; (2) published January 2019–March 2026; (3) English language; (4) participants with MRKH; mixed samples only if results were reported separately for participants with MRKH or at least 80% of participants had MRKH; (5) reports at least one psychological, mental health, or psychosocial outcome, or coping.</w:t>
      </w:r>
    </w:p>
    <w:p>
      <w:pPr>
        <w:pStyle w:val="Heading2"/>
      </w:pPr>
      <w:r>
        <w:t>Exclusion criteria (codes used at screening)</w:t>
      </w:r>
    </w:p>
    <w:p>
      <w:r>
        <w:t>E1 published before 2019; E2 not primary research (review, commentary, letter, erratum, chapter); E3 case report, small surgical case series, or surgical video; E4 wrong population or unrelated topic, including mixed samples without separate MRKH results; E5 anatomical, surgical, functional, or fertility outcomes only; E6 not published in English.</w:t>
      </w:r>
    </w:p>
    <w:p>
      <w:pPr>
        <w:pStyle w:val="Heading1"/>
      </w:pPr>
      <w:r>
        <w:t>Search</w:t>
      </w:r>
    </w:p>
    <w:p>
      <w:pPr>
        <w:pStyle w:val="Heading2"/>
      </w:pPr>
      <w:r>
        <w:t>Databases and interfaces</w:t>
      </w:r>
    </w:p>
    <w:p>
      <w:r>
        <w:t>PubMed (MEDLINE); Scopus; EBSCOhost: MEDLINE Ultimate, CINAHL Ultimate, APA PsycInfo, and Women's Studies International.</w:t>
      </w:r>
    </w:p>
    <w:p>
      <w:pPr>
        <w:pStyle w:val="Heading2"/>
      </w:pPr>
      <w:r>
        <w:t>Search dates</w:t>
      </w:r>
    </w:p>
    <w:p>
      <w:r>
        <w:t xml:space="preserve">Records exported March 29, 2026. </w:t>
      </w:r>
      <w:r>
        <w:rPr>
          <w:highlight w:val="yellow"/>
        </w:rPr>
        <w:t>[Confirm the PubMed search was run on the same date.]</w:t>
      </w:r>
      <w:r/>
    </w:p>
    <w:p>
      <w:pPr>
        <w:pStyle w:val="Heading2"/>
      </w:pPr>
      <w:r>
        <w:t>Records retrieved</w:t>
      </w:r>
    </w:p>
    <w:p>
      <w:r>
        <w:t>516 in total: EBSCOhost combined export 207 (MEDLINE 145, CINAHL 39, Women's Studies International 15, APA PsycInfo 8); APA PsycInfo separate export 20; PubMed 146; Scopus 143.</w:t>
      </w:r>
    </w:p>
    <w:p>
      <w:pPr>
        <w:pStyle w:val="Heading2"/>
      </w:pPr>
      <w:r>
        <w:t>Query strings</w:t>
      </w:r>
    </w:p>
    <w:p>
      <w:r>
        <w:t xml:space="preserve">Searches combined terms for MRKH (e.g., Mayer-Rokitansky-Küster-Hauser, MRKH, Müllerian agenesis, vaginal agenesis) with terms for mental health, psychosocial outcomes, and coping (e.g., depression, anxiety, psychological distress, quality of life, body image, coping). </w:t>
      </w:r>
      <w:r>
        <w:rPr>
          <w:highlight w:val="yellow"/>
        </w:rPr>
        <w:t>[Paste the exact search string for each database from your search histories.]</w:t>
      </w:r>
      <w:r/>
    </w:p>
    <w:p>
      <w:pPr>
        <w:pStyle w:val="Heading2"/>
      </w:pPr>
      <w:r>
        <w:t>Date limits</w:t>
      </w:r>
    </w:p>
    <w:p>
      <w:r>
        <w:t>Date limits were not applied identically across interfaces (Scopus 2019–2026; PubMed export 2021–2026, with 2019–2020 MEDLINE records captured through EBSCOhost; EBSCOhost exported without a date limit). Records published before 2019 were removed at title/abstract screening (criterion E1).</w:t>
      </w:r>
    </w:p>
    <w:p>
      <w:pPr>
        <w:pStyle w:val="Heading2"/>
      </w:pPr>
      <w:r>
        <w:t>Grey literature and other sources</w:t>
      </w:r>
    </w:p>
    <w:p>
      <w:r>
        <w:t xml:space="preserve">Grey literature was not searched. </w:t>
      </w:r>
      <w:r>
        <w:rPr>
          <w:highlight w:val="yellow"/>
        </w:rPr>
        <w:t>[State whether reference lists of included studies were hand-searched; if not, write “None.”]</w:t>
      </w:r>
      <w:r/>
    </w:p>
    <w:p>
      <w:pPr>
        <w:pStyle w:val="Heading2"/>
      </w:pPr>
      <w:r>
        <w:t>Contacting authors</w:t>
      </w:r>
    </w:p>
    <w:p>
      <w:r>
        <w:t>Study authors were not contacted.</w:t>
      </w:r>
    </w:p>
    <w:p>
      <w:pPr>
        <w:pStyle w:val="Heading2"/>
      </w:pPr>
      <w:r>
        <w:t>Search repetition</w:t>
      </w:r>
    </w:p>
    <w:p>
      <w:r>
        <w:t>The search was not repeated after March 29, 2026.</w:t>
      </w:r>
    </w:p>
    <w:p>
      <w:pPr>
        <w:pStyle w:val="Heading1"/>
      </w:pPr>
      <w:r>
        <w:t>Screening</w:t>
      </w:r>
    </w:p>
    <w:p>
      <w:pPr>
        <w:pStyle w:val="Heading2"/>
      </w:pPr>
      <w:r>
        <w:t>Deduplication</w:t>
      </w:r>
    </w:p>
    <w:p>
      <w:r>
        <w:t>Records from all exports were merged and duplicates identified by matching DOIs and normalized titles: 192 duplicates removed, leaving 324 unique records.</w:t>
      </w:r>
    </w:p>
    <w:p>
      <w:pPr>
        <w:pStyle w:val="Heading2"/>
      </w:pPr>
      <w:r>
        <w:t>Screening stages</w:t>
      </w:r>
    </w:p>
    <w:p>
      <w:r>
        <w:t>Stage 1: titles and abstracts (324 records; 282 excluded). Stage 2: eligibility assessment of 42 records (7 excluded: mixed sample without separate MRKH results, 5; no psychological outcome, 2), leaving 35 included studies. Full texts were obtained for 30 of the 35 included studies; the remaining 5 were assessed on the published abstract or title.</w:t>
      </w:r>
    </w:p>
    <w:p>
      <w:pPr>
        <w:pStyle w:val="Heading2"/>
      </w:pPr>
      <w:r>
        <w:t>Screening procedure and software</w:t>
      </w:r>
    </w:p>
    <w:p>
      <w:r>
        <w:t xml:space="preserve">Initial screening (March 2026) was conducted in Rayyan with references managed in Zotero. Because the original screening records could not be recovered, screening was repeated in September 2026 from the original export files. In the repeated screening, an AI tool (Claude, Anthropic) proposed a decision and exclusion code for every record, and each decision was recorded in a screening workbook. </w:t>
      </w:r>
      <w:r>
        <w:rPr>
          <w:highlight w:val="yellow"/>
        </w:rPr>
        <w:t>[Describe human verification: e.g., “The first author and a second reviewer independently verified every decision; disagreements were resolved by discussion.” Only state what was actually done.]</w:t>
      </w:r>
      <w:r/>
    </w:p>
    <w:p>
      <w:pPr>
        <w:pStyle w:val="Heading2"/>
      </w:pPr>
      <w:r>
        <w:t>Screening reliability and reconciliation</w:t>
      </w:r>
    </w:p>
    <w:p>
      <w:r/>
      <w:r>
        <w:rPr>
          <w:highlight w:val="yellow"/>
        </w:rPr>
        <w:t>[Describe how agreement between reviewers was checked and how disagreements were resolved, or state that single-reviewer verification was used.]</w:t>
      </w:r>
      <w:r/>
    </w:p>
    <w:p>
      <w:pPr>
        <w:pStyle w:val="Heading1"/>
      </w:pPr>
      <w:r>
        <w:t>Data charting (extraction)</w:t>
      </w:r>
    </w:p>
    <w:p>
      <w:pPr>
        <w:pStyle w:val="Heading2"/>
      </w:pPr>
      <w:r>
        <w:t>Entities extracted</w:t>
      </w:r>
    </w:p>
    <w:p>
      <w:r>
        <w:t>Author; year; country and world region; study design (quantitative, qualitative, mixed methods) and design detail; sample size; outcome domains; coping mechanisms; healthcare system gaps; verification notes.</w:t>
      </w:r>
    </w:p>
    <w:p>
      <w:pPr>
        <w:pStyle w:val="Heading2"/>
      </w:pPr>
      <w:r>
        <w:t>Coding scheme</w:t>
      </w:r>
    </w:p>
    <w:p>
      <w:r>
        <w:t>Outcome domains (a study could have several): depression and anxiety; quality of life, body image, and self-esteem; psychosexual and relational challenges; broader psychological distress; coping mechanisms documented; healthcare system gaps. Coping categories: peer, family, and social support; psychological counseling or intervention; identity reconstruction or positive reappraisal; spiritual coping; acceptance; avoidance or concealment; self-advocacy.</w:t>
      </w:r>
    </w:p>
    <w:p>
      <w:pPr>
        <w:pStyle w:val="Heading2"/>
      </w:pPr>
      <w:r>
        <w:t>Charting procedure</w:t>
      </w:r>
    </w:p>
    <w:p>
      <w:r>
        <w:t xml:space="preserve">Data were charted from the full text for 30 of 35 studies and from the abstract or title for the remaining 5. Charting was AI-assisted (Claude, Anthropic) and checked against each full-text PDF. </w:t>
      </w:r>
      <w:r>
        <w:rPr>
          <w:highlight w:val="yellow"/>
        </w:rPr>
        <w:t>[Describe any second-reviewer check of charted data.]</w:t>
      </w:r>
      <w:r/>
    </w:p>
    <w:p>
      <w:pPr>
        <w:pStyle w:val="Heading1"/>
      </w:pPr>
      <w:r>
        <w:t>Quality assessment and synthesis</w:t>
      </w:r>
    </w:p>
    <w:p>
      <w:pPr>
        <w:pStyle w:val="Heading2"/>
      </w:pPr>
      <w:r>
        <w:t>Critical appraisal</w:t>
      </w:r>
    </w:p>
    <w:p>
      <w:r>
        <w:t>Not performed, consistent with scoping review methodology.</w:t>
      </w:r>
    </w:p>
    <w:p>
      <w:pPr>
        <w:pStyle w:val="Heading2"/>
      </w:pPr>
      <w:r>
        <w:t>Synthesis</w:t>
      </w:r>
    </w:p>
    <w:p>
      <w:r>
        <w:t>Descriptive numerical summary (number and proportion of included studies reporting each outcome domain, coping category, study design, and region) and qualitative content analysis grouping findings into outcome domains, coping mechanisms, and healthcare system gaps. Counts describe how often outcomes were studied, not their prevalence.</w:t>
      </w:r>
    </w:p>
    <w:p>
      <w:pPr>
        <w:pStyle w:val="Heading2"/>
      </w:pPr>
      <w:r>
        <w:t>Handling of overlapping samples</w:t>
      </w:r>
    </w:p>
    <w:p>
      <w:r>
        <w:t>Reports that appeared to share samples (two Chinese reports; two Danish reports) were retained as separate reports and flagged.</w:t>
      </w:r>
    </w:p>
    <w:p>
      <w:pPr>
        <w:pStyle w:val="Heading1"/>
      </w:pPr>
      <w:r>
        <w:t>Other</w:t>
      </w:r>
    </w:p>
    <w:p>
      <w:pPr>
        <w:pStyle w:val="Heading2"/>
      </w:pPr>
      <w:r>
        <w:t>Funding</w:t>
      </w:r>
    </w:p>
    <w:p>
      <w:r>
        <w:t>No external funding.</w:t>
      </w:r>
    </w:p>
    <w:p>
      <w:pPr>
        <w:pStyle w:val="Heading2"/>
      </w:pPr>
      <w:r>
        <w:t>Conflicts of interest</w:t>
      </w:r>
    </w:p>
    <w:p>
      <w:r/>
      <w:r>
        <w:rPr>
          <w:highlight w:val="yellow"/>
        </w:rPr>
        <w:t>[The authors declare no conflicts of interest — confirm with all authors.]</w:t>
      </w:r>
      <w:r/>
    </w:p>
    <w:p>
      <w:pPr>
        <w:pStyle w:val="Heading2"/>
      </w:pPr>
      <w:r>
        <w:t>Data and materials</w:t>
      </w:r>
    </w:p>
    <w:p>
      <w:r>
        <w:t xml:space="preserve">The screening workbook (decision and reason for every record) and the data-charting table will be uploaded to this OSF project. </w:t>
      </w:r>
      <w:r>
        <w:rPr>
          <w:highlight w:val="yellow"/>
        </w:rPr>
        <w:t>[Upload: MRKH_rescreening_workbook.xlsx and extraction_provisional.csv (rename, e.g., “MRKH_data_charting.csv”).]</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