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Psychosocial Outcomes and Coping Mechanisms Among Women with Premenstrual Dysphoric Disorder: A Global Scoping Review</w:t>
      </w:r>
    </w:p>
    <w:p>
      <w:pPr>
        <w:ind w:firstLine="720"/>
      </w:pPr>
    </w:p>
    <w:p>
      <w:pPr>
        <w:jc w:val="center"/>
      </w:pPr>
      <w:r>
        <w:rPr>
          <w:b w:val="0"/>
          <w:i w:val="0"/>
        </w:rPr>
        <w:t>Ifeoluwanimi P. Shobayo, BSc, MSPHc</w:t>
      </w:r>
    </w:p>
    <w:p>
      <w:r>
        <w:rPr>
          <w:b w:val="0"/>
          <w:i w:val="0"/>
          <w:color w:val="B45309"/>
          <w:sz w:val="22"/>
        </w:rPr>
        <w:t>[AUTHOR NOTE – complete before submission: add all co-authors with credentials, affiliations (department, institution, city, country), corresponding-author contact, ORCID iDs, word count, and target-journal formatting.]</w:t>
      </w:r>
    </w:p>
    <w:p>
      <w:pPr>
        <w:ind w:firstLine="720"/>
      </w:pPr>
    </w:p>
    <w:p>
      <w:r>
        <w:rPr>
          <w:b w:val="0"/>
          <w:i w:val="0"/>
        </w:rPr>
        <w:t>Running head: PMDD PSYCHOSOCIAL OUTCOMES: A SCOPING REVIEW</w:t>
      </w:r>
    </w:p>
    <w:p>
      <w:r>
        <w:rPr>
          <w:b w:val="0"/>
          <w:i w:val="0"/>
        </w:rPr>
        <w:t>Keywords: premenstrual dysphoric disorder; psychosocial outcomes; coping; suicidality; quality of life; low- and middle-income countries; sub-Saharan Africa; scoping review</w:t>
      </w:r>
    </w:p>
    <w:p>
      <w:r>
        <w:br w:type="page"/>
      </w:r>
    </w:p>
    <w:p>
      <w:pPr>
        <w:keepNext/>
        <w:jc w:val="center"/>
      </w:pPr>
      <w:r>
        <w:rPr>
          <w:b/>
        </w:rPr>
        <w:t>Abstract</w:t>
      </w:r>
    </w:p>
    <w:p>
      <w:r>
        <w:rPr>
          <w:b/>
        </w:rPr>
        <w:t xml:space="preserve">Background: </w:t>
      </w:r>
      <w:r>
        <w:rPr>
          <w:b w:val="0"/>
          <w:i w:val="0"/>
        </w:rPr>
        <w:t>Premenstrual dysphoric disorder (PMDD) is a DSM-5 depressive disorder with an estimated confirmed community prevalence of 1.6%, equivalent to roughly 31 million women and girls worldwide. PMDD is associated with depression, suicidality and impaired functioning, yet the global distribution of evidence on its psychosocial burden, and on how affected women cope, has not been mapped.</w:t>
      </w:r>
    </w:p>
    <w:p>
      <w:r>
        <w:rPr>
          <w:b/>
        </w:rPr>
        <w:t xml:space="preserve">Methods: </w:t>
      </w:r>
      <w:r>
        <w:rPr>
          <w:b w:val="0"/>
          <w:i w:val="0"/>
        </w:rPr>
        <w:t>Following Arksey and O'Malley's framework and PRISMA-ScR, records exported from CINAHL Ultimate, APA PsycInfo, APA PsycArticles, MEDLINE Ultimate, Women's Studies International, PubMed and the Cochrane Library were screened against pre-specified criteria: peer-reviewed empirical studies (2010–2025, English) with PMDD as a defined population and at least one psychosocial outcome or coping mechanism as a primary aim. Animal, laboratory, intervention, review and instrument-validation studies were excluded. Data were charted for design, setting, World Bank income group, PMDD ascertainment and psychosocial domain.</w:t>
      </w:r>
    </w:p>
    <w:p>
      <w:r>
        <w:rPr>
          <w:b/>
        </w:rPr>
        <w:t xml:space="preserve">Results: </w:t>
      </w:r>
      <w:r>
        <w:rPr>
          <w:b w:val="0"/>
          <w:i w:val="0"/>
        </w:rPr>
        <w:t>Of 1,801 records, 342 were duplicates; 1,459 were screened and 85 studies met inclusion criteria. Depression was the most frequently examined domain (n = 28), followed by mood and emotion regulation (n = 18), psychiatric comorbidity (n = 18), psychological distress (n = 16), suicidality and self-harm (n = 13), academic/occupational functioning (n = 13), interpersonal functioning (n = 12), quality of life (n = 8) and coping or resilience (n = 7). Only 20 studies (23.5%) confirmed PMDD with prospective daily ratings. Two-thirds of studies (57; 67.1%) came from high-income countries; 21 (24.7%) came from low- and middle-income countries (LMICs), but only 5 (5.9%) from low- or lower-middle-income countries and 3 (3.5%) from sub-Saharan Africa (Ethiopia, n = 2; Nigeria, n = 1).</w:t>
      </w:r>
    </w:p>
    <w:p>
      <w:r>
        <w:rPr>
          <w:b/>
        </w:rPr>
        <w:t xml:space="preserve">Conclusions: </w:t>
      </w:r>
      <w:r>
        <w:rPr>
          <w:b w:val="0"/>
          <w:i w:val="0"/>
        </w:rPr>
        <w:t>Evidence on the psychosocial burden of PMDD is growing but remains concentrated in high-income settings, relies heavily on provisional diagnoses, and rarely examines coping or lived experience. Culturally responsive screening, integration of PMDD into sexual, reproductive and mental health services, and Africa-centred research investment are needed.</w:t>
      </w:r>
    </w:p>
    <w:p>
      <w:r>
        <w:rPr>
          <w:b w:val="0"/>
          <w:i w:val="0"/>
          <w:color w:val="B45309"/>
          <w:sz w:val="22"/>
        </w:rPr>
        <w:t>[Word count of abstract ≈ 330 words; trim to the target journal limit. Note that the counts above supersede those in the APHA abstract submitted before full screening—see the cover note.]</w:t>
      </w:r>
    </w:p>
    <w:p>
      <w:r>
        <w:br w:type="page"/>
      </w:r>
    </w:p>
    <w:p>
      <w:pPr>
        <w:keepNext/>
        <w:jc w:val="center"/>
      </w:pPr>
      <w:r>
        <w:rPr>
          <w:b/>
        </w:rPr>
        <w:t>Introduction</w:t>
      </w:r>
    </w:p>
    <w:p>
      <w:pPr>
        <w:ind w:firstLine="720"/>
      </w:pPr>
      <w:r>
        <w:rPr>
          <w:b w:val="0"/>
          <w:i w:val="0"/>
        </w:rPr>
        <w:t xml:space="preserve">Premenstrual dysphoric disorder (PMDD) is a cyclical, hormone-linked mood disorder in which marked affective symptoms—irritability, affective lability, depressed mood and anxiety—together with behavioural and physical symptoms emerge in the late luteal phase of the menstrual cycle and remit shortly after the onset of menses (American Psychiatric Association [APA], 2013). PMDD was placed in the depressive disorders chapter of the </w:t>
      </w:r>
      <w:r>
        <w:rPr>
          <w:b w:val="0"/>
          <w:i/>
        </w:rPr>
        <w:t>Diagnostic and Statistical Manual of Mental Disorders</w:t>
      </w:r>
      <w:r>
        <w:rPr>
          <w:b w:val="0"/>
          <w:i w:val="0"/>
        </w:rPr>
        <w:t xml:space="preserve"> (5th ed.; DSM-5) in 2013 and is also recognised in the </w:t>
      </w:r>
      <w:r>
        <w:rPr>
          <w:b w:val="0"/>
          <w:i/>
        </w:rPr>
        <w:t>International Classification of Diseases, 11th Revision</w:t>
      </w:r>
      <w:r>
        <w:rPr>
          <w:b w:val="0"/>
          <w:i w:val="0"/>
        </w:rPr>
        <w:t xml:space="preserve"> (ICD-11), which came into effect in 2022 (APA, 2013; World Health Organization [WHO], 2022). Its diagnostic validity nevertheless continues to be debated (Naik et al., 2023).</w:t>
      </w:r>
    </w:p>
    <w:p>
      <w:pPr>
        <w:ind w:firstLine="720"/>
      </w:pPr>
      <w:r>
        <w:rPr>
          <w:b w:val="0"/>
          <w:i w:val="0"/>
        </w:rPr>
        <w:t>Estimates of how common PMDD is depend heavily on how it is diagnosed. A meta-analysis of 44 studies (50,659 participants) estimated a pooled point prevalence of 3.2% for confirmed diagnoses—which require prospective daily symptom ratings over at least two cycles—and 7.7% for provisional diagnoses based on retrospective report; restricted to community samples with confirmed diagnosis, prevalence was 1.6% (Reilly et al., 2024), equivalent to roughly 31 million women and girls worldwide (University of Oxford, 2024). Premenstrual symptoms more broadly are highly prevalent in Africa: a meta-analysis of 16 African studies reported a pooled premenstrual syndrome (PMS) prevalence of 47.0% (Andualem et al., 2024).</w:t>
      </w:r>
    </w:p>
    <w:p>
      <w:pPr>
        <w:ind w:firstLine="720"/>
      </w:pPr>
      <w:r>
        <w:rPr>
          <w:b w:val="0"/>
          <w:i w:val="0"/>
        </w:rPr>
        <w:t>Because PMDD recurs every month across the reproductive years, its consequences extend well beyond symptom counts. Studies have linked PMDD with depression, suicidal ideation and behaviour, strained relationships, lost productivity and reduced quality of life, and have begun to examine how affected women cope. However, this evidence is dispersed across psychiatry, gynaecology, nursing and psychology journals, and it is unclear which psychosocial outcomes have been studied, with what methods, and in which parts of the world. This matters for public health: in many low- and middle-income countries (LMICs), and particularly in sub-Saharan Africa, menstrual health remains under-prioritised and mental health services are scarce, so a condition whose burden is undocumented is unlikely to be recognised by health systems [add supporting citation, e.g., WHO Mental Health Atlas].</w:t>
      </w:r>
    </w:p>
    <w:p>
      <w:pPr>
        <w:ind w:firstLine="720"/>
      </w:pPr>
      <w:r>
        <w:rPr>
          <w:b w:val="0"/>
          <w:i w:val="0"/>
        </w:rPr>
        <w:t>We therefore conducted a scoping review to map the global evidence on psychosocial outcomes and coping mechanisms among women with PMDD. The review addressed four questions: (1) Which psychosocial outcomes and coping mechanisms have been examined among women with PMDD? (2) How are these studies distributed across countries, regions and income settings? (3) What study designs and diagnostic approaches characterise this evidence? (4) What gaps exist, particularly for LMICs and sub-Saharan Africa?</w:t>
      </w:r>
    </w:p>
    <w:p>
      <w:pPr>
        <w:keepNext/>
        <w:jc w:val="center"/>
      </w:pPr>
      <w:r>
        <w:rPr>
          <w:b/>
        </w:rPr>
        <w:t>Methods</w:t>
      </w:r>
    </w:p>
    <w:p>
      <w:pPr>
        <w:keepNext/>
      </w:pPr>
      <w:r>
        <w:rPr>
          <w:b/>
        </w:rPr>
        <w:t>Design</w:t>
      </w:r>
    </w:p>
    <w:p>
      <w:pPr>
        <w:ind w:firstLine="720"/>
      </w:pPr>
      <w:r>
        <w:rPr>
          <w:b w:val="0"/>
          <w:i w:val="0"/>
        </w:rPr>
        <w:t>This scoping review followed the five-stage framework of Arksey and O'Malley (2005), with the methodological refinements proposed by Levac et al. (2010), and is reported according to the Preferred Reporting Items for Systematic Reviews and Meta-Analyses extension for Scoping Reviews (PRISMA-ScR; Tricco et al., 2018). Consistent with scoping-review methodology, the aim was to map the extent and nature of the evidence rather than to appraise study quality or pool effect estimates.</w:t>
      </w:r>
    </w:p>
    <w:p>
      <w:r>
        <w:rPr>
          <w:b w:val="0"/>
          <w:i w:val="0"/>
          <w:color w:val="B45309"/>
          <w:sz w:val="22"/>
        </w:rPr>
        <w:t>[State whether a protocol was registered (e.g., Open Science Framework) and give the registration DOI/date, or state that no protocol was registered.]</w:t>
      </w:r>
    </w:p>
    <w:p>
      <w:pPr>
        <w:keepNext/>
      </w:pPr>
      <w:r>
        <w:rPr>
          <w:b/>
        </w:rPr>
        <w:t>Information Sources and Search</w:t>
      </w:r>
    </w:p>
    <w:p>
      <w:pPr>
        <w:ind w:firstLine="720"/>
      </w:pPr>
      <w:r>
        <w:rPr>
          <w:b w:val="0"/>
          <w:i w:val="0"/>
        </w:rPr>
        <w:t>Records were retrieved from CINAHL Ultimate, APA PsycInfo, APA PsycArticles, MEDLINE Ultimate and Women's Studies International (via EBSCOhost), PubMed and the Cochrane Library. Search strategies combined terms for premenstrual dysphoric disorder (e.g., “premenstrual dysphoric disorder”, “PMDD”, “premenstrual disorder*”) with psychosocial and coping concepts. The exported records (1,801 in total) formed the screening set; the publication-date limit (January 2010 to December 2025) was applied at screening because some exports contained records outside this range.</w:t>
      </w:r>
    </w:p>
    <w:p>
      <w:r>
        <w:rPr>
          <w:b w:val="0"/>
          <w:i w:val="0"/>
          <w:color w:val="B45309"/>
          <w:sz w:val="22"/>
        </w:rPr>
        <w:t>[Insert the exact search string, limits and search date for each database in Appendix A. The PubMed export provided contributed 6 records; if the full PubMed search yielded more, add those records and re-run deduplication so that the PRISMA counts match.]</w:t>
      </w:r>
    </w:p>
    <w:p>
      <w:pPr>
        <w:keepNext/>
      </w:pPr>
      <w:r>
        <w:rPr>
          <w:b/>
        </w:rPr>
        <w:t>Eligibility Criteria</w:t>
      </w:r>
    </w:p>
    <w:p>
      <w:pPr>
        <w:ind w:firstLine="720"/>
      </w:pPr>
      <w:r>
        <w:rPr>
          <w:b w:val="0"/>
          <w:i w:val="0"/>
        </w:rPr>
        <w:t xml:space="preserve">Eligibility was defined using the Population–Concept–Context framework. </w:t>
      </w:r>
      <w:r>
        <w:rPr>
          <w:b w:val="0"/>
          <w:i/>
        </w:rPr>
        <w:t>Population:</w:t>
      </w:r>
      <w:r>
        <w:rPr>
          <w:b w:val="0"/>
          <w:i w:val="0"/>
        </w:rPr>
        <w:t xml:space="preserve"> women and people who menstruate with PMDD defined by DSM-IV, DSM-5 or ICD criteria, whether provisional (retrospective screening instruments such as the Premenstrual Symptoms Screening Tool) or confirmed (prospective daily ratings), including studies of premenstrual disorders that reported a distinct PMDD group or diagnosis. </w:t>
      </w:r>
      <w:r>
        <w:rPr>
          <w:b w:val="0"/>
          <w:i/>
        </w:rPr>
        <w:t>Concept:</w:t>
      </w:r>
      <w:r>
        <w:rPr>
          <w:b w:val="0"/>
          <w:i w:val="0"/>
        </w:rPr>
        <w:t xml:space="preserve"> at least one psychosocial outcome or correlate (e.g., depression, anxiety, mood and emotion regulation, psychological distress, interpersonal functioning, suicidality or self-harm, quality of life, academic or occupational functioning) or a coping mechanism as a primary aim. </w:t>
      </w:r>
      <w:r>
        <w:rPr>
          <w:b w:val="0"/>
          <w:i/>
        </w:rPr>
        <w:t>Context:</w:t>
      </w:r>
      <w:r>
        <w:rPr>
          <w:b w:val="0"/>
          <w:i w:val="0"/>
        </w:rPr>
        <w:t xml:space="preserve"> any country or setting. Eligible sources were peer-reviewed primary empirical studies (quantitative, qualitative or mixed methods) published in English between 2010 and 2025. We excluded animal studies; laboratory and biological studies (neuroimaging, hormonal, genetic or physiological aims); intervention and treatment studies; reviews, meta-analyses, guidelines and commentaries; instrument development or validation studies; case reports; books, chapters, dissertations, letters, editorials and conference abstracts; and studies of PMS without a PMDD group.</w:t>
      </w:r>
    </w:p>
    <w:p>
      <w:pPr>
        <w:keepNext/>
      </w:pPr>
      <w:r>
        <w:rPr>
          <w:b/>
        </w:rPr>
        <w:t>Selection of Sources of Evidence</w:t>
      </w:r>
    </w:p>
    <w:p>
      <w:pPr>
        <w:ind w:firstLine="720"/>
      </w:pPr>
      <w:r>
        <w:rPr>
          <w:b w:val="0"/>
          <w:i w:val="0"/>
        </w:rPr>
        <w:t>All exports were merged into a single library. Duplicates were identified by digital object identifier and by normalised title (Unicode-aware, so that non-Latin titles were matched), and near-identical titles were reviewed manually. Records were then screened in two steps: (a) application of the date, language and publication-type criteria using database metadata, and (b) title, abstract and subject-term screening of every remaining record against the population, concept and study-design criteria. Every decision and exclusion reason was recorded in a screening log (Supplementary File).</w:t>
      </w:r>
    </w:p>
    <w:p>
      <w:r>
        <w:rPr>
          <w:b w:val="0"/>
          <w:i w:val="0"/>
          <w:color w:val="B45309"/>
          <w:sz w:val="22"/>
        </w:rPr>
        <w:t>[Describe the reviewers: title/abstract screening and data charting were performed with AI assistance (Claude, Anthropic) and must be verified by two independent human reviewers, with disagreements resolved by discussion or a third reviewer. Full-text retrieval and eligibility confirmation are in progress; update the PRISMA-ScR diagram with full-text counts once complete. Declare AI assistance according to the target journal's policy.]</w:t>
      </w:r>
    </w:p>
    <w:p>
      <w:pPr>
        <w:keepNext/>
      </w:pPr>
      <w:r>
        <w:rPr>
          <w:b/>
        </w:rPr>
        <w:t>Data Charting</w:t>
      </w:r>
    </w:p>
    <w:p>
      <w:pPr>
        <w:ind w:firstLine="720"/>
      </w:pPr>
      <w:r>
        <w:rPr>
          <w:b w:val="0"/>
          <w:i w:val="0"/>
        </w:rPr>
        <w:t>For each included study we charted the author, year, country, study design, sample size, population, method of PMDD ascertainment and the psychosocial domains examined. Country was taken from the abstract or, where not stated, from the study setting described by the authors. Countries were grouped by World Bank region and income group using the fiscal-year 2027 classification (World Bank, 2026); consistent with World Bank usage, LMICs comprise low-, lower-middle- and upper-middle-income economies. Psychosocial outcomes were coded into 13 domains developed iteratively during charting; a study could contribute to more than one domain.</w:t>
      </w:r>
    </w:p>
    <w:p>
      <w:pPr>
        <w:keepNext/>
      </w:pPr>
      <w:r>
        <w:rPr>
          <w:b/>
        </w:rPr>
        <w:t>Synthesis</w:t>
      </w:r>
    </w:p>
    <w:p>
      <w:pPr>
        <w:ind w:firstLine="720"/>
      </w:pPr>
      <w:r>
        <w:rPr>
          <w:b w:val="0"/>
          <w:i w:val="0"/>
        </w:rPr>
        <w:t>Results were summarised numerically (frequencies and percentages) and narratively by psychosocial domain, with particular attention to the geographic distribution of evidence and to LMIC and sub-Saharan African settings.</w:t>
      </w:r>
    </w:p>
    <w:p>
      <w:pPr>
        <w:keepNext/>
        <w:jc w:val="center"/>
      </w:pPr>
      <w:r>
        <w:rPr>
          <w:b/>
        </w:rPr>
        <w:t>Results</w:t>
      </w:r>
    </w:p>
    <w:p>
      <w:pPr>
        <w:keepNext/>
      </w:pPr>
      <w:r>
        <w:rPr>
          <w:b/>
        </w:rPr>
        <w:t>Selection of Sources of Evidence</w:t>
      </w:r>
    </w:p>
    <w:p>
      <w:pPr>
        <w:ind w:firstLine="720"/>
      </w:pPr>
      <w:r>
        <w:rPr>
          <w:b w:val="0"/>
          <w:i w:val="0"/>
        </w:rPr>
        <w:t>The database exports contained 1,801 records. After 342 duplicates were removed, 1,459 records were screened and 1,374 were excluded: PMDD not the primary study population (n = 491); published outside 2010–2025 (n = 457); reviews, meta-analyses, guidelines, commentaries (n = 170); other ineligible publication types (books, chapters, dissertations, letters, editorials, case reports, conference abstracts) (n = 106); non-english full text (n = 65); intervention or treatment study (n = 28); laboratory/biological study (n = 22); no psychosocial outcome or coping mechanism as a primary aim (n = 15); instrument development/validation study (n = 11); animal study (n = 9). In total, 85 studies met the inclusion criteria (Figure 1).</w:t>
      </w:r>
    </w:p>
    <w:p>
      <w:pPr>
        <w:jc w:val="center"/>
      </w:pPr>
      <w:r>
        <w:drawing>
          <wp:inline xmlns:a="http://schemas.openxmlformats.org/drawingml/2006/main" xmlns:pic="http://schemas.openxmlformats.org/drawingml/2006/picture">
            <wp:extent cx="5303520" cy="5368642"/>
            <wp:docPr id="1" name="Picture 1"/>
            <wp:cNvGraphicFramePr>
              <a:graphicFrameLocks noChangeAspect="1"/>
            </wp:cNvGraphicFramePr>
            <a:graphic>
              <a:graphicData uri="http://schemas.openxmlformats.org/drawingml/2006/picture">
                <pic:pic>
                  <pic:nvPicPr>
                    <pic:cNvPr id="0" name="fig1_prisma.png"/>
                    <pic:cNvPicPr/>
                  </pic:nvPicPr>
                  <pic:blipFill>
                    <a:blip r:embed="rId10"/>
                    <a:stretch>
                      <a:fillRect/>
                    </a:stretch>
                  </pic:blipFill>
                  <pic:spPr>
                    <a:xfrm>
                      <a:off x="0" y="0"/>
                      <a:ext cx="5303520" cy="5368642"/>
                    </a:xfrm>
                    <a:prstGeom prst="rect"/>
                  </pic:spPr>
                </pic:pic>
              </a:graphicData>
            </a:graphic>
          </wp:inline>
        </w:drawing>
      </w:r>
    </w:p>
    <w:p>
      <w:pPr>
        <w:keepNext/>
      </w:pPr>
      <w:r>
        <w:rPr>
          <w:b/>
        </w:rPr>
        <w:t>Characteristics of Included Studies</w:t>
      </w:r>
    </w:p>
    <w:p>
      <w:pPr>
        <w:ind w:firstLine="720"/>
      </w:pPr>
      <w:r>
        <w:rPr>
          <w:b w:val="0"/>
          <w:i w:val="0"/>
        </w:rPr>
        <w:t>The 85 included studies were published between 2010 and 2025, with almost half (42; 49.4%) published since 2020 and 15 (17.6%) in 2025 alone (Table 1). Most were cross-sectional (48; 56.5%) or case-control (13; 15.3%) designs; 7 used prospective daily ratings or ecological momentary assessment, 6 were cohort or registry studies, 5 were other prospective observational studies, 3 were retrospective record reviews and only 3 were qualitative. Sample sizes ranged from 10 to 1,472,379 participants (median 266). Samples most often comprised community women (n = 17), university or college students (n = 14) and school-age adolescents (n = 7); others involved population cohorts, psychiatric and gynaecological patients, women with bipolar disorder, attention-deficit/hyperactivity disorder (ADHD) or rheumatoid arthritis, pregnant and perimenopausal women, suicide attempters and online PMDD communities.</w:t>
      </w:r>
    </w:p>
    <w:p>
      <w:pPr>
        <w:ind w:firstLine="720"/>
      </w:pPr>
      <w:r>
        <w:rPr>
          <w:b w:val="0"/>
          <w:i w:val="0"/>
        </w:rPr>
        <w:t>Methods of identifying PMDD varied considerably. The largest group of studies (36; 42.4%) relied on retrospective screening instruments or self-report, yielding provisional diagnoses; 20 (23.5%) confirmed PMDD with prospective daily ratings, 13 used structured or psychiatric interviews, 13 used clinical or DSM-criteria diagnoses and 3 used registry diagnoses.</w:t>
      </w:r>
    </w:p>
    <w:p>
      <w:pPr>
        <w:ind w:firstLine="720"/>
      </w:pPr>
    </w:p>
    <w:p>
      <w:pPr>
        <w:keepNext/>
      </w:pPr>
      <w:r>
        <w:rPr>
          <w:b/>
          <w:i w:val="0"/>
        </w:rPr>
        <w:t>Table 1</w:t>
      </w:r>
      <w:r>
        <w:rPr>
          <w:b w:val="0"/>
          <w:i w:val="0"/>
        </w:rPr>
        <w:t xml:space="preserve"> </w:t>
      </w:r>
      <w:r>
        <w:rPr>
          <w:b w:val="0"/>
          <w:i/>
        </w:rPr>
        <w:t>Characteristics of Included Studies (N = 85)</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6336"/>
            <w:shd w:val="clear" w:fill="D9E2F3"/>
          </w:tcPr>
          <w:p>
            <w:pPr>
              <w:spacing w:line="240" w:lineRule="auto"/>
            </w:pPr>
            <w:r/>
            <w:r>
              <w:rPr>
                <w:b/>
                <w:sz w:val="18"/>
              </w:rPr>
              <w:t>Characteristic</w:t>
            </w:r>
          </w:p>
        </w:tc>
        <w:tc>
          <w:tcPr>
            <w:tcW w:type="dxa" w:w="1008"/>
            <w:shd w:val="clear" w:fill="D9E2F3"/>
          </w:tcPr>
          <w:p>
            <w:pPr>
              <w:spacing w:line="240" w:lineRule="auto"/>
            </w:pPr>
            <w:r/>
            <w:r>
              <w:rPr>
                <w:b/>
                <w:sz w:val="18"/>
              </w:rPr>
              <w:t>n</w:t>
            </w:r>
          </w:p>
        </w:tc>
        <w:tc>
          <w:tcPr>
            <w:tcW w:type="dxa" w:w="1296"/>
            <w:shd w:val="clear" w:fill="D9E2F3"/>
          </w:tcPr>
          <w:p>
            <w:pPr>
              <w:spacing w:line="240" w:lineRule="auto"/>
            </w:pPr>
            <w:r/>
            <w:r>
              <w:rPr>
                <w:b/>
                <w:sz w:val="18"/>
              </w:rPr>
              <w:t>%</w:t>
            </w:r>
          </w:p>
        </w:tc>
      </w:tr>
      <w:tr>
        <w:tc>
          <w:tcPr>
            <w:tcW w:type="dxa" w:w="6336"/>
          </w:tcPr>
          <w:p>
            <w:pPr>
              <w:spacing w:line="240" w:lineRule="auto"/>
            </w:pPr>
            <w:r/>
            <w:r>
              <w:rPr>
                <w:b/>
                <w:i w:val="0"/>
                <w:sz w:val="18"/>
              </w:rPr>
              <w:t>§Publication period</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2010–2014</w:t>
            </w:r>
          </w:p>
        </w:tc>
        <w:tc>
          <w:tcPr>
            <w:tcW w:type="dxa" w:w="1008"/>
          </w:tcPr>
          <w:p>
            <w:pPr>
              <w:spacing w:line="240" w:lineRule="auto"/>
            </w:pPr>
            <w:r/>
            <w:r>
              <w:rPr>
                <w:b w:val="0"/>
                <w:i w:val="0"/>
                <w:sz w:val="18"/>
              </w:rPr>
              <w:t>23</w:t>
            </w:r>
          </w:p>
        </w:tc>
        <w:tc>
          <w:tcPr>
            <w:tcW w:type="dxa" w:w="1296"/>
          </w:tcPr>
          <w:p>
            <w:pPr>
              <w:spacing w:line="240" w:lineRule="auto"/>
            </w:pPr>
            <w:r/>
            <w:r>
              <w:rPr>
                <w:b w:val="0"/>
                <w:i w:val="0"/>
                <w:sz w:val="18"/>
              </w:rPr>
              <w:t>27.1%</w:t>
            </w:r>
          </w:p>
        </w:tc>
      </w:tr>
      <w:tr>
        <w:tc>
          <w:tcPr>
            <w:tcW w:type="dxa" w:w="6336"/>
          </w:tcPr>
          <w:p>
            <w:pPr>
              <w:spacing w:line="240" w:lineRule="auto"/>
            </w:pPr>
            <w:r/>
            <w:r>
              <w:rPr>
                <w:b w:val="0"/>
                <w:i w:val="0"/>
                <w:sz w:val="18"/>
              </w:rPr>
              <w:t xml:space="preserve">    2015–2019</w:t>
            </w:r>
          </w:p>
        </w:tc>
        <w:tc>
          <w:tcPr>
            <w:tcW w:type="dxa" w:w="1008"/>
          </w:tcPr>
          <w:p>
            <w:pPr>
              <w:spacing w:line="240" w:lineRule="auto"/>
            </w:pPr>
            <w:r/>
            <w:r>
              <w:rPr>
                <w:b w:val="0"/>
                <w:i w:val="0"/>
                <w:sz w:val="18"/>
              </w:rPr>
              <w:t>20</w:t>
            </w:r>
          </w:p>
        </w:tc>
        <w:tc>
          <w:tcPr>
            <w:tcW w:type="dxa" w:w="1296"/>
          </w:tcPr>
          <w:p>
            <w:pPr>
              <w:spacing w:line="240" w:lineRule="auto"/>
            </w:pPr>
            <w:r/>
            <w:r>
              <w:rPr>
                <w:b w:val="0"/>
                <w:i w:val="0"/>
                <w:sz w:val="18"/>
              </w:rPr>
              <w:t>23.5%</w:t>
            </w:r>
          </w:p>
        </w:tc>
      </w:tr>
      <w:tr>
        <w:tc>
          <w:tcPr>
            <w:tcW w:type="dxa" w:w="6336"/>
          </w:tcPr>
          <w:p>
            <w:pPr>
              <w:spacing w:line="240" w:lineRule="auto"/>
            </w:pPr>
            <w:r/>
            <w:r>
              <w:rPr>
                <w:b w:val="0"/>
                <w:i w:val="0"/>
                <w:sz w:val="18"/>
              </w:rPr>
              <w:t xml:space="preserve">    2020–2025</w:t>
            </w:r>
          </w:p>
        </w:tc>
        <w:tc>
          <w:tcPr>
            <w:tcW w:type="dxa" w:w="1008"/>
          </w:tcPr>
          <w:p>
            <w:pPr>
              <w:spacing w:line="240" w:lineRule="auto"/>
            </w:pPr>
            <w:r/>
            <w:r>
              <w:rPr>
                <w:b w:val="0"/>
                <w:i w:val="0"/>
                <w:sz w:val="18"/>
              </w:rPr>
              <w:t>42</w:t>
            </w:r>
          </w:p>
        </w:tc>
        <w:tc>
          <w:tcPr>
            <w:tcW w:type="dxa" w:w="1296"/>
          </w:tcPr>
          <w:p>
            <w:pPr>
              <w:spacing w:line="240" w:lineRule="auto"/>
            </w:pPr>
            <w:r/>
            <w:r>
              <w:rPr>
                <w:b w:val="0"/>
                <w:i w:val="0"/>
                <w:sz w:val="18"/>
              </w:rPr>
              <w:t>49.4%</w:t>
            </w:r>
          </w:p>
        </w:tc>
      </w:tr>
      <w:tr>
        <w:tc>
          <w:tcPr>
            <w:tcW w:type="dxa" w:w="6336"/>
          </w:tcPr>
          <w:p>
            <w:pPr>
              <w:spacing w:line="240" w:lineRule="auto"/>
            </w:pPr>
            <w:r/>
            <w:r>
              <w:rPr>
                <w:b/>
                <w:i w:val="0"/>
                <w:sz w:val="18"/>
              </w:rPr>
              <w:t>§Study design</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Cross-sectional</w:t>
            </w:r>
          </w:p>
        </w:tc>
        <w:tc>
          <w:tcPr>
            <w:tcW w:type="dxa" w:w="1008"/>
          </w:tcPr>
          <w:p>
            <w:pPr>
              <w:spacing w:line="240" w:lineRule="auto"/>
            </w:pPr>
            <w:r/>
            <w:r>
              <w:rPr>
                <w:b w:val="0"/>
                <w:i w:val="0"/>
                <w:sz w:val="18"/>
              </w:rPr>
              <w:t>48</w:t>
            </w:r>
          </w:p>
        </w:tc>
        <w:tc>
          <w:tcPr>
            <w:tcW w:type="dxa" w:w="1296"/>
          </w:tcPr>
          <w:p>
            <w:pPr>
              <w:spacing w:line="240" w:lineRule="auto"/>
            </w:pPr>
            <w:r/>
            <w:r>
              <w:rPr>
                <w:b w:val="0"/>
                <w:i w:val="0"/>
                <w:sz w:val="18"/>
              </w:rPr>
              <w:t>56.5%</w:t>
            </w:r>
          </w:p>
        </w:tc>
      </w:tr>
      <w:tr>
        <w:tc>
          <w:tcPr>
            <w:tcW w:type="dxa" w:w="6336"/>
          </w:tcPr>
          <w:p>
            <w:pPr>
              <w:spacing w:line="240" w:lineRule="auto"/>
            </w:pPr>
            <w:r/>
            <w:r>
              <w:rPr>
                <w:b w:val="0"/>
                <w:i w:val="0"/>
                <w:sz w:val="18"/>
              </w:rPr>
              <w:t xml:space="preserve">    Case-control</w:t>
            </w:r>
          </w:p>
        </w:tc>
        <w:tc>
          <w:tcPr>
            <w:tcW w:type="dxa" w:w="1008"/>
          </w:tcPr>
          <w:p>
            <w:pPr>
              <w:spacing w:line="240" w:lineRule="auto"/>
            </w:pPr>
            <w:r/>
            <w:r>
              <w:rPr>
                <w:b w:val="0"/>
                <w:i w:val="0"/>
                <w:sz w:val="18"/>
              </w:rPr>
              <w:t>13</w:t>
            </w:r>
          </w:p>
        </w:tc>
        <w:tc>
          <w:tcPr>
            <w:tcW w:type="dxa" w:w="1296"/>
          </w:tcPr>
          <w:p>
            <w:pPr>
              <w:spacing w:line="240" w:lineRule="auto"/>
            </w:pPr>
            <w:r/>
            <w:r>
              <w:rPr>
                <w:b w:val="0"/>
                <w:i w:val="0"/>
                <w:sz w:val="18"/>
              </w:rPr>
              <w:t>15.3%</w:t>
            </w:r>
          </w:p>
        </w:tc>
      </w:tr>
      <w:tr>
        <w:tc>
          <w:tcPr>
            <w:tcW w:type="dxa" w:w="6336"/>
          </w:tcPr>
          <w:p>
            <w:pPr>
              <w:spacing w:line="240" w:lineRule="auto"/>
            </w:pPr>
            <w:r/>
            <w:r>
              <w:rPr>
                <w:b w:val="0"/>
                <w:i w:val="0"/>
                <w:sz w:val="18"/>
              </w:rPr>
              <w:t xml:space="preserve">    Prospective daily ratings / EMA</w:t>
            </w:r>
          </w:p>
        </w:tc>
        <w:tc>
          <w:tcPr>
            <w:tcW w:type="dxa" w:w="1008"/>
          </w:tcPr>
          <w:p>
            <w:pPr>
              <w:spacing w:line="240" w:lineRule="auto"/>
            </w:pPr>
            <w:r/>
            <w:r>
              <w:rPr>
                <w:b w:val="0"/>
                <w:i w:val="0"/>
                <w:sz w:val="18"/>
              </w:rPr>
              <w:t>7</w:t>
            </w:r>
          </w:p>
        </w:tc>
        <w:tc>
          <w:tcPr>
            <w:tcW w:type="dxa" w:w="1296"/>
          </w:tcPr>
          <w:p>
            <w:pPr>
              <w:spacing w:line="240" w:lineRule="auto"/>
            </w:pPr>
            <w:r/>
            <w:r>
              <w:rPr>
                <w:b w:val="0"/>
                <w:i w:val="0"/>
                <w:sz w:val="18"/>
              </w:rPr>
              <w:t>8.2%</w:t>
            </w:r>
          </w:p>
        </w:tc>
      </w:tr>
      <w:tr>
        <w:tc>
          <w:tcPr>
            <w:tcW w:type="dxa" w:w="6336"/>
          </w:tcPr>
          <w:p>
            <w:pPr>
              <w:spacing w:line="240" w:lineRule="auto"/>
            </w:pPr>
            <w:r/>
            <w:r>
              <w:rPr>
                <w:b w:val="0"/>
                <w:i w:val="0"/>
                <w:sz w:val="18"/>
              </w:rPr>
              <w:t xml:space="preserve">    Cohort / registry</w:t>
            </w:r>
          </w:p>
        </w:tc>
        <w:tc>
          <w:tcPr>
            <w:tcW w:type="dxa" w:w="1008"/>
          </w:tcPr>
          <w:p>
            <w:pPr>
              <w:spacing w:line="240" w:lineRule="auto"/>
            </w:pPr>
            <w:r/>
            <w:r>
              <w:rPr>
                <w:b w:val="0"/>
                <w:i w:val="0"/>
                <w:sz w:val="18"/>
              </w:rPr>
              <w:t>6</w:t>
            </w:r>
          </w:p>
        </w:tc>
        <w:tc>
          <w:tcPr>
            <w:tcW w:type="dxa" w:w="1296"/>
          </w:tcPr>
          <w:p>
            <w:pPr>
              <w:spacing w:line="240" w:lineRule="auto"/>
            </w:pPr>
            <w:r/>
            <w:r>
              <w:rPr>
                <w:b w:val="0"/>
                <w:i w:val="0"/>
                <w:sz w:val="18"/>
              </w:rPr>
              <w:t>7.1%</w:t>
            </w:r>
          </w:p>
        </w:tc>
      </w:tr>
      <w:tr>
        <w:tc>
          <w:tcPr>
            <w:tcW w:type="dxa" w:w="6336"/>
          </w:tcPr>
          <w:p>
            <w:pPr>
              <w:spacing w:line="240" w:lineRule="auto"/>
            </w:pPr>
            <w:r/>
            <w:r>
              <w:rPr>
                <w:b w:val="0"/>
                <w:i w:val="0"/>
                <w:sz w:val="18"/>
              </w:rPr>
              <w:t xml:space="preserve">    Prospective observational</w:t>
            </w:r>
          </w:p>
        </w:tc>
        <w:tc>
          <w:tcPr>
            <w:tcW w:type="dxa" w:w="1008"/>
          </w:tcPr>
          <w:p>
            <w:pPr>
              <w:spacing w:line="240" w:lineRule="auto"/>
            </w:pPr>
            <w:r/>
            <w:r>
              <w:rPr>
                <w:b w:val="0"/>
                <w:i w:val="0"/>
                <w:sz w:val="18"/>
              </w:rPr>
              <w:t>5</w:t>
            </w:r>
          </w:p>
        </w:tc>
        <w:tc>
          <w:tcPr>
            <w:tcW w:type="dxa" w:w="1296"/>
          </w:tcPr>
          <w:p>
            <w:pPr>
              <w:spacing w:line="240" w:lineRule="auto"/>
            </w:pPr>
            <w:r/>
            <w:r>
              <w:rPr>
                <w:b w:val="0"/>
                <w:i w:val="0"/>
                <w:sz w:val="18"/>
              </w:rPr>
              <w:t>5.9%</w:t>
            </w:r>
          </w:p>
        </w:tc>
      </w:tr>
      <w:tr>
        <w:tc>
          <w:tcPr>
            <w:tcW w:type="dxa" w:w="6336"/>
          </w:tcPr>
          <w:p>
            <w:pPr>
              <w:spacing w:line="240" w:lineRule="auto"/>
            </w:pPr>
            <w:r/>
            <w:r>
              <w:rPr>
                <w:b w:val="0"/>
                <w:i w:val="0"/>
                <w:sz w:val="18"/>
              </w:rPr>
              <w:t xml:space="preserve">    Retrospective record review</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val="0"/>
                <w:i w:val="0"/>
                <w:sz w:val="18"/>
              </w:rPr>
              <w:t xml:space="preserve">    Qualitative</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i w:val="0"/>
                <w:sz w:val="18"/>
              </w:rPr>
              <w:t>§PMDD ascertainment</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Retrospective screening / self-report (provisional)</w:t>
            </w:r>
          </w:p>
        </w:tc>
        <w:tc>
          <w:tcPr>
            <w:tcW w:type="dxa" w:w="1008"/>
          </w:tcPr>
          <w:p>
            <w:pPr>
              <w:spacing w:line="240" w:lineRule="auto"/>
            </w:pPr>
            <w:r/>
            <w:r>
              <w:rPr>
                <w:b w:val="0"/>
                <w:i w:val="0"/>
                <w:sz w:val="18"/>
              </w:rPr>
              <w:t>36</w:t>
            </w:r>
          </w:p>
        </w:tc>
        <w:tc>
          <w:tcPr>
            <w:tcW w:type="dxa" w:w="1296"/>
          </w:tcPr>
          <w:p>
            <w:pPr>
              <w:spacing w:line="240" w:lineRule="auto"/>
            </w:pPr>
            <w:r/>
            <w:r>
              <w:rPr>
                <w:b w:val="0"/>
                <w:i w:val="0"/>
                <w:sz w:val="18"/>
              </w:rPr>
              <w:t>42.4%</w:t>
            </w:r>
          </w:p>
        </w:tc>
      </w:tr>
      <w:tr>
        <w:tc>
          <w:tcPr>
            <w:tcW w:type="dxa" w:w="6336"/>
          </w:tcPr>
          <w:p>
            <w:pPr>
              <w:spacing w:line="240" w:lineRule="auto"/>
            </w:pPr>
            <w:r/>
            <w:r>
              <w:rPr>
                <w:b w:val="0"/>
                <w:i w:val="0"/>
                <w:sz w:val="18"/>
              </w:rPr>
              <w:t xml:space="preserve">    Prospective symptom ratings (confirmed)</w:t>
            </w:r>
          </w:p>
        </w:tc>
        <w:tc>
          <w:tcPr>
            <w:tcW w:type="dxa" w:w="1008"/>
          </w:tcPr>
          <w:p>
            <w:pPr>
              <w:spacing w:line="240" w:lineRule="auto"/>
            </w:pPr>
            <w:r/>
            <w:r>
              <w:rPr>
                <w:b w:val="0"/>
                <w:i w:val="0"/>
                <w:sz w:val="18"/>
              </w:rPr>
              <w:t>20</w:t>
            </w:r>
          </w:p>
        </w:tc>
        <w:tc>
          <w:tcPr>
            <w:tcW w:type="dxa" w:w="1296"/>
          </w:tcPr>
          <w:p>
            <w:pPr>
              <w:spacing w:line="240" w:lineRule="auto"/>
            </w:pPr>
            <w:r/>
            <w:r>
              <w:rPr>
                <w:b w:val="0"/>
                <w:i w:val="0"/>
                <w:sz w:val="18"/>
              </w:rPr>
              <w:t>23.5%</w:t>
            </w:r>
          </w:p>
        </w:tc>
      </w:tr>
      <w:tr>
        <w:tc>
          <w:tcPr>
            <w:tcW w:type="dxa" w:w="6336"/>
          </w:tcPr>
          <w:p>
            <w:pPr>
              <w:spacing w:line="240" w:lineRule="auto"/>
            </w:pPr>
            <w:r/>
            <w:r>
              <w:rPr>
                <w:b w:val="0"/>
                <w:i w:val="0"/>
                <w:sz w:val="18"/>
              </w:rPr>
              <w:t xml:space="preserve">    Structured/psychiatric interview</w:t>
            </w:r>
          </w:p>
        </w:tc>
        <w:tc>
          <w:tcPr>
            <w:tcW w:type="dxa" w:w="1008"/>
          </w:tcPr>
          <w:p>
            <w:pPr>
              <w:spacing w:line="240" w:lineRule="auto"/>
            </w:pPr>
            <w:r/>
            <w:r>
              <w:rPr>
                <w:b w:val="0"/>
                <w:i w:val="0"/>
                <w:sz w:val="18"/>
              </w:rPr>
              <w:t>13</w:t>
            </w:r>
          </w:p>
        </w:tc>
        <w:tc>
          <w:tcPr>
            <w:tcW w:type="dxa" w:w="1296"/>
          </w:tcPr>
          <w:p>
            <w:pPr>
              <w:spacing w:line="240" w:lineRule="auto"/>
            </w:pPr>
            <w:r/>
            <w:r>
              <w:rPr>
                <w:b w:val="0"/>
                <w:i w:val="0"/>
                <w:sz w:val="18"/>
              </w:rPr>
              <w:t>15.3%</w:t>
            </w:r>
          </w:p>
        </w:tc>
      </w:tr>
      <w:tr>
        <w:tc>
          <w:tcPr>
            <w:tcW w:type="dxa" w:w="6336"/>
          </w:tcPr>
          <w:p>
            <w:pPr>
              <w:spacing w:line="240" w:lineRule="auto"/>
            </w:pPr>
            <w:r/>
            <w:r>
              <w:rPr>
                <w:b w:val="0"/>
                <w:i w:val="0"/>
                <w:sz w:val="18"/>
              </w:rPr>
              <w:t xml:space="preserve">    Clinical/DSM-criteria diagnosis</w:t>
            </w:r>
          </w:p>
        </w:tc>
        <w:tc>
          <w:tcPr>
            <w:tcW w:type="dxa" w:w="1008"/>
          </w:tcPr>
          <w:p>
            <w:pPr>
              <w:spacing w:line="240" w:lineRule="auto"/>
            </w:pPr>
            <w:r/>
            <w:r>
              <w:rPr>
                <w:b w:val="0"/>
                <w:i w:val="0"/>
                <w:sz w:val="18"/>
              </w:rPr>
              <w:t>13</w:t>
            </w:r>
          </w:p>
        </w:tc>
        <w:tc>
          <w:tcPr>
            <w:tcW w:type="dxa" w:w="1296"/>
          </w:tcPr>
          <w:p>
            <w:pPr>
              <w:spacing w:line="240" w:lineRule="auto"/>
            </w:pPr>
            <w:r/>
            <w:r>
              <w:rPr>
                <w:b w:val="0"/>
                <w:i w:val="0"/>
                <w:sz w:val="18"/>
              </w:rPr>
              <w:t>15.3%</w:t>
            </w:r>
          </w:p>
        </w:tc>
      </w:tr>
      <w:tr>
        <w:tc>
          <w:tcPr>
            <w:tcW w:type="dxa" w:w="6336"/>
          </w:tcPr>
          <w:p>
            <w:pPr>
              <w:spacing w:line="240" w:lineRule="auto"/>
            </w:pPr>
            <w:r/>
            <w:r>
              <w:rPr>
                <w:b w:val="0"/>
                <w:i w:val="0"/>
                <w:sz w:val="18"/>
              </w:rPr>
              <w:t xml:space="preserve">    Clinical/registry diagnosis</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i w:val="0"/>
                <w:sz w:val="18"/>
              </w:rPr>
              <w:t>§World Bank income group (FY2027)</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High income</w:t>
            </w:r>
          </w:p>
        </w:tc>
        <w:tc>
          <w:tcPr>
            <w:tcW w:type="dxa" w:w="1008"/>
          </w:tcPr>
          <w:p>
            <w:pPr>
              <w:spacing w:line="240" w:lineRule="auto"/>
            </w:pPr>
            <w:r/>
            <w:r>
              <w:rPr>
                <w:b w:val="0"/>
                <w:i w:val="0"/>
                <w:sz w:val="18"/>
              </w:rPr>
              <w:t>57</w:t>
            </w:r>
          </w:p>
        </w:tc>
        <w:tc>
          <w:tcPr>
            <w:tcW w:type="dxa" w:w="1296"/>
          </w:tcPr>
          <w:p>
            <w:pPr>
              <w:spacing w:line="240" w:lineRule="auto"/>
            </w:pPr>
            <w:r/>
            <w:r>
              <w:rPr>
                <w:b w:val="0"/>
                <w:i w:val="0"/>
                <w:sz w:val="18"/>
              </w:rPr>
              <w:t>67.1%</w:t>
            </w:r>
          </w:p>
        </w:tc>
      </w:tr>
      <w:tr>
        <w:tc>
          <w:tcPr>
            <w:tcW w:type="dxa" w:w="6336"/>
          </w:tcPr>
          <w:p>
            <w:pPr>
              <w:spacing w:line="240" w:lineRule="auto"/>
            </w:pPr>
            <w:r/>
            <w:r>
              <w:rPr>
                <w:b w:val="0"/>
                <w:i w:val="0"/>
                <w:sz w:val="18"/>
              </w:rPr>
              <w:t xml:space="preserve">    Upper-middle income</w:t>
            </w:r>
          </w:p>
        </w:tc>
        <w:tc>
          <w:tcPr>
            <w:tcW w:type="dxa" w:w="1008"/>
          </w:tcPr>
          <w:p>
            <w:pPr>
              <w:spacing w:line="240" w:lineRule="auto"/>
            </w:pPr>
            <w:r/>
            <w:r>
              <w:rPr>
                <w:b w:val="0"/>
                <w:i w:val="0"/>
                <w:sz w:val="18"/>
              </w:rPr>
              <w:t>16</w:t>
            </w:r>
          </w:p>
        </w:tc>
        <w:tc>
          <w:tcPr>
            <w:tcW w:type="dxa" w:w="1296"/>
          </w:tcPr>
          <w:p>
            <w:pPr>
              <w:spacing w:line="240" w:lineRule="auto"/>
            </w:pPr>
            <w:r/>
            <w:r>
              <w:rPr>
                <w:b w:val="0"/>
                <w:i w:val="0"/>
                <w:sz w:val="18"/>
              </w:rPr>
              <w:t>18.8%</w:t>
            </w:r>
          </w:p>
        </w:tc>
      </w:tr>
      <w:tr>
        <w:tc>
          <w:tcPr>
            <w:tcW w:type="dxa" w:w="6336"/>
          </w:tcPr>
          <w:p>
            <w:pPr>
              <w:spacing w:line="240" w:lineRule="auto"/>
            </w:pPr>
            <w:r/>
            <w:r>
              <w:rPr>
                <w:b w:val="0"/>
                <w:i w:val="0"/>
                <w:sz w:val="18"/>
              </w:rPr>
              <w:t xml:space="preserve">    Lower-middle income</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val="0"/>
                <w:i w:val="0"/>
                <w:sz w:val="18"/>
              </w:rPr>
              <w:t xml:space="preserve">    Low income</w:t>
            </w:r>
          </w:p>
        </w:tc>
        <w:tc>
          <w:tcPr>
            <w:tcW w:type="dxa" w:w="1008"/>
          </w:tcPr>
          <w:p>
            <w:pPr>
              <w:spacing w:line="240" w:lineRule="auto"/>
            </w:pPr>
            <w:r/>
            <w:r>
              <w:rPr>
                <w:b w:val="0"/>
                <w:i w:val="0"/>
                <w:sz w:val="18"/>
              </w:rPr>
              <w:t>2</w:t>
            </w:r>
          </w:p>
        </w:tc>
        <w:tc>
          <w:tcPr>
            <w:tcW w:type="dxa" w:w="1296"/>
          </w:tcPr>
          <w:p>
            <w:pPr>
              <w:spacing w:line="240" w:lineRule="auto"/>
            </w:pPr>
            <w:r/>
            <w:r>
              <w:rPr>
                <w:b w:val="0"/>
                <w:i w:val="0"/>
                <w:sz w:val="18"/>
              </w:rPr>
              <w:t>2.4%</w:t>
            </w:r>
          </w:p>
        </w:tc>
      </w:tr>
      <w:tr>
        <w:tc>
          <w:tcPr>
            <w:tcW w:type="dxa" w:w="6336"/>
          </w:tcPr>
          <w:p>
            <w:pPr>
              <w:spacing w:line="240" w:lineRule="auto"/>
            </w:pPr>
            <w:r/>
            <w:r>
              <w:rPr>
                <w:b w:val="0"/>
                <w:i w:val="0"/>
                <w:sz w:val="18"/>
              </w:rPr>
              <w:t xml:space="preserve">    Not classifiable (online/multinational/not reported)</w:t>
            </w:r>
          </w:p>
        </w:tc>
        <w:tc>
          <w:tcPr>
            <w:tcW w:type="dxa" w:w="1008"/>
          </w:tcPr>
          <w:p>
            <w:pPr>
              <w:spacing w:line="240" w:lineRule="auto"/>
            </w:pPr>
            <w:r/>
            <w:r>
              <w:rPr>
                <w:b w:val="0"/>
                <w:i w:val="0"/>
                <w:sz w:val="18"/>
              </w:rPr>
              <w:t>7</w:t>
            </w:r>
          </w:p>
        </w:tc>
        <w:tc>
          <w:tcPr>
            <w:tcW w:type="dxa" w:w="1296"/>
          </w:tcPr>
          <w:p>
            <w:pPr>
              <w:spacing w:line="240" w:lineRule="auto"/>
            </w:pPr>
            <w:r/>
            <w:r>
              <w:rPr>
                <w:b w:val="0"/>
                <w:i w:val="0"/>
                <w:sz w:val="18"/>
              </w:rPr>
              <w:t>8.2%</w:t>
            </w:r>
          </w:p>
        </w:tc>
      </w:tr>
      <w:tr>
        <w:tc>
          <w:tcPr>
            <w:tcW w:type="dxa" w:w="6336"/>
          </w:tcPr>
          <w:p>
            <w:pPr>
              <w:spacing w:line="240" w:lineRule="auto"/>
            </w:pPr>
            <w:r/>
            <w:r>
              <w:rPr>
                <w:b/>
                <w:i w:val="0"/>
                <w:sz w:val="18"/>
              </w:rPr>
              <w:t>§World Bank region</w:t>
            </w:r>
          </w:p>
        </w:tc>
        <w:tc>
          <w:tcPr>
            <w:tcW w:type="dxa" w:w="1008"/>
          </w:tcPr>
          <w:p>
            <w:pPr>
              <w:spacing w:line="240" w:lineRule="auto"/>
            </w:pPr>
            <w:r/>
          </w:p>
        </w:tc>
        <w:tc>
          <w:tcPr>
            <w:tcW w:type="dxa" w:w="1296"/>
          </w:tcPr>
          <w:p>
            <w:pPr>
              <w:spacing w:line="240" w:lineRule="auto"/>
            </w:pPr>
            <w:r/>
          </w:p>
        </w:tc>
      </w:tr>
      <w:tr>
        <w:tc>
          <w:tcPr>
            <w:tcW w:type="dxa" w:w="6336"/>
          </w:tcPr>
          <w:p>
            <w:pPr>
              <w:spacing w:line="240" w:lineRule="auto"/>
            </w:pPr>
            <w:r/>
            <w:r>
              <w:rPr>
                <w:b w:val="0"/>
                <w:i w:val="0"/>
                <w:sz w:val="18"/>
              </w:rPr>
              <w:t xml:space="preserve">    Europe &amp; Central Asia</w:t>
            </w:r>
          </w:p>
        </w:tc>
        <w:tc>
          <w:tcPr>
            <w:tcW w:type="dxa" w:w="1008"/>
          </w:tcPr>
          <w:p>
            <w:pPr>
              <w:spacing w:line="240" w:lineRule="auto"/>
            </w:pPr>
            <w:r/>
            <w:r>
              <w:rPr>
                <w:b w:val="0"/>
                <w:i w:val="0"/>
                <w:sz w:val="18"/>
              </w:rPr>
              <w:t>29</w:t>
            </w:r>
          </w:p>
        </w:tc>
        <w:tc>
          <w:tcPr>
            <w:tcW w:type="dxa" w:w="1296"/>
          </w:tcPr>
          <w:p>
            <w:pPr>
              <w:spacing w:line="240" w:lineRule="auto"/>
            </w:pPr>
            <w:r/>
            <w:r>
              <w:rPr>
                <w:b w:val="0"/>
                <w:i w:val="0"/>
                <w:sz w:val="18"/>
              </w:rPr>
              <w:t>34.1%</w:t>
            </w:r>
          </w:p>
        </w:tc>
      </w:tr>
      <w:tr>
        <w:tc>
          <w:tcPr>
            <w:tcW w:type="dxa" w:w="6336"/>
          </w:tcPr>
          <w:p>
            <w:pPr>
              <w:spacing w:line="240" w:lineRule="auto"/>
            </w:pPr>
            <w:r/>
            <w:r>
              <w:rPr>
                <w:b w:val="0"/>
                <w:i w:val="0"/>
                <w:sz w:val="18"/>
              </w:rPr>
              <w:t xml:space="preserve">    East Asia &amp; Pacific</w:t>
            </w:r>
          </w:p>
        </w:tc>
        <w:tc>
          <w:tcPr>
            <w:tcW w:type="dxa" w:w="1008"/>
          </w:tcPr>
          <w:p>
            <w:pPr>
              <w:spacing w:line="240" w:lineRule="auto"/>
            </w:pPr>
            <w:r/>
            <w:r>
              <w:rPr>
                <w:b w:val="0"/>
                <w:i w:val="0"/>
                <w:sz w:val="18"/>
              </w:rPr>
              <w:t>17</w:t>
            </w:r>
          </w:p>
        </w:tc>
        <w:tc>
          <w:tcPr>
            <w:tcW w:type="dxa" w:w="1296"/>
          </w:tcPr>
          <w:p>
            <w:pPr>
              <w:spacing w:line="240" w:lineRule="auto"/>
            </w:pPr>
            <w:r/>
            <w:r>
              <w:rPr>
                <w:b w:val="0"/>
                <w:i w:val="0"/>
                <w:sz w:val="18"/>
              </w:rPr>
              <w:t>20.0%</w:t>
            </w:r>
          </w:p>
        </w:tc>
      </w:tr>
      <w:tr>
        <w:tc>
          <w:tcPr>
            <w:tcW w:type="dxa" w:w="6336"/>
          </w:tcPr>
          <w:p>
            <w:pPr>
              <w:spacing w:line="240" w:lineRule="auto"/>
            </w:pPr>
            <w:r/>
            <w:r>
              <w:rPr>
                <w:b w:val="0"/>
                <w:i w:val="0"/>
                <w:sz w:val="18"/>
              </w:rPr>
              <w:t xml:space="preserve">    North America</w:t>
            </w:r>
          </w:p>
        </w:tc>
        <w:tc>
          <w:tcPr>
            <w:tcW w:type="dxa" w:w="1008"/>
          </w:tcPr>
          <w:p>
            <w:pPr>
              <w:spacing w:line="240" w:lineRule="auto"/>
            </w:pPr>
            <w:r/>
            <w:r>
              <w:rPr>
                <w:b w:val="0"/>
                <w:i w:val="0"/>
                <w:sz w:val="18"/>
              </w:rPr>
              <w:t>15</w:t>
            </w:r>
          </w:p>
        </w:tc>
        <w:tc>
          <w:tcPr>
            <w:tcW w:type="dxa" w:w="1296"/>
          </w:tcPr>
          <w:p>
            <w:pPr>
              <w:spacing w:line="240" w:lineRule="auto"/>
            </w:pPr>
            <w:r/>
            <w:r>
              <w:rPr>
                <w:b w:val="0"/>
                <w:i w:val="0"/>
                <w:sz w:val="18"/>
              </w:rPr>
              <w:t>17.6%</w:t>
            </w:r>
          </w:p>
        </w:tc>
      </w:tr>
      <w:tr>
        <w:tc>
          <w:tcPr>
            <w:tcW w:type="dxa" w:w="6336"/>
          </w:tcPr>
          <w:p>
            <w:pPr>
              <w:spacing w:line="240" w:lineRule="auto"/>
            </w:pPr>
            <w:r/>
            <w:r>
              <w:rPr>
                <w:b w:val="0"/>
                <w:i w:val="0"/>
                <w:sz w:val="18"/>
              </w:rPr>
              <w:t xml:space="preserve">    Middle East &amp; North Africa</w:t>
            </w:r>
          </w:p>
        </w:tc>
        <w:tc>
          <w:tcPr>
            <w:tcW w:type="dxa" w:w="1008"/>
          </w:tcPr>
          <w:p>
            <w:pPr>
              <w:spacing w:line="240" w:lineRule="auto"/>
            </w:pPr>
            <w:r/>
            <w:r>
              <w:rPr>
                <w:b w:val="0"/>
                <w:i w:val="0"/>
                <w:sz w:val="18"/>
              </w:rPr>
              <w:t>10</w:t>
            </w:r>
          </w:p>
        </w:tc>
        <w:tc>
          <w:tcPr>
            <w:tcW w:type="dxa" w:w="1296"/>
          </w:tcPr>
          <w:p>
            <w:pPr>
              <w:spacing w:line="240" w:lineRule="auto"/>
            </w:pPr>
            <w:r/>
            <w:r>
              <w:rPr>
                <w:b w:val="0"/>
                <w:i w:val="0"/>
                <w:sz w:val="18"/>
              </w:rPr>
              <w:t>11.8%</w:t>
            </w:r>
          </w:p>
        </w:tc>
      </w:tr>
      <w:tr>
        <w:tc>
          <w:tcPr>
            <w:tcW w:type="dxa" w:w="6336"/>
          </w:tcPr>
          <w:p>
            <w:pPr>
              <w:spacing w:line="240" w:lineRule="auto"/>
            </w:pPr>
            <w:r/>
            <w:r>
              <w:rPr>
                <w:b w:val="0"/>
                <w:i w:val="0"/>
                <w:sz w:val="18"/>
              </w:rPr>
              <w:t xml:space="preserve">    Online / multinational / not reported</w:t>
            </w:r>
          </w:p>
        </w:tc>
        <w:tc>
          <w:tcPr>
            <w:tcW w:type="dxa" w:w="1008"/>
          </w:tcPr>
          <w:p>
            <w:pPr>
              <w:spacing w:line="240" w:lineRule="auto"/>
            </w:pPr>
            <w:r/>
            <w:r>
              <w:rPr>
                <w:b w:val="0"/>
                <w:i w:val="0"/>
                <w:sz w:val="18"/>
              </w:rPr>
              <w:t>7</w:t>
            </w:r>
          </w:p>
        </w:tc>
        <w:tc>
          <w:tcPr>
            <w:tcW w:type="dxa" w:w="1296"/>
          </w:tcPr>
          <w:p>
            <w:pPr>
              <w:spacing w:line="240" w:lineRule="auto"/>
            </w:pPr>
            <w:r/>
            <w:r>
              <w:rPr>
                <w:b w:val="0"/>
                <w:i w:val="0"/>
                <w:sz w:val="18"/>
              </w:rPr>
              <w:t>8.2%</w:t>
            </w:r>
          </w:p>
        </w:tc>
      </w:tr>
      <w:tr>
        <w:tc>
          <w:tcPr>
            <w:tcW w:type="dxa" w:w="6336"/>
          </w:tcPr>
          <w:p>
            <w:pPr>
              <w:spacing w:line="240" w:lineRule="auto"/>
            </w:pPr>
            <w:r/>
            <w:r>
              <w:rPr>
                <w:b w:val="0"/>
                <w:i w:val="0"/>
                <w:sz w:val="18"/>
              </w:rPr>
              <w:t xml:space="preserve">    Sub-Saharan Africa</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val="0"/>
                <w:i w:val="0"/>
                <w:sz w:val="18"/>
              </w:rPr>
              <w:t xml:space="preserve">    Latin America &amp; Caribbean</w:t>
            </w:r>
          </w:p>
        </w:tc>
        <w:tc>
          <w:tcPr>
            <w:tcW w:type="dxa" w:w="1008"/>
          </w:tcPr>
          <w:p>
            <w:pPr>
              <w:spacing w:line="240" w:lineRule="auto"/>
            </w:pPr>
            <w:r/>
            <w:r>
              <w:rPr>
                <w:b w:val="0"/>
                <w:i w:val="0"/>
                <w:sz w:val="18"/>
              </w:rPr>
              <w:t>3</w:t>
            </w:r>
          </w:p>
        </w:tc>
        <w:tc>
          <w:tcPr>
            <w:tcW w:type="dxa" w:w="1296"/>
          </w:tcPr>
          <w:p>
            <w:pPr>
              <w:spacing w:line="240" w:lineRule="auto"/>
            </w:pPr>
            <w:r/>
            <w:r>
              <w:rPr>
                <w:b w:val="0"/>
                <w:i w:val="0"/>
                <w:sz w:val="18"/>
              </w:rPr>
              <w:t>3.5%</w:t>
            </w:r>
          </w:p>
        </w:tc>
      </w:tr>
      <w:tr>
        <w:tc>
          <w:tcPr>
            <w:tcW w:type="dxa" w:w="6336"/>
          </w:tcPr>
          <w:p>
            <w:pPr>
              <w:spacing w:line="240" w:lineRule="auto"/>
            </w:pPr>
            <w:r/>
            <w:r>
              <w:rPr>
                <w:b w:val="0"/>
                <w:i w:val="0"/>
                <w:sz w:val="18"/>
              </w:rPr>
              <w:t xml:space="preserve">    South Asia</w:t>
            </w:r>
          </w:p>
        </w:tc>
        <w:tc>
          <w:tcPr>
            <w:tcW w:type="dxa" w:w="1008"/>
          </w:tcPr>
          <w:p>
            <w:pPr>
              <w:spacing w:line="240" w:lineRule="auto"/>
            </w:pPr>
            <w:r/>
            <w:r>
              <w:rPr>
                <w:b w:val="0"/>
                <w:i w:val="0"/>
                <w:sz w:val="18"/>
              </w:rPr>
              <w:t>1</w:t>
            </w:r>
          </w:p>
        </w:tc>
        <w:tc>
          <w:tcPr>
            <w:tcW w:type="dxa" w:w="1296"/>
          </w:tcPr>
          <w:p>
            <w:pPr>
              <w:spacing w:line="240" w:lineRule="auto"/>
            </w:pPr>
            <w:r/>
            <w:r>
              <w:rPr>
                <w:b w:val="0"/>
                <w:i w:val="0"/>
                <w:sz w:val="18"/>
              </w:rPr>
              <w:t>1.2%</w:t>
            </w:r>
          </w:p>
        </w:tc>
      </w:tr>
    </w:tbl>
    <w:p>
      <w:r>
        <w:rPr>
          <w:b w:val="0"/>
          <w:i w:val="0"/>
          <w:sz w:val="20"/>
        </w:rPr>
        <w:t>Note. Percentages are of 85 included studies. Income groups follow the World Bank FY2027 classification (effective 1 July 2026).</w:t>
      </w:r>
    </w:p>
    <w:p>
      <w:pPr>
        <w:keepNext/>
      </w:pPr>
      <w:r>
        <w:rPr>
          <w:b/>
        </w:rPr>
        <w:t>Geographic Distribution</w:t>
      </w:r>
    </w:p>
    <w:p>
      <w:pPr>
        <w:ind w:firstLine="720"/>
      </w:pPr>
      <w:r>
        <w:rPr>
          <w:b w:val="0"/>
          <w:i w:val="0"/>
        </w:rPr>
        <w:t>Studies were conducted in 31 countries and territories; a further seven were online, multinational or did not report a country. The United States contributed the most studies (n = 13; 15.3%), followed by Japan, Sweden and Taiwan (n = 6 each), Türkiye (n = 5) and Germany and Iran (n = 4 each). Two-thirds of studies (57; 67.1%) came from high-income economies (Figure 3). Under the World Bank definition, 21 studies (24.7%) were from LMICs, but most of these (16) were from upper-middle-income countries (Türkiye, n = 5; Iran, n = 4; Jordan, Mexico and mainland China, n = 2 each; Brazil, n = 1). Only 5 studies (5.9%) came from lower-middle-income (Bangladesh, Lebanon, Nigeria) or low-income (Ethiopia) countries. Sub-Saharan Africa contributed three studies (3.5%): a survey of 985 secondary-school adolescents in Ibadan, Nigeria (Adegoke et al., 2014), and two studies from Ethiopia—one of 529 university students (Alemu et al., 2017) and one of 548 high-school students (Kibralew et al., 2024).</w:t>
      </w:r>
    </w:p>
    <w:p>
      <w:pPr>
        <w:ind w:firstLine="720"/>
      </w:pPr>
      <w:r>
        <w:rPr>
          <w:b w:val="0"/>
          <w:i w:val="0"/>
        </w:rPr>
        <w:t>The LMIC evidence also differed in kind. Only one of the 21 LMIC studies (Jordan) confirmed PMDD with prospective daily ratings (Hussein Shehadeh &amp; Hamdan-Mansour, 2018); none of the qualitative or lived-experience studies came from an LMIC; and only one of the seven studies examining coping was conducted in an LMIC (Hamaideh et al., 2014). No study from sub-Saharan Africa examined suicidality, quality of life, interpersonal functioning or coping as a primary aim.</w:t>
      </w:r>
    </w:p>
    <w:p>
      <w:pPr>
        <w:jc w:val="center"/>
      </w:pPr>
      <w:r>
        <w:drawing>
          <wp:inline xmlns:a="http://schemas.openxmlformats.org/drawingml/2006/main" xmlns:pic="http://schemas.openxmlformats.org/drawingml/2006/picture">
            <wp:extent cx="5760720" cy="2392401"/>
            <wp:docPr id="2" name="Picture 2"/>
            <wp:cNvGraphicFramePr>
              <a:graphicFrameLocks noChangeAspect="1"/>
            </wp:cNvGraphicFramePr>
            <a:graphic>
              <a:graphicData uri="http://schemas.openxmlformats.org/drawingml/2006/picture">
                <pic:pic>
                  <pic:nvPicPr>
                    <pic:cNvPr id="0" name="fig3_geography.png"/>
                    <pic:cNvPicPr/>
                  </pic:nvPicPr>
                  <pic:blipFill>
                    <a:blip r:embed="rId11"/>
                    <a:stretch>
                      <a:fillRect/>
                    </a:stretch>
                  </pic:blipFill>
                  <pic:spPr>
                    <a:xfrm>
                      <a:off x="0" y="0"/>
                      <a:ext cx="5760720" cy="2392401"/>
                    </a:xfrm>
                    <a:prstGeom prst="rect"/>
                  </pic:spPr>
                </pic:pic>
              </a:graphicData>
            </a:graphic>
          </wp:inline>
        </w:drawing>
      </w:r>
    </w:p>
    <w:p>
      <w:pPr>
        <w:keepNext/>
      </w:pPr>
      <w:r>
        <w:rPr>
          <w:b/>
        </w:rPr>
        <w:t>Psychosocial Domains</w:t>
      </w:r>
    </w:p>
    <w:p>
      <w:pPr>
        <w:ind w:firstLine="720"/>
      </w:pPr>
      <w:r>
        <w:rPr>
          <w:b w:val="0"/>
          <w:i w:val="0"/>
        </w:rPr>
        <w:t>Figure 2 shows the number of studies examining each psychosocial domain. Depression was the most frequently examined domain (n = 28; 32.9%), followed by mood and emotion regulation and psychiatric comorbidity (n = 18 each), psychological distress and perceived stress (n = 16), anxiety, suicidality and academic or occupational functioning (n = 13 each), interpersonal and relational functioning (n = 12), quality of life (n = 8), personality, trauma and adversity, and coping and resilience (n = 7 each), and lived experience, stigma and help-seeking (n = 5).</w:t>
      </w:r>
    </w:p>
    <w:p>
      <w:pPr>
        <w:jc w:val="center"/>
      </w:pPr>
      <w:r>
        <w:drawing>
          <wp:inline xmlns:a="http://schemas.openxmlformats.org/drawingml/2006/main" xmlns:pic="http://schemas.openxmlformats.org/drawingml/2006/picture">
            <wp:extent cx="5486400" cy="3127248"/>
            <wp:docPr id="3" name="Picture 3"/>
            <wp:cNvGraphicFramePr>
              <a:graphicFrameLocks noChangeAspect="1"/>
            </wp:cNvGraphicFramePr>
            <a:graphic>
              <a:graphicData uri="http://schemas.openxmlformats.org/drawingml/2006/picture">
                <pic:pic>
                  <pic:nvPicPr>
                    <pic:cNvPr id="0" name="fig2_domains.png"/>
                    <pic:cNvPicPr/>
                  </pic:nvPicPr>
                  <pic:blipFill>
                    <a:blip r:embed="rId12"/>
                    <a:stretch>
                      <a:fillRect/>
                    </a:stretch>
                  </pic:blipFill>
                  <pic:spPr>
                    <a:xfrm>
                      <a:off x="0" y="0"/>
                      <a:ext cx="5486400" cy="3127248"/>
                    </a:xfrm>
                    <a:prstGeom prst="rect"/>
                  </pic:spPr>
                </pic:pic>
              </a:graphicData>
            </a:graphic>
          </wp:inline>
        </w:drawing>
      </w:r>
    </w:p>
    <w:p>
      <w:pPr>
        <w:keepNext/>
      </w:pPr>
      <w:r>
        <w:rPr>
          <w:b/>
          <w:i/>
        </w:rPr>
        <w:t>Depression and Psychiatric Comorbidity</w:t>
      </w:r>
    </w:p>
    <w:p>
      <w:pPr>
        <w:ind w:firstLine="720"/>
      </w:pPr>
      <w:r>
        <w:rPr>
          <w:b w:val="0"/>
          <w:i w:val="0"/>
        </w:rPr>
        <w:t>Women with PMDD reported more depressive symptoms than women with PMS or controls (Balık et al., 2015; Ko et al., 2013; Yen et al., 2018), and PMDD was more common among young women with a history of major depression (Accortt et al., 2013). Longitudinally, a Taiwanese national-insurance cohort of 8,222 women with PMDD and 32,888 matched controls found higher risks of unipolar depression (hazard ratio [HR] 2.58) and bipolar disorder (HR 2.50) after a PMDD diagnosis (Li et al., 2023). PMDD was also associated with antenatal depression (odds ratio [OR] 3.54) (Ihara et al., 2024), perinatal depression (OR up to 3.05) (Schleimann-Jensen et al., 2025) and perimenopausal depression (Flores-Ramos et al., 2010). Comorbidity studies linked PMDD with ADHD—provisional PMDD affected 31.4% of women with a clinical ADHD diagnosis versus 9.8% of a non-ADHD group (Broughton et al., 2025); see also Kondo et al. (2025) and Dorani et al. (2021)—and with bipolar disorder, where comorbid PMDD was associated with earlier onset and greater illness burden (Slyepchenko et al., 2017; Liang et al., 2024; Fornaro &amp; Perugi, 2010). PMDD was associated with bulimia nervosa (OR 7.2) (Nobles et al., 2016) and Internet use disorder (Ko et al., 2014a), and in a Korean national sample 59.3% of women with PMDD had at least one other psychiatric disorder, compared with 21.8% of women without PMDD (Hong et al., 2012).</w:t>
      </w:r>
    </w:p>
    <w:p>
      <w:pPr>
        <w:keepNext/>
      </w:pPr>
      <w:r>
        <w:rPr>
          <w:b/>
          <w:i/>
        </w:rPr>
        <w:t>Mood, Emotion Regulation and Personality</w:t>
      </w:r>
    </w:p>
    <w:p>
      <w:pPr>
        <w:ind w:firstLine="720"/>
      </w:pPr>
      <w:r>
        <w:rPr>
          <w:b w:val="0"/>
          <w:i w:val="0"/>
        </w:rPr>
        <w:t>Women with PMDD reported greater difficulties in emotion regulation (Reuveni et al., 2016; Petersen et al., 2016; Torabi et al., 2025; Yen et al., 2018), more rumination and repetitive negative thinking (Beddig et al., 2020; Nayman et al., 2024; Kappen et al., 2022; Craner et al., 2014) and more self-focused attention (Craner et al., 2015; Craner et al., 2016), as well as higher anger and aggression (Akyol et al., 2013; Ducasse et al., 2016; Rezaei &amp; Sajjad, 2019). Ecological momentary assessment studies from Germany showed that favourable habitual emotion-regulation strategies were linked to better everyday mood but did not protect against premenstrual mood deterioration (Nayman et al., 2023), whereas momentary rumination and present-moment awareness predicted late-luteal mood (Nayman et al., 2024). Personality studies consistently reported higher neuroticism and related traits (Izadi-Mazidi &amp; Amiri, 2019; Gingnell et al., 2010; Fernández et al., 2019; Miller et al., 2010), as well as anxious and cyclothymic temperaments (Ekmekçi Ertek et al., 2023) and differences in reinforcement sensitivity (Ko et al., 2014b).</w:t>
      </w:r>
    </w:p>
    <w:p>
      <w:pPr>
        <w:keepNext/>
      </w:pPr>
      <w:r>
        <w:rPr>
          <w:b/>
          <w:i/>
        </w:rPr>
        <w:t>Psychological Distress and Anxiety</w:t>
      </w:r>
    </w:p>
    <w:p>
      <w:pPr>
        <w:ind w:firstLine="720"/>
      </w:pPr>
      <w:r>
        <w:rPr>
          <w:b w:val="0"/>
          <w:i w:val="0"/>
        </w:rPr>
        <w:t>PMDD was associated with psychological distress in a Swiss population survey (Tschudin et al., 2010) and PMDD or premenstrual symptom severity was associated with higher perceived stress in Jordan, Spain, Saudi Arabia and Ethiopia (Hamaideh et al., 2014; Fernández et al., 2019; Innab et al., 2025; Kibralew et al., 2024); women with PMDD in Germany reported particularly high daily-life stress in the late luteal phase (Beddig et al., 2019); in a Spanish case-control study, high perceived stress was associated with more than five-fold higher odds of PMDD (OR 5.79) (Fernández et al., 2019). In Ethiopian high-school students, depressive symptoms and high perceived stress were among the factors associated with PMDD (Kibralew et al., 2024). Anxiety was elevated in several samples (Lee et al., 2024; Kappen et al., 2022; Roy et al., 2025), including higher health anxiety and anxiety sensitivity among college women with provisional PMDD (Craner et al., 2013).</w:t>
      </w:r>
    </w:p>
    <w:p>
      <w:pPr>
        <w:keepNext/>
      </w:pPr>
      <w:r>
        <w:rPr>
          <w:b/>
          <w:i/>
        </w:rPr>
        <w:t>Suicidality and Self-Harm</w:t>
      </w:r>
    </w:p>
    <w:p>
      <w:pPr>
        <w:ind w:firstLine="720"/>
      </w:pPr>
      <w:r>
        <w:rPr>
          <w:b w:val="0"/>
          <w:i w:val="0"/>
        </w:rPr>
        <w:t>Thirteen studies examined suicidality. In a nationally representative US sample, PMDD was associated with suicidal ideation (OR 2.22), plans (OR 2.27) and attempts (OR 2.10) after adjustment for psychiatric comorbidity (Pilver et al., 2013). Among Bangladeshi university students, PMDD was associated with suicidal ideation (adjusted OR [AOR] 5.42) and attempts (AOR 4.07) (Roy et al., 2025). In a global survey of 599 people with prospectively diagnosed PMDD, 72% reported lifetime active suicidal ideation, 34% a suicide attempt and 51% non-suicidal self-injury (Eisenlohr-Moul et al., 2022), and 39.1% of Swedish women with confirmed PMDD reported current suicidal ideation in the late luteal phase (Wikman et al., 2022). Among women with mood disorders in Taiwan, PMDD was independently associated with lifetime suicide attempts (OR 3.46) (Chan et al., 2021); PMDD was more frequent among Iranian suicide attempters than matched controls (Shams-Alizadeh et al., 2018); and 23% of women hospitalised after a suicide attempt in France met PMDD criteria (Ducasse et al., 2016); and a Swedish population cohort found a higher risk of suicidal behaviour (HR 2.26) among women with clinically recognised premenstrual disorders (Yang et al., 2021).</w:t>
      </w:r>
    </w:p>
    <w:p>
      <w:pPr>
        <w:keepNext/>
      </w:pPr>
      <w:r>
        <w:rPr>
          <w:b/>
          <w:i/>
        </w:rPr>
        <w:t>Functioning, Relationships and Quality of Life</w:t>
      </w:r>
    </w:p>
    <w:p>
      <w:pPr>
        <w:ind w:firstLine="720"/>
      </w:pPr>
      <w:r>
        <w:rPr>
          <w:b w:val="0"/>
          <w:i w:val="0"/>
        </w:rPr>
        <w:t>PMDD was associated with presenteeism and absenteeism in a nationwide Japanese workforce survey (Maeda et al., 2025), with absenteeism from clinical training among Kuwaiti nursing students (Omu et al., 2011), with differences in academic self-determination among Jordanian university students (Hussein Shehadeh &amp; Hamdan-Mansour, 2018) and with lower occupational competence in Türkiye (Pekçetin et al., 2022); in contrast, an Ethiopian study found no significant association between premenstrual symptoms and academic performance (Alemu et al., 2017). PMDD was associated with relationship disruption among married or cohabiting women in a Swedish cohort (incidence rate ratio 1.22) (Westermark et al., 2024), and both people with PMDD and their partners reported lower relationship quality (Hodgetts &amp; Kinghorn, 2025). Quality of life was consistently lower: in a Swedish cohort of 17,284 women, the association with reduced quality of life was stronger for PMDD than for PMS (Wang et al., 2025); untreated Japanese patients had a mean EQ-5D score of 0.795, corresponding to an estimated lifetime loss of about three quality-adjusted life years (Yamada &amp; Kamagata, 2017); and Iranian adolescents with PMDD scored lower on all SF-36 domains except physical functioning (Delara et al., 2012).</w:t>
      </w:r>
    </w:p>
    <w:p>
      <w:pPr>
        <w:keepNext/>
      </w:pPr>
      <w:r>
        <w:rPr>
          <w:b/>
          <w:i/>
        </w:rPr>
        <w:t>Trauma, Adversity and Discrimination</w:t>
      </w:r>
    </w:p>
    <w:p>
      <w:pPr>
        <w:ind w:firstLine="720"/>
      </w:pPr>
      <w:r>
        <w:rPr>
          <w:b w:val="0"/>
          <w:i w:val="0"/>
        </w:rPr>
        <w:t>Adverse childhood experiences were associated with premenstrual disorders in a dose-dependent manner in Iceland (prevalence ratio 2.46 for four or more experiences), more strongly for PMDD than PMS (Yang et al., 2022), and four or more such experiences were associated with PMDD among Japanese working women (AOR 5.61) (Kanamori et al., 2025); school bullying was associated with premenstrual disorders among Chinese adolescents, more strongly for PMDD than PMS (Liao et al., 2025); 83% of Australian clinic patients with PMDD reported early-life trauma (Kulkarni et al., 2022); and perceived discrimination was associated with PMDD among US minority women (Pilver et al., 2011). In Lebanon, depression mediated the association between childhood abuse and PMDD (Younes et al., 2021).</w:t>
      </w:r>
    </w:p>
    <w:p>
      <w:pPr>
        <w:keepNext/>
      </w:pPr>
      <w:r>
        <w:rPr>
          <w:b/>
          <w:i/>
        </w:rPr>
        <w:t>Coping and Lived Experience</w:t>
      </w:r>
    </w:p>
    <w:p>
      <w:pPr>
        <w:ind w:firstLine="720"/>
      </w:pPr>
      <w:r>
        <w:rPr>
          <w:b w:val="0"/>
          <w:i w:val="0"/>
        </w:rPr>
        <w:t>Only seven studies examined coping or resilience. Jordanian women with PMS or PMDD most often self-treated by taking analgesics, drinking hot fluids, wearing warm clothing and lying on the abdomen (Hamaideh et al., 2014); Canadian women with PMDD used cannabis more pre-menstrually and menstrually, partly for coping motives (Joyce et al., 2021); women with premenstrual disorders in the United States reported more maladaptive coping styles than controls (Craner et al., 2015); and in a Spanish case-control study, higher use of most coping strategies was associated with increased odds of PMDD (Fernández et al., 2019). Coping styles were also measured alongside rumination in a US study (Craner et al., 2014). Resilience potentially moderated associations between high-risk PMDD and anxiety, depression and loneliness among Hong Kong students (Lee et al., 2024), and members of an online PMDD community described peer support and knowledge as sources of agency (Winslow et al., 2023). Five studies, all from high-income or online settings, explored lived experience and help-seeking, describing misdiagnosis and “lost decades” (Osborn et al., 2020), medical mistrust and masking (Habib et al., 2025), variable provider knowledge across specialties (Hantsoo et al., 2022) and patient priorities for PMDD-tailored mental health care, including suicidality and relationships (Chenji et al., 2025).</w:t>
      </w:r>
    </w:p>
    <w:p>
      <w:pPr>
        <w:keepNext/>
        <w:jc w:val="center"/>
      </w:pPr>
      <w:r>
        <w:rPr>
          <w:b/>
        </w:rPr>
        <w:t>Discussion</w:t>
      </w:r>
    </w:p>
    <w:p>
      <w:pPr>
        <w:ind w:firstLine="720"/>
      </w:pPr>
      <w:r>
        <w:rPr>
          <w:b w:val="0"/>
          <w:i w:val="0"/>
        </w:rPr>
        <w:t>This scoping review mapped 85 empirical studies of psychosocial outcomes and coping among women with PMDD. Three findings stand out. First, the literature is growing quickly—half of the studies were published since 2020—and it consistently links PMDD with depression, psychiatric comorbidity, suicidality, impaired functioning and reduced quality of life. The suicidality findings are particularly striking and span nationally representative surveys, clinical samples and population registries, supporting calls for routine suicide-risk screening in people with PMDD. Second, the evidence is narrow in scope: coping (n = 7) and lived experience (n = 5) were rarely primary aims, and no study examined adaptive coping longitudinally. Third, the evidence base is geographically concentrated: two-thirds of studies came from high-income countries, only five came from low- or lower-middle-income countries, and just three came from sub-Saharan Africa.</w:t>
      </w:r>
    </w:p>
    <w:p>
      <w:pPr>
        <w:ind w:firstLine="720"/>
      </w:pPr>
      <w:r>
        <w:rPr>
          <w:b w:val="0"/>
          <w:i w:val="0"/>
        </w:rPr>
        <w:t>Methodological features limit what the evidence can tell us. Fewer than one in four studies confirmed PMDD with prospective daily ratings, and over two in five relied on provisional, retrospective diagnoses. Provisional diagnoses substantially overestimate prevalence (Reilly et al., 2024), and in one study self-reported PMDD (51.8%) far exceeded clinically assessed PMDD (5.9%) (Senín-Calderón et al., 2023). Associations with psychosocial outcomes based on provisional diagnoses may therefore conflate PMDD with PMS or with premenstrual exacerbation of other disorders. The problem is sharpest in LMICs, where only one study used prospective ratings; the high prevalence (33.0%) reported among Ethiopian high-school students from a single cross-sectional DSM-5-based assessment (Kibralew et al., 2024) illustrates the need for validated, prospectively confirmed assessment. Notably, none of the 11 instrument-validation studies identified (and excluded) during screening was conducted in an African setting.</w:t>
      </w:r>
    </w:p>
    <w:p>
      <w:pPr>
        <w:ind w:firstLine="720"/>
      </w:pPr>
      <w:r>
        <w:rPr>
          <w:b w:val="0"/>
          <w:i w:val="0"/>
        </w:rPr>
        <w:t>The scarcity of evidence from sub-Saharan Africa is not evidence of a small burden. Premenstrual symptoms are common across Africa (Andualem et al., 2024), and a community-based study of adolescent girls in southwest Ethiopia—excluded here because PMDD was a covariate rather than the study population—found PMDD independently associated with suicidal ideation (Segon et al., 2025). Research on premenstrual coping in Ethiopia has so far focused on PMS rather than PMDD (Eshetu et al., 2022). Together these observations suggest that PMDD’s psychosocial burden in the region is real but largely invisible to health systems.</w:t>
      </w:r>
    </w:p>
    <w:p>
      <w:pPr>
        <w:keepNext/>
      </w:pPr>
      <w:r>
        <w:rPr>
          <w:b/>
        </w:rPr>
        <w:t>Implications for Public Health Practice and Research</w:t>
      </w:r>
    </w:p>
    <w:p>
      <w:pPr>
        <w:ind w:firstLine="720"/>
      </w:pPr>
      <w:r>
        <w:rPr>
          <w:b w:val="0"/>
          <w:i w:val="0"/>
        </w:rPr>
        <w:t>For practice, the consistent association between PMDD and suicidality supports routine screening for suicidal ideation in people presenting with premenstrual mood symptoms, and vice versa. PMDD screening could be integrated into existing sexual and reproductive health, school-health and university health services, which reach the adolescents and students who dominate the LMIC evidence. Provider training should address the diagnostic delays and dismissive care that patients describe. For research, priorities include prospectively confirmed studies in LMICs; qualitative research on lived experience, stigma and help-seeking in African contexts; validation of PMDD instruments in African languages; and longitudinal studies of coping and of interventions that strengthen adaptive coping.</w:t>
      </w:r>
    </w:p>
    <w:p>
      <w:pPr>
        <w:keepNext/>
      </w:pPr>
      <w:r>
        <w:rPr>
          <w:b/>
        </w:rPr>
        <w:t>Strengths and Limitations</w:t>
      </w:r>
    </w:p>
    <w:p>
      <w:pPr>
        <w:ind w:firstLine="720"/>
      </w:pPr>
      <w:r>
        <w:rPr>
          <w:b w:val="0"/>
          <w:i w:val="0"/>
        </w:rPr>
        <w:t>This review screened records from seven databases, documented every decision in an auditable log and applied the World Bank’s current income classification. Several limitations apply. First, eligibility was judged on titles, abstracts and subject terms; full-text review is ongoing and may change the final set of studies. Second, screening and charting were AI-assisted and require independent verification by two human reviewers. Third, restricting to English excluded 65 records (most commonly Persian, French, Korean, German and Turkish), and the databases searched did not include regional sources such as African Journals Online, Embase, Scopus or grey literature, so the geographic gap may be partly an artefact of database coverage. Fourth, some studies combined PMS and PMDD, country was occasionally inferred from the study setting, and domains were coded from abstracts, so domain counts are approximate.</w:t>
      </w:r>
    </w:p>
    <w:p>
      <w:pPr>
        <w:keepNext/>
      </w:pPr>
      <w:r>
        <w:rPr>
          <w:b/>
        </w:rPr>
        <w:t>Conclusions</w:t>
      </w:r>
    </w:p>
    <w:p>
      <w:pPr>
        <w:ind w:firstLine="720"/>
      </w:pPr>
      <w:r>
        <w:rPr>
          <w:b w:val="0"/>
          <w:i w:val="0"/>
        </w:rPr>
        <w:t>Evidence on the psychosocial burden of PMDD is growing and points to substantial effects on mental health, suicidality, functioning, relationships and quality of life. It remains concentrated in high-income countries, relies heavily on provisional diagnoses and rarely examines coping or lived experience. Culturally responsive screening, integration of PMDD into reproductive and mental health services, and Africa-centred research investment are needed for a condition whose burden remains largely invisible to health systems globally.</w:t>
      </w:r>
    </w:p>
    <w:p>
      <w:pPr>
        <w:keepNext/>
      </w:pPr>
      <w:r>
        <w:rPr>
          <w:b/>
        </w:rPr>
        <w:t>Declarations</w:t>
      </w:r>
    </w:p>
    <w:p>
      <w:r>
        <w:rPr>
          <w:b w:val="0"/>
          <w:i w:val="0"/>
          <w:color w:val="B45309"/>
          <w:sz w:val="22"/>
        </w:rPr>
        <w:t>[Funding: state funding or “none”. Conflicts of interest: declare. Author contributions (CRediT): complete. AI use: describe AI assistance with screening, charting and drafting per journal policy. Data availability: screening log and charting table provided as Supplementary File.]</w:t>
      </w:r>
    </w:p>
    <w:p>
      <w:r>
        <w:br w:type="page"/>
      </w:r>
    </w:p>
    <w:p>
      <w:pPr>
        <w:keepNext/>
        <w:jc w:val="center"/>
      </w:pPr>
      <w:r>
        <w:rPr>
          <w:b/>
        </w:rPr>
        <w:t>References</w:t>
      </w:r>
    </w:p>
    <w:p>
      <w:pPr>
        <w:ind w:left="720" w:hanging="720"/>
      </w:pPr>
      <w:r>
        <w:rPr>
          <w:b w:val="0"/>
          <w:i w:val="0"/>
        </w:rPr>
        <w:t xml:space="preserve">Accortt, E. E., Kogan, A. V., &amp; Allen, J. J. B. (2013). Personal history of major depression may put women at risk for premenstrual dysphoric symptomatology. </w:t>
      </w:r>
      <w:r>
        <w:rPr>
          <w:b w:val="0"/>
          <w:i/>
        </w:rPr>
        <w:t>Journal of Affective Disorders</w:t>
      </w:r>
      <w:r>
        <w:rPr>
          <w:b w:val="0"/>
          <w:i w:val="0"/>
        </w:rPr>
        <w:t xml:space="preserve">, </w:t>
      </w:r>
      <w:r>
        <w:rPr>
          <w:b w:val="0"/>
          <w:i/>
        </w:rPr>
        <w:t>150</w:t>
      </w:r>
      <w:r>
        <w:rPr>
          <w:b w:val="0"/>
          <w:i w:val="0"/>
        </w:rPr>
        <w:t>(3), 1234–1237. https://doi.org/10.1016/j.jad.2013.05.091</w:t>
      </w:r>
    </w:p>
    <w:p>
      <w:pPr>
        <w:ind w:left="720" w:hanging="720"/>
      </w:pPr>
      <w:r>
        <w:rPr>
          <w:b w:val="0"/>
          <w:i w:val="0"/>
        </w:rPr>
        <w:t xml:space="preserve">Adegoke, A. A., Olasupo, M. O., &amp; Ayeni, O. B. (2014). Premenstrual dysphoric disorder and psychological health of secondary school female adolescents in Ibadan Metropolis, Nigeria. </w:t>
      </w:r>
      <w:r>
        <w:rPr>
          <w:b w:val="0"/>
          <w:i/>
        </w:rPr>
        <w:t>Gender &amp; Behaviour</w:t>
      </w:r>
      <w:r>
        <w:rPr>
          <w:b w:val="0"/>
          <w:i w:val="0"/>
        </w:rPr>
        <w:t xml:space="preserve">, </w:t>
      </w:r>
      <w:r>
        <w:rPr>
          <w:b w:val="0"/>
          <w:i/>
        </w:rPr>
        <w:t>12</w:t>
      </w:r>
      <w:r>
        <w:rPr>
          <w:b w:val="0"/>
          <w:i w:val="0"/>
        </w:rPr>
        <w:t>(1), 6087–6094.</w:t>
      </w:r>
    </w:p>
    <w:p>
      <w:pPr>
        <w:ind w:left="720" w:hanging="720"/>
      </w:pPr>
      <w:r>
        <w:rPr>
          <w:b w:val="0"/>
          <w:i w:val="0"/>
        </w:rPr>
        <w:t xml:space="preserve">Akyol, E. S., Arısoy, E. Ö. K., &amp; Çayköylü, A. (2013). Anger in women with premenstrual dysphoric disorder: Its relations with premenstrual dysphoric disorder and sociodemographic and clinical variables. </w:t>
      </w:r>
      <w:r>
        <w:rPr>
          <w:b w:val="0"/>
          <w:i/>
        </w:rPr>
        <w:t>Comprehensive Psychiatry</w:t>
      </w:r>
      <w:r>
        <w:rPr>
          <w:b w:val="0"/>
          <w:i w:val="0"/>
        </w:rPr>
        <w:t xml:space="preserve">, </w:t>
      </w:r>
      <w:r>
        <w:rPr>
          <w:b w:val="0"/>
          <w:i/>
        </w:rPr>
        <w:t>54</w:t>
      </w:r>
      <w:r>
        <w:rPr>
          <w:b w:val="0"/>
          <w:i w:val="0"/>
        </w:rPr>
        <w:t>(7), 850–855. https://doi.org/10.1016/j.comppsych.2013.03.013</w:t>
      </w:r>
    </w:p>
    <w:p>
      <w:pPr>
        <w:ind w:left="720" w:hanging="720"/>
      </w:pPr>
      <w:r>
        <w:rPr>
          <w:b w:val="0"/>
          <w:i w:val="0"/>
        </w:rPr>
        <w:t xml:space="preserve">Akyuz Cim, E. F., &amp; Cim, N. (2023). The effect of premenstrual dysphoric disorder diagnosis and severity on depression sensitivity. </w:t>
      </w:r>
      <w:r>
        <w:rPr>
          <w:b w:val="0"/>
          <w:i/>
        </w:rPr>
        <w:t>Journal of Nervous and Mental Disease</w:t>
      </w:r>
      <w:r>
        <w:rPr>
          <w:b w:val="0"/>
          <w:i w:val="0"/>
        </w:rPr>
        <w:t xml:space="preserve">, </w:t>
      </w:r>
      <w:r>
        <w:rPr>
          <w:b w:val="0"/>
          <w:i/>
        </w:rPr>
        <w:t>211</w:t>
      </w:r>
      <w:r>
        <w:rPr>
          <w:b w:val="0"/>
          <w:i w:val="0"/>
        </w:rPr>
        <w:t>(11), 862–865. https://doi.org/10.1097/NMD.0000000000001736</w:t>
      </w:r>
    </w:p>
    <w:p>
      <w:pPr>
        <w:ind w:left="720" w:hanging="720"/>
      </w:pPr>
      <w:r>
        <w:rPr>
          <w:b w:val="0"/>
          <w:i w:val="0"/>
        </w:rPr>
        <w:t xml:space="preserve">Alemu, S. M., Habtewold, T. D., &amp; Haile, Y. G. (2017). Mental and Reproductive Health Correlates of Academic Performance among Debre Berhan University Female Students, Ethiopia: The Case of Premenstrual Dysphoric Disorder. </w:t>
      </w:r>
      <w:r>
        <w:rPr>
          <w:b w:val="0"/>
          <w:i/>
        </w:rPr>
        <w:t>BioMed Research International</w:t>
      </w:r>
      <w:r>
        <w:rPr>
          <w:b w:val="0"/>
          <w:i w:val="0"/>
        </w:rPr>
        <w:t xml:space="preserve">, </w:t>
      </w:r>
      <w:r>
        <w:rPr>
          <w:b w:val="0"/>
          <w:i/>
        </w:rPr>
        <w:t>2017</w:t>
      </w:r>
      <w:r>
        <w:rPr>
          <w:b w:val="0"/>
          <w:i w:val="0"/>
        </w:rPr>
        <w:t>, 1–8. https://doi.org/10.1155/2017/9348159</w:t>
      </w:r>
    </w:p>
    <w:p>
      <w:pPr>
        <w:ind w:left="720" w:hanging="720"/>
      </w:pPr>
      <w:r>
        <w:rPr>
          <w:b w:val="0"/>
          <w:i w:val="0"/>
        </w:rPr>
        <w:t xml:space="preserve">American Psychiatric Association. (2013). </w:t>
      </w:r>
      <w:r>
        <w:rPr>
          <w:b w:val="0"/>
          <w:i/>
        </w:rPr>
        <w:t>Diagnostic and statistical manual of mental disorders</w:t>
      </w:r>
      <w:r>
        <w:rPr>
          <w:b w:val="0"/>
          <w:i w:val="0"/>
        </w:rPr>
        <w:t xml:space="preserve"> (5th ed.). American Psychiatric Publishing. https://doi.org/10.1176/appi.books.9780890425596</w:t>
      </w:r>
    </w:p>
    <w:p>
      <w:pPr>
        <w:ind w:left="720" w:hanging="720"/>
      </w:pPr>
      <w:r>
        <w:rPr>
          <w:b w:val="0"/>
          <w:i w:val="0"/>
        </w:rPr>
        <w:t xml:space="preserve">Andualem, F., Melkam, M., Takelle, G. M., Nakie, G., Tinsae, T., Fentahun, S., Rtbey, G., Seid, J., Gedef, G. M., Bitew, D. A., &amp; Godana, T. N. (2024). Prevalence of premenstrual syndrome and its associated factors in Africa: A systematic review and meta-analysis. </w:t>
      </w:r>
      <w:r>
        <w:rPr>
          <w:b w:val="0"/>
          <w:i/>
        </w:rPr>
        <w:t>Frontiers in Psychiatry, 15</w:t>
      </w:r>
      <w:r>
        <w:rPr>
          <w:b w:val="0"/>
          <w:i w:val="0"/>
        </w:rPr>
        <w:t>, Article 1338304. https://doi.org/10.3389/fpsyt.2024.1338304</w:t>
      </w:r>
    </w:p>
    <w:p>
      <w:pPr>
        <w:ind w:left="720" w:hanging="720"/>
      </w:pPr>
      <w:r>
        <w:rPr>
          <w:b w:val="0"/>
          <w:i w:val="0"/>
        </w:rPr>
        <w:t xml:space="preserve">Antosz-Rekucka, R., &amp; Prochwicz, K. (2025). Pain Sensitivity and Depressive Triad Mediate the Relationship Between Trauma and Stress, and Symptoms of Premenstrual Disorders. </w:t>
      </w:r>
      <w:r>
        <w:rPr>
          <w:b w:val="0"/>
          <w:i/>
        </w:rPr>
        <w:t>Clinical Psychology &amp; Psychotherapy</w:t>
      </w:r>
      <w:r>
        <w:rPr>
          <w:b w:val="0"/>
          <w:i w:val="0"/>
        </w:rPr>
        <w:t xml:space="preserve">, </w:t>
      </w:r>
      <w:r>
        <w:rPr>
          <w:b w:val="0"/>
          <w:i/>
        </w:rPr>
        <w:t>32</w:t>
      </w:r>
      <w:r>
        <w:rPr>
          <w:b w:val="0"/>
          <w:i w:val="0"/>
        </w:rPr>
        <w:t>(2), 1–10. https://doi.org/10.1002/cpp.70062</w:t>
      </w:r>
    </w:p>
    <w:p>
      <w:pPr>
        <w:ind w:left="720" w:hanging="720"/>
      </w:pPr>
      <w:r>
        <w:rPr>
          <w:b w:val="0"/>
          <w:i w:val="0"/>
        </w:rPr>
        <w:t xml:space="preserve">Arksey, H., &amp; O’Malley, L. (2005). Scoping studies: Towards a methodological framework. </w:t>
      </w:r>
      <w:r>
        <w:rPr>
          <w:b w:val="0"/>
          <w:i/>
        </w:rPr>
        <w:t>International Journal of Social Research Methodology, 8</w:t>
      </w:r>
      <w:r>
        <w:rPr>
          <w:b w:val="0"/>
          <w:i w:val="0"/>
        </w:rPr>
        <w:t>(1), 19–32. https://doi.org/10.1080/1364557032000119616</w:t>
      </w:r>
    </w:p>
    <w:p>
      <w:pPr>
        <w:ind w:left="720" w:hanging="720"/>
      </w:pPr>
      <w:r>
        <w:rPr>
          <w:b w:val="0"/>
          <w:i w:val="0"/>
        </w:rPr>
        <w:t xml:space="preserve">Balık, G., Hocaoğlu, Ç., Kağıtcı, M., &amp; Güvenda Güven, E. S. (2015). Comparison of the effects of PMDD and pre-menstrual syndrome on mood disorders and quality of life: a cross-sectional study. </w:t>
      </w:r>
      <w:r>
        <w:rPr>
          <w:b w:val="0"/>
          <w:i/>
        </w:rPr>
        <w:t>Journal of Obstetrics &amp; Gynaecology</w:t>
      </w:r>
      <w:r>
        <w:rPr>
          <w:b w:val="0"/>
          <w:i w:val="0"/>
        </w:rPr>
        <w:t xml:space="preserve">, </w:t>
      </w:r>
      <w:r>
        <w:rPr>
          <w:b w:val="0"/>
          <w:i/>
        </w:rPr>
        <w:t>35</w:t>
      </w:r>
      <w:r>
        <w:rPr>
          <w:b w:val="0"/>
          <w:i w:val="0"/>
        </w:rPr>
        <w:t>(6), 616–620. https://doi.org/10.3109/01443615.2014.991283</w:t>
      </w:r>
    </w:p>
    <w:p>
      <w:pPr>
        <w:ind w:left="720" w:hanging="720"/>
      </w:pPr>
      <w:r>
        <w:rPr>
          <w:b w:val="0"/>
          <w:i w:val="0"/>
        </w:rPr>
        <w:t xml:space="preserve">Bardan-Inchaustegui, A. C., Colunga-Pedraza, I. J., Elizondo-Benitez, M. F., Gonzalez-Melendez, A., Garza Elizondo, A. K., Garcia-Garcia, F. M., Arvizu-Rivera, R. I., Garcia-Arellano, G., Serna-Peña, G., &amp; Galarza-Delgado, D. A. (2025). Evaluating Premenstrual Dysphoric Disorder in Women With Rheumatoid Arthritis and Healthy Female Subjects. </w:t>
      </w:r>
      <w:r>
        <w:rPr>
          <w:b w:val="0"/>
          <w:i/>
        </w:rPr>
        <w:t>Musculoskeletal Care</w:t>
      </w:r>
      <w:r>
        <w:rPr>
          <w:b w:val="0"/>
          <w:i w:val="0"/>
        </w:rPr>
        <w:t xml:space="preserve">, </w:t>
      </w:r>
      <w:r>
        <w:rPr>
          <w:b w:val="0"/>
          <w:i/>
        </w:rPr>
        <w:t>23</w:t>
      </w:r>
      <w:r>
        <w:rPr>
          <w:b w:val="0"/>
          <w:i w:val="0"/>
        </w:rPr>
        <w:t>(2), 1–6. https://doi.org/10.1002/msc.70106</w:t>
      </w:r>
    </w:p>
    <w:p>
      <w:pPr>
        <w:ind w:left="720" w:hanging="720"/>
      </w:pPr>
      <w:r>
        <w:rPr>
          <w:b w:val="0"/>
          <w:i w:val="0"/>
        </w:rPr>
        <w:t xml:space="preserve">Beddig, T., Reinhard, I., &amp; Kuehner, C. (2019). Stress, mood, and cortisol during daily life in women with Premenstrual Dysphoric Disorder (PMDD). </w:t>
      </w:r>
      <w:r>
        <w:rPr>
          <w:b w:val="0"/>
          <w:i/>
        </w:rPr>
        <w:t>Psychoneuroendocrinology</w:t>
      </w:r>
      <w:r>
        <w:rPr>
          <w:b w:val="0"/>
          <w:i w:val="0"/>
        </w:rPr>
        <w:t xml:space="preserve">, </w:t>
      </w:r>
      <w:r>
        <w:rPr>
          <w:b w:val="0"/>
          <w:i/>
        </w:rPr>
        <w:t>109</w:t>
      </w:r>
      <w:r>
        <w:rPr>
          <w:b w:val="0"/>
          <w:i w:val="0"/>
        </w:rPr>
        <w:t>. https://doi.org/10.1016/j.psyneuen.2019.104372</w:t>
      </w:r>
    </w:p>
    <w:p>
      <w:pPr>
        <w:ind w:left="720" w:hanging="720"/>
      </w:pPr>
      <w:r>
        <w:rPr>
          <w:b w:val="0"/>
          <w:i w:val="0"/>
        </w:rPr>
        <w:t xml:space="preserve">Beddig, T., Reinhard, I., Ebner-Priemer, U., &amp; Kuehner, C. (2020). Reciprocal effects between cognitive and affective states in women with Premenstrual Dysphoric Disorder: An Ecological Momentary Assessment study. </w:t>
      </w:r>
      <w:r>
        <w:rPr>
          <w:b w:val="0"/>
          <w:i/>
        </w:rPr>
        <w:t>Behaviour Research and Therapy</w:t>
      </w:r>
      <w:r>
        <w:rPr>
          <w:b w:val="0"/>
          <w:i w:val="0"/>
        </w:rPr>
        <w:t xml:space="preserve">, </w:t>
      </w:r>
      <w:r>
        <w:rPr>
          <w:b w:val="0"/>
          <w:i/>
        </w:rPr>
        <w:t>131</w:t>
      </w:r>
      <w:r>
        <w:rPr>
          <w:b w:val="0"/>
          <w:i w:val="0"/>
        </w:rPr>
        <w:t>. https://doi.org/10.1016/j.brat.2020.103613</w:t>
      </w:r>
    </w:p>
    <w:p>
      <w:pPr>
        <w:ind w:left="720" w:hanging="720"/>
      </w:pPr>
      <w:r>
        <w:rPr>
          <w:b w:val="0"/>
          <w:i w:val="0"/>
        </w:rPr>
        <w:t xml:space="preserve">Broughton, T., Lambert, E., Wertz, J., &amp; Agnew-Blais, J. (2025). Increased risk of provisional premenstrual dysphoric disorder (pmdd) among females with attention-deficit hyperactivity disorder (adhd): Cross-sectional survey study. </w:t>
      </w:r>
      <w:r>
        <w:rPr>
          <w:b w:val="0"/>
          <w:i/>
        </w:rPr>
        <w:t>The British Journal of Psychiatry</w:t>
      </w:r>
      <w:r>
        <w:rPr>
          <w:b w:val="0"/>
          <w:i w:val="0"/>
        </w:rPr>
        <w:t>. https://doi.org/10.1192/bjp.2025.104</w:t>
      </w:r>
    </w:p>
    <w:p>
      <w:pPr>
        <w:ind w:left="720" w:hanging="720"/>
      </w:pPr>
      <w:r>
        <w:rPr>
          <w:b w:val="0"/>
          <w:i w:val="0"/>
        </w:rPr>
        <w:t xml:space="preserve">Chan, J.-H., Lo, C., Hsu, C.-D., Chiu, C.-C., Huang, M.-C., Liao, S.-C., Chen, I.-M., Chen, W.-Y., Chen, H.-C., &amp; Kuo, P.-H. (2021). Premenstrual dysphoric symptoms and lifetime suicide experiences in patients with mood disorder. </w:t>
      </w:r>
      <w:r>
        <w:rPr>
          <w:b w:val="0"/>
          <w:i/>
        </w:rPr>
        <w:t>General Hospital Psychiatry</w:t>
      </w:r>
      <w:r>
        <w:rPr>
          <w:b w:val="0"/>
          <w:i w:val="0"/>
        </w:rPr>
        <w:t xml:space="preserve">, </w:t>
      </w:r>
      <w:r>
        <w:rPr>
          <w:b w:val="0"/>
          <w:i/>
        </w:rPr>
        <w:t>71</w:t>
      </w:r>
      <w:r>
        <w:rPr>
          <w:b w:val="0"/>
          <w:i w:val="0"/>
        </w:rPr>
        <w:t>, 82–87. https://doi.org/10.1016/j.genhosppsych.2021.04.009</w:t>
      </w:r>
    </w:p>
    <w:p>
      <w:pPr>
        <w:ind w:left="720" w:hanging="720"/>
      </w:pPr>
      <w:r>
        <w:rPr>
          <w:b w:val="0"/>
          <w:i w:val="0"/>
        </w:rPr>
        <w:t xml:space="preserve">Chenji, S., Bueno, C., Ly, M., MacDonald, S., Chartier, R., Lunn, C., &amp; Gordon, J. L. (2025). Patient-identified priorities for a mental health program tailored to premenstrual dysphoric disorder. </w:t>
      </w:r>
      <w:r>
        <w:rPr>
          <w:b w:val="0"/>
          <w:i/>
        </w:rPr>
        <w:t>Women's Health</w:t>
      </w:r>
      <w:r>
        <w:rPr>
          <w:b w:val="0"/>
          <w:i w:val="0"/>
        </w:rPr>
        <w:t xml:space="preserve">, </w:t>
      </w:r>
      <w:r>
        <w:rPr>
          <w:b w:val="0"/>
          <w:i/>
        </w:rPr>
        <w:t>21</w:t>
      </w:r>
      <w:r>
        <w:rPr>
          <w:b w:val="0"/>
          <w:i w:val="0"/>
        </w:rPr>
        <w:t>, 1–7. https://doi.org/10.1177/17455057251331697</w:t>
      </w:r>
    </w:p>
    <w:p>
      <w:pPr>
        <w:ind w:left="720" w:hanging="720"/>
      </w:pPr>
      <w:r>
        <w:rPr>
          <w:b w:val="0"/>
          <w:i w:val="0"/>
        </w:rPr>
        <w:t xml:space="preserve">Craner, J. R., Sigmon, S. T., &amp; Martinson, A. A. (2015). Self-focused attention in response to laboratory stressors among women with premenstrual disorders. </w:t>
      </w:r>
      <w:r>
        <w:rPr>
          <w:b w:val="0"/>
          <w:i/>
        </w:rPr>
        <w:t>Archives of Women's Mental Health</w:t>
      </w:r>
      <w:r>
        <w:rPr>
          <w:b w:val="0"/>
          <w:i w:val="0"/>
        </w:rPr>
        <w:t xml:space="preserve">, </w:t>
      </w:r>
      <w:r>
        <w:rPr>
          <w:b w:val="0"/>
          <w:i/>
        </w:rPr>
        <w:t>18</w:t>
      </w:r>
      <w:r>
        <w:rPr>
          <w:b w:val="0"/>
          <w:i w:val="0"/>
        </w:rPr>
        <w:t>(4), 595–606. https://doi.org/10.1007/s00737-015-0505-4</w:t>
      </w:r>
    </w:p>
    <w:p>
      <w:pPr>
        <w:ind w:left="720" w:hanging="720"/>
      </w:pPr>
      <w:r>
        <w:rPr>
          <w:b w:val="0"/>
          <w:i w:val="0"/>
        </w:rPr>
        <w:t xml:space="preserve">Craner, J. R., Sigmon, S. T., &amp; Young, M. A. (2016). Self-focused attention and symptoms across menstrual cycle phases in women with and without premenstrual disorders. </w:t>
      </w:r>
      <w:r>
        <w:rPr>
          <w:b w:val="0"/>
          <w:i/>
        </w:rPr>
        <w:t>Cognitive Therapy and Research</w:t>
      </w:r>
      <w:r>
        <w:rPr>
          <w:b w:val="0"/>
          <w:i w:val="0"/>
        </w:rPr>
        <w:t xml:space="preserve">, </w:t>
      </w:r>
      <w:r>
        <w:rPr>
          <w:b w:val="0"/>
          <w:i/>
        </w:rPr>
        <w:t>40</w:t>
      </w:r>
      <w:r>
        <w:rPr>
          <w:b w:val="0"/>
          <w:i w:val="0"/>
        </w:rPr>
        <w:t>(1), 118–127. https://doi.org/10.1007/s10608-015-9721-5</w:t>
      </w:r>
    </w:p>
    <w:p>
      <w:pPr>
        <w:ind w:left="720" w:hanging="720"/>
      </w:pPr>
      <w:r>
        <w:rPr>
          <w:b w:val="0"/>
          <w:i w:val="0"/>
        </w:rPr>
        <w:t xml:space="preserve">Craner, J. R., Sigmon, S. T., Martinson, A. A., &amp; McGillicuddy, M. L. (2014). Premenstrual disorders and rumination. </w:t>
      </w:r>
      <w:r>
        <w:rPr>
          <w:b w:val="0"/>
          <w:i/>
        </w:rPr>
        <w:t>Journal of Clinical Psychology</w:t>
      </w:r>
      <w:r>
        <w:rPr>
          <w:b w:val="0"/>
          <w:i w:val="0"/>
        </w:rPr>
        <w:t xml:space="preserve">, </w:t>
      </w:r>
      <w:r>
        <w:rPr>
          <w:b w:val="0"/>
          <w:i/>
        </w:rPr>
        <w:t>70</w:t>
      </w:r>
      <w:r>
        <w:rPr>
          <w:b w:val="0"/>
          <w:i w:val="0"/>
        </w:rPr>
        <w:t>(1), 32–47. https://doi.org/10.1002/jclp.22007</w:t>
      </w:r>
    </w:p>
    <w:p>
      <w:pPr>
        <w:ind w:left="720" w:hanging="720"/>
      </w:pPr>
      <w:r>
        <w:rPr>
          <w:b w:val="0"/>
          <w:i w:val="0"/>
        </w:rPr>
        <w:t xml:space="preserve">Craner, J., Sigmon, S., Martinson, A., &amp; McGillicuddy, M. (2013). Perceptions of health and somatic sensations in women reporting premenstrual syndrome and premenstrual dysphoric disorder. </w:t>
      </w:r>
      <w:r>
        <w:rPr>
          <w:b w:val="0"/>
          <w:i/>
        </w:rPr>
        <w:t>Journal of Nervous and Mental Disease</w:t>
      </w:r>
      <w:r>
        <w:rPr>
          <w:b w:val="0"/>
          <w:i w:val="0"/>
        </w:rPr>
        <w:t xml:space="preserve">, </w:t>
      </w:r>
      <w:r>
        <w:rPr>
          <w:b w:val="0"/>
          <w:i/>
        </w:rPr>
        <w:t>201</w:t>
      </w:r>
      <w:r>
        <w:rPr>
          <w:b w:val="0"/>
          <w:i w:val="0"/>
        </w:rPr>
        <w:t>(9), 780–785. https://doi.org/10.1097/NMD.0b013e3182a213f1</w:t>
      </w:r>
    </w:p>
    <w:p>
      <w:pPr>
        <w:ind w:left="720" w:hanging="720"/>
      </w:pPr>
      <w:r>
        <w:rPr>
          <w:b w:val="0"/>
          <w:i w:val="0"/>
        </w:rPr>
        <w:t xml:space="preserve">de Carvalho, A. B., de Azevedo Cardoso, T., Mondin, T. C., da Silva, R. A., de Mattos Souza, L. D., da Silva Magalhães, P. V., &amp; Jansen, K. (2018). Prevalence and factors associated with Premenstrual Dysphoric Disorder: A community sample of young adult women. </w:t>
      </w:r>
      <w:r>
        <w:rPr>
          <w:b w:val="0"/>
          <w:i/>
        </w:rPr>
        <w:t>Psychiatry Research</w:t>
      </w:r>
      <w:r>
        <w:rPr>
          <w:b w:val="0"/>
          <w:i w:val="0"/>
        </w:rPr>
        <w:t xml:space="preserve">, </w:t>
      </w:r>
      <w:r>
        <w:rPr>
          <w:b w:val="0"/>
          <w:i/>
        </w:rPr>
        <w:t>268</w:t>
      </w:r>
      <w:r>
        <w:rPr>
          <w:b w:val="0"/>
          <w:i w:val="0"/>
        </w:rPr>
        <w:t>, 42–45. https://doi.org/10.1016/j.psychres.2018.06.005</w:t>
      </w:r>
    </w:p>
    <w:p>
      <w:pPr>
        <w:ind w:left="720" w:hanging="720"/>
      </w:pPr>
      <w:r>
        <w:rPr>
          <w:b w:val="0"/>
          <w:i w:val="0"/>
        </w:rPr>
        <w:t xml:space="preserve">Delara, M., Ghofranipour, F., Azadfallah, P., Tavafian, S. S., Kazemnejad, A., &amp; Montazeri, A. (2012). Health related quality of life among adolescents with premenstrual disorders: a cross sectional study. </w:t>
      </w:r>
      <w:r>
        <w:rPr>
          <w:b w:val="0"/>
          <w:i/>
        </w:rPr>
        <w:t>Health &amp; Quality of Life Outcomes</w:t>
      </w:r>
      <w:r>
        <w:rPr>
          <w:b w:val="0"/>
          <w:i w:val="0"/>
        </w:rPr>
        <w:t xml:space="preserve">, </w:t>
      </w:r>
      <w:r>
        <w:rPr>
          <w:b w:val="0"/>
          <w:i/>
        </w:rPr>
        <w:t>10</w:t>
      </w:r>
      <w:r>
        <w:rPr>
          <w:b w:val="0"/>
          <w:i w:val="0"/>
        </w:rPr>
        <w:t>(1), 1–1. https://doi.org/10.1186/1477-7525-10-1</w:t>
      </w:r>
    </w:p>
    <w:p>
      <w:pPr>
        <w:ind w:left="720" w:hanging="720"/>
      </w:pPr>
      <w:r>
        <w:rPr>
          <w:b w:val="0"/>
          <w:i w:val="0"/>
        </w:rPr>
        <w:t xml:space="preserve">Dorani, F., Bijlenga, D., Beekman, A. T. F., van Someren, E. J. W., &amp; Kooij, J. J. S. (2021). Prevalence of hormone-related mood disorder symptoms in women with ADHD. </w:t>
      </w:r>
      <w:r>
        <w:rPr>
          <w:b w:val="0"/>
          <w:i/>
        </w:rPr>
        <w:t>Journal of Psychiatric Research</w:t>
      </w:r>
      <w:r>
        <w:rPr>
          <w:b w:val="0"/>
          <w:i w:val="0"/>
        </w:rPr>
        <w:t xml:space="preserve">, </w:t>
      </w:r>
      <w:r>
        <w:rPr>
          <w:b w:val="0"/>
          <w:i/>
        </w:rPr>
        <w:t>133</w:t>
      </w:r>
      <w:r>
        <w:rPr>
          <w:b w:val="0"/>
          <w:i w:val="0"/>
        </w:rPr>
        <w:t>, 10–15. https://doi.org/10.1016/j.jpsychires.2020.12.005</w:t>
      </w:r>
    </w:p>
    <w:p>
      <w:pPr>
        <w:ind w:left="720" w:hanging="720"/>
      </w:pPr>
      <w:r>
        <w:rPr>
          <w:b w:val="0"/>
          <w:i w:val="0"/>
        </w:rPr>
        <w:t xml:space="preserve">Ducasse, D., Jaussent, I., Olié, E., Guillaume, S., &amp; Lopez-Castroman, J. (2016). Personality traits of suicidality are associated with premenstrual syndrome and premenstrual dysphoric disorder in a suicidal women sample. </w:t>
      </w:r>
      <w:r>
        <w:rPr>
          <w:b w:val="0"/>
          <w:i/>
        </w:rPr>
        <w:t>PLoS ONE</w:t>
      </w:r>
      <w:r>
        <w:rPr>
          <w:b w:val="0"/>
          <w:i w:val="0"/>
        </w:rPr>
        <w:t xml:space="preserve">, </w:t>
      </w:r>
      <w:r>
        <w:rPr>
          <w:b w:val="0"/>
          <w:i/>
        </w:rPr>
        <w:t>11</w:t>
      </w:r>
      <w:r>
        <w:rPr>
          <w:b w:val="0"/>
          <w:i w:val="0"/>
        </w:rPr>
        <w:t>(2). https://doi.org/10.1371/journal.pone.0148653</w:t>
      </w:r>
    </w:p>
    <w:p>
      <w:pPr>
        <w:ind w:left="720" w:hanging="720"/>
      </w:pPr>
      <w:r>
        <w:rPr>
          <w:b w:val="0"/>
          <w:i w:val="0"/>
        </w:rPr>
        <w:t xml:space="preserve">Eisenlohr-Moul, T., Divine, M., Schmalenberger, K., Murphy, L., Buchert, B., Wagner-Schuman, M., Kania, A., Raja, S., Miller, A. B., Barone, J., &amp; Ross, J. (2022). Prevalence of lifetime self-injurious thoughts and behaviors in a global sample of 599 patients reporting prospectively confirmed diagnosis with premenstrual dysphoric disorder. </w:t>
      </w:r>
      <w:r>
        <w:rPr>
          <w:b w:val="0"/>
          <w:i/>
        </w:rPr>
        <w:t>BMC Psychiatry</w:t>
      </w:r>
      <w:r>
        <w:rPr>
          <w:b w:val="0"/>
          <w:i w:val="0"/>
        </w:rPr>
        <w:t xml:space="preserve">, </w:t>
      </w:r>
      <w:r>
        <w:rPr>
          <w:b w:val="0"/>
          <w:i/>
        </w:rPr>
        <w:t>22</w:t>
      </w:r>
      <w:r>
        <w:rPr>
          <w:b w:val="0"/>
          <w:i w:val="0"/>
        </w:rPr>
        <w:t>. https://doi.org/10.1186/s12888-022-03851-0</w:t>
      </w:r>
    </w:p>
    <w:p>
      <w:pPr>
        <w:ind w:left="720" w:hanging="720"/>
      </w:pPr>
      <w:r>
        <w:rPr>
          <w:b w:val="0"/>
          <w:i w:val="0"/>
        </w:rPr>
        <w:t xml:space="preserve">Ekmekçi Ertek, I., Ünler, M., Yay Pençe, A., &amp; Kayalar, A. (2023). Frequency and predictors of premenstrual dysphoric disorder and its association with affective temperaments. </w:t>
      </w:r>
      <w:r>
        <w:rPr>
          <w:b w:val="0"/>
          <w:i/>
        </w:rPr>
        <w:t>Klinik Psikiyatri Dergisi: The Journal of Clinical Psychiatry</w:t>
      </w:r>
      <w:r>
        <w:rPr>
          <w:b w:val="0"/>
          <w:i w:val="0"/>
        </w:rPr>
        <w:t xml:space="preserve">, </w:t>
      </w:r>
      <w:r>
        <w:rPr>
          <w:b w:val="0"/>
          <w:i/>
        </w:rPr>
        <w:t>26</w:t>
      </w:r>
      <w:r>
        <w:rPr>
          <w:b w:val="0"/>
          <w:i w:val="0"/>
        </w:rPr>
        <w:t>(4), 254–263.</w:t>
      </w:r>
    </w:p>
    <w:p>
      <w:pPr>
        <w:ind w:left="720" w:hanging="720"/>
      </w:pPr>
      <w:r>
        <w:rPr>
          <w:b w:val="0"/>
          <w:i w:val="0"/>
        </w:rPr>
        <w:t xml:space="preserve">Eshetu, N., Abebe, H., Fikadu, E., Getaye, S., Jemal, S., Geze, S., Mesfin, Y., Abebe, S., Tsega, D., Tefera, B., &amp; Tesfaye, W. (2022). Premenstrual syndrome, coping mechanisms and associated factors among Wolkite university female regular students, Ethiopia, 2021. </w:t>
      </w:r>
      <w:r>
        <w:rPr>
          <w:b w:val="0"/>
          <w:i/>
        </w:rPr>
        <w:t>BMC Women’s Health, 22</w:t>
      </w:r>
      <w:r>
        <w:rPr>
          <w:b w:val="0"/>
          <w:i w:val="0"/>
        </w:rPr>
        <w:t>(1), Article 88. https://doi.org/10.1186/s12905-022-01658-5</w:t>
      </w:r>
    </w:p>
    <w:p>
      <w:pPr>
        <w:ind w:left="720" w:hanging="720"/>
      </w:pPr>
      <w:r>
        <w:rPr>
          <w:b w:val="0"/>
          <w:i w:val="0"/>
        </w:rPr>
        <w:t xml:space="preserve">Fernández, M. del M., Regueira-Méndez, C., &amp; Takkouche, B. (2019). Psychological factors and premenstrual syndrome: A Spanish case-control study. </w:t>
      </w:r>
      <w:r>
        <w:rPr>
          <w:b w:val="0"/>
          <w:i/>
        </w:rPr>
        <w:t>PLoS ONE</w:t>
      </w:r>
      <w:r>
        <w:rPr>
          <w:b w:val="0"/>
          <w:i w:val="0"/>
        </w:rPr>
        <w:t xml:space="preserve">, </w:t>
      </w:r>
      <w:r>
        <w:rPr>
          <w:b w:val="0"/>
          <w:i/>
        </w:rPr>
        <w:t>14</w:t>
      </w:r>
      <w:r>
        <w:rPr>
          <w:b w:val="0"/>
          <w:i w:val="0"/>
        </w:rPr>
        <w:t>(3). https://doi.org/10.1371/journal.pone.0212557</w:t>
      </w:r>
    </w:p>
    <w:p>
      <w:pPr>
        <w:ind w:left="720" w:hanging="720"/>
      </w:pPr>
      <w:r>
        <w:rPr>
          <w:b w:val="0"/>
          <w:i w:val="0"/>
        </w:rPr>
        <w:t xml:space="preserve">Flores-Ramos, M., Heinze, G., &amp; Silvestri-Tomassoni, R. (2010). Association between depressive symptoms and reproductive variables in a group of perimenopausal women attending a menopause clinic in México City. </w:t>
      </w:r>
      <w:r>
        <w:rPr>
          <w:b w:val="0"/>
          <w:i/>
        </w:rPr>
        <w:t>Archives of Women's Mental Health</w:t>
      </w:r>
      <w:r>
        <w:rPr>
          <w:b w:val="0"/>
          <w:i w:val="0"/>
        </w:rPr>
        <w:t xml:space="preserve">, </w:t>
      </w:r>
      <w:r>
        <w:rPr>
          <w:b w:val="0"/>
          <w:i/>
        </w:rPr>
        <w:t>13</w:t>
      </w:r>
      <w:r>
        <w:rPr>
          <w:b w:val="0"/>
          <w:i w:val="0"/>
        </w:rPr>
        <w:t>(1), 99–105. https://doi.org/10.1007/s00737-009-0107-0</w:t>
      </w:r>
    </w:p>
    <w:p>
      <w:pPr>
        <w:ind w:left="720" w:hanging="720"/>
      </w:pPr>
      <w:r>
        <w:rPr>
          <w:b w:val="0"/>
          <w:i w:val="0"/>
        </w:rPr>
        <w:t xml:space="preserve">Fornaro, M., &amp; Perugi, G. (2010). The impact of premenstrual dysphoric disorder among 92 bipolar patients. </w:t>
      </w:r>
      <w:r>
        <w:rPr>
          <w:b w:val="0"/>
          <w:i/>
        </w:rPr>
        <w:t>European Psychiatry</w:t>
      </w:r>
      <w:r>
        <w:rPr>
          <w:b w:val="0"/>
          <w:i w:val="0"/>
        </w:rPr>
        <w:t xml:space="preserve">, </w:t>
      </w:r>
      <w:r>
        <w:rPr>
          <w:b w:val="0"/>
          <w:i/>
        </w:rPr>
        <w:t>25</w:t>
      </w:r>
      <w:r>
        <w:rPr>
          <w:b w:val="0"/>
          <w:i w:val="0"/>
        </w:rPr>
        <w:t>(8), 450–454. https://doi.org/10.1016/j.eurpsy.2009.11.010</w:t>
      </w:r>
    </w:p>
    <w:p>
      <w:pPr>
        <w:ind w:left="720" w:hanging="720"/>
      </w:pPr>
      <w:r>
        <w:rPr>
          <w:b w:val="0"/>
          <w:i w:val="0"/>
        </w:rPr>
        <w:t xml:space="preserve">Gingnell, M., Comasco, E., Oreland, L., Fredrikson, M., &amp; Sundstrom-Poromaa, I. (2010). Neuroticism-related personality traits are related to symptom severity in patients with premenstrual dysphoric disorder and to the serotonin transporter gene-linked polymorphism 5-HTTPLPR. </w:t>
      </w:r>
      <w:r>
        <w:rPr>
          <w:b w:val="0"/>
          <w:i/>
        </w:rPr>
        <w:t>Archives of Women's Mental Health</w:t>
      </w:r>
      <w:r>
        <w:rPr>
          <w:b w:val="0"/>
          <w:i w:val="0"/>
        </w:rPr>
        <w:t xml:space="preserve">, </w:t>
      </w:r>
      <w:r>
        <w:rPr>
          <w:b w:val="0"/>
          <w:i/>
        </w:rPr>
        <w:t>13</w:t>
      </w:r>
      <w:r>
        <w:rPr>
          <w:b w:val="0"/>
          <w:i w:val="0"/>
        </w:rPr>
        <w:t>(5), 417–423. https://doi.org/10.1007/s00737-010-0164-4</w:t>
      </w:r>
    </w:p>
    <w:p>
      <w:pPr>
        <w:ind w:left="720" w:hanging="720"/>
      </w:pPr>
      <w:r>
        <w:rPr>
          <w:b w:val="0"/>
          <w:i w:val="0"/>
        </w:rPr>
        <w:t xml:space="preserve">Groenman, A. P., Torenvliet, C., Radhoe, T. A., Agelink van Rentergem, J. A., &amp; Geurts, H. M. (2022). Menstruation and menopause in autistic adults: Periods of importance?. </w:t>
      </w:r>
      <w:r>
        <w:rPr>
          <w:b w:val="0"/>
          <w:i/>
        </w:rPr>
        <w:t>Autism</w:t>
      </w:r>
      <w:r>
        <w:rPr>
          <w:b w:val="0"/>
          <w:i w:val="0"/>
        </w:rPr>
        <w:t xml:space="preserve">, </w:t>
      </w:r>
      <w:r>
        <w:rPr>
          <w:b w:val="0"/>
          <w:i/>
        </w:rPr>
        <w:t>26</w:t>
      </w:r>
      <w:r>
        <w:rPr>
          <w:b w:val="0"/>
          <w:i w:val="0"/>
        </w:rPr>
        <w:t>(6), 1563–1572. https://doi.org/10.1177/13623613211059721</w:t>
      </w:r>
    </w:p>
    <w:p>
      <w:pPr>
        <w:ind w:left="720" w:hanging="720"/>
      </w:pPr>
      <w:r>
        <w:rPr>
          <w:b w:val="0"/>
          <w:i w:val="0"/>
        </w:rPr>
        <w:t xml:space="preserve">Habib, S., Bailey, K. A., &amp; Griffin, M. (2025). Off-Label: Lived, Embodied, and Temporal Experiences of Premenstrual Dysphoric Disorder (PMDD) in Canada. </w:t>
      </w:r>
      <w:r>
        <w:rPr>
          <w:b w:val="0"/>
          <w:i/>
        </w:rPr>
        <w:t>Women's Reproductive Health</w:t>
      </w:r>
      <w:r>
        <w:rPr>
          <w:b w:val="0"/>
          <w:i w:val="0"/>
        </w:rPr>
        <w:t xml:space="preserve">, </w:t>
      </w:r>
      <w:r>
        <w:rPr>
          <w:b w:val="0"/>
          <w:i/>
        </w:rPr>
        <w:t>12</w:t>
      </w:r>
      <w:r>
        <w:rPr>
          <w:b w:val="0"/>
          <w:i w:val="0"/>
        </w:rPr>
        <w:t>(2), 310–329. https://doi.org/10.1080/23293691.2024.2436925</w:t>
      </w:r>
    </w:p>
    <w:p>
      <w:pPr>
        <w:ind w:left="720" w:hanging="720"/>
      </w:pPr>
      <w:r>
        <w:rPr>
          <w:b w:val="0"/>
          <w:i w:val="0"/>
        </w:rPr>
        <w:t xml:space="preserve">Hamaideh, S. H., Al-Ashram, S. A., &amp; Al-Modallal, H. (2014). Premenstrual syndrome and premenstrual dysphoric disorder among Jordanian women. </w:t>
      </w:r>
      <w:r>
        <w:rPr>
          <w:b w:val="0"/>
          <w:i/>
        </w:rPr>
        <w:t>Journal of Psychiatric &amp; Mental Health Nursing</w:t>
      </w:r>
      <w:r>
        <w:rPr>
          <w:b w:val="0"/>
          <w:i w:val="0"/>
        </w:rPr>
        <w:t xml:space="preserve">, </w:t>
      </w:r>
      <w:r>
        <w:rPr>
          <w:b w:val="0"/>
          <w:i/>
        </w:rPr>
        <w:t>21</w:t>
      </w:r>
      <w:r>
        <w:rPr>
          <w:b w:val="0"/>
          <w:i w:val="0"/>
        </w:rPr>
        <w:t>(1), 60–68. https://doi.org/10.1111/jpm.12047</w:t>
      </w:r>
    </w:p>
    <w:p>
      <w:pPr>
        <w:ind w:left="720" w:hanging="720"/>
      </w:pPr>
      <w:r>
        <w:rPr>
          <w:b w:val="0"/>
          <w:i w:val="0"/>
        </w:rPr>
        <w:t xml:space="preserve">Hantsoo, L., Sajid, H., Murphy, L., Buchert, B., Barone, J., Raja, S., &amp; Eisenlohr-Moul, T. (2022). Patient Experiences of Health Care Providers in Premenstrual Dysphoric Disorder: Examining the Role of Provider Specialty. </w:t>
      </w:r>
      <w:r>
        <w:rPr>
          <w:b w:val="0"/>
          <w:i/>
        </w:rPr>
        <w:t>Journal of Women's Health</w:t>
      </w:r>
      <w:r>
        <w:rPr>
          <w:b w:val="0"/>
          <w:i w:val="0"/>
        </w:rPr>
        <w:t xml:space="preserve">, </w:t>
      </w:r>
      <w:r>
        <w:rPr>
          <w:b w:val="0"/>
          <w:i/>
        </w:rPr>
        <w:t>31</w:t>
      </w:r>
      <w:r>
        <w:rPr>
          <w:b w:val="0"/>
          <w:i w:val="0"/>
        </w:rPr>
        <w:t>(1), 100–109. https://doi.org/10.1089/jwh.2020.8797</w:t>
      </w:r>
    </w:p>
    <w:p>
      <w:pPr>
        <w:ind w:left="720" w:hanging="720"/>
      </w:pPr>
      <w:r>
        <w:rPr>
          <w:b w:val="0"/>
          <w:i w:val="0"/>
        </w:rPr>
        <w:t xml:space="preserve">Heinemann, L. A. J., Minh, T. D., Filonenko, A., &amp; Uhl-Hochgräber, K. (2010). Explorative evaluation of the impact of premenstrual disorder on daily functioning and quality of life. </w:t>
      </w:r>
      <w:r>
        <w:rPr>
          <w:b w:val="0"/>
          <w:i/>
        </w:rPr>
        <w:t>The Patient: Patient-Centered Outcomes Research</w:t>
      </w:r>
      <w:r>
        <w:rPr>
          <w:b w:val="0"/>
          <w:i w:val="0"/>
        </w:rPr>
        <w:t xml:space="preserve">, </w:t>
      </w:r>
      <w:r>
        <w:rPr>
          <w:b w:val="0"/>
          <w:i/>
        </w:rPr>
        <w:t>3</w:t>
      </w:r>
      <w:r>
        <w:rPr>
          <w:b w:val="0"/>
          <w:i w:val="0"/>
        </w:rPr>
        <w:t>(2), 125–132. https://doi.org/10.2165/11533750-000000000-00000</w:t>
      </w:r>
    </w:p>
    <w:p>
      <w:pPr>
        <w:ind w:left="720" w:hanging="720"/>
      </w:pPr>
      <w:r>
        <w:rPr>
          <w:b w:val="0"/>
          <w:i w:val="0"/>
        </w:rPr>
        <w:t xml:space="preserve">Hodgetts, S., &amp; Kinghorn, A. (2025). Examining the impact of premenstrual dysphoric disorder (PMDD) on life and relationship quality: An online cross-sectional survey study. </w:t>
      </w:r>
      <w:r>
        <w:rPr>
          <w:b w:val="0"/>
          <w:i/>
        </w:rPr>
        <w:t>PLoS ONE</w:t>
      </w:r>
      <w:r>
        <w:rPr>
          <w:b w:val="0"/>
          <w:i w:val="0"/>
        </w:rPr>
        <w:t xml:space="preserve">, </w:t>
      </w:r>
      <w:r>
        <w:rPr>
          <w:b w:val="0"/>
          <w:i/>
        </w:rPr>
        <w:t>20</w:t>
      </w:r>
      <w:r>
        <w:rPr>
          <w:b w:val="0"/>
          <w:i w:val="0"/>
        </w:rPr>
        <w:t>(4). https://doi.org/10.1371/journal.pone.0322314</w:t>
      </w:r>
    </w:p>
    <w:p>
      <w:pPr>
        <w:ind w:left="720" w:hanging="720"/>
      </w:pPr>
      <w:r>
        <w:rPr>
          <w:b w:val="0"/>
          <w:i w:val="0"/>
        </w:rPr>
        <w:t xml:space="preserve">Hong, J. P., Park, S., Wang, H.-R., Chang, S. M., Sohn, J. H., Jeon, H. J., Lee, H. W., Cho, S.-J., Kim, B.-S., Bae, J. N., &amp; Cho, M. J. (2012). Prevalence, correlates, comorbidities, and suicidal tendencies of premenstrual dysphoric disorder in a nationwide sample of Korean women. </w:t>
      </w:r>
      <w:r>
        <w:rPr>
          <w:b w:val="0"/>
          <w:i/>
        </w:rPr>
        <w:t>Social Psychiatry and Psychiatric Epidemiology: The International Journal for Research in Social and Genetic Epidemiology and Mental Health Services</w:t>
      </w:r>
      <w:r>
        <w:rPr>
          <w:b w:val="0"/>
          <w:i w:val="0"/>
        </w:rPr>
        <w:t xml:space="preserve">, </w:t>
      </w:r>
      <w:r>
        <w:rPr>
          <w:b w:val="0"/>
          <w:i/>
        </w:rPr>
        <w:t>47</w:t>
      </w:r>
      <w:r>
        <w:rPr>
          <w:b w:val="0"/>
          <w:i w:val="0"/>
        </w:rPr>
        <w:t>(12), 1937–1945. https://doi.org/10.1007/s00127-012-0509-6</w:t>
      </w:r>
    </w:p>
    <w:p>
      <w:pPr>
        <w:ind w:left="720" w:hanging="720"/>
      </w:pPr>
      <w:r>
        <w:rPr>
          <w:b w:val="0"/>
          <w:i w:val="0"/>
        </w:rPr>
        <w:t xml:space="preserve">Hussein Shehadeh, J., &amp; Hamdan-Mansour, A. M. (2018). Prevalence and association of premenstrual syndrome and premenstrual dysphoric disorder with academic performance among female university students. </w:t>
      </w:r>
      <w:r>
        <w:rPr>
          <w:b w:val="0"/>
          <w:i/>
        </w:rPr>
        <w:t>Perspectives in Psychiatric Care</w:t>
      </w:r>
      <w:r>
        <w:rPr>
          <w:b w:val="0"/>
          <w:i w:val="0"/>
        </w:rPr>
        <w:t xml:space="preserve">, </w:t>
      </w:r>
      <w:r>
        <w:rPr>
          <w:b w:val="0"/>
          <w:i/>
        </w:rPr>
        <w:t>54</w:t>
      </w:r>
      <w:r>
        <w:rPr>
          <w:b w:val="0"/>
          <w:i w:val="0"/>
        </w:rPr>
        <w:t>(2), 176–184. https://doi.org/10.1111/ppc.12219</w:t>
      </w:r>
    </w:p>
    <w:p>
      <w:pPr>
        <w:ind w:left="720" w:hanging="720"/>
      </w:pPr>
      <w:r>
        <w:rPr>
          <w:b w:val="0"/>
          <w:i w:val="0"/>
        </w:rPr>
        <w:t xml:space="preserve">Ihara, N., Sato, Y., Ikeda, S., Matsufuji, H., Kikuchi, K., Suetsugu, Y., Hikita, N., &amp; Morokuma, S. (2024). Impact of premenstrual syndrome and premenstrual dysphoric disorder on maternal antenatal depression. </w:t>
      </w:r>
      <w:r>
        <w:rPr>
          <w:b w:val="0"/>
          <w:i/>
        </w:rPr>
        <w:t>PLoS ONE</w:t>
      </w:r>
      <w:r>
        <w:rPr>
          <w:b w:val="0"/>
          <w:i w:val="0"/>
        </w:rPr>
        <w:t xml:space="preserve">, </w:t>
      </w:r>
      <w:r>
        <w:rPr>
          <w:b w:val="0"/>
          <w:i/>
        </w:rPr>
        <w:t>19</w:t>
      </w:r>
      <w:r>
        <w:rPr>
          <w:b w:val="0"/>
          <w:i w:val="0"/>
        </w:rPr>
        <w:t>(12). https://doi.org/10.1371/journal.pone.0315628</w:t>
      </w:r>
    </w:p>
    <w:p>
      <w:pPr>
        <w:ind w:left="720" w:hanging="720"/>
      </w:pPr>
      <w:r>
        <w:rPr>
          <w:b w:val="0"/>
          <w:i w:val="0"/>
        </w:rPr>
        <w:t xml:space="preserve">Innab, A., Alenezi, A., Khaled, A., Dewan, M., &amp; Mostafa, M. (2025). The Relationship Between Premenstrual Dysphoric Symptoms, Perceived Stress, and Sleep Quality Among Nursing Students: A Cross-Sectional Study. </w:t>
      </w:r>
      <w:r>
        <w:rPr>
          <w:b w:val="0"/>
          <w:i/>
        </w:rPr>
        <w:t>Healthcare</w:t>
      </w:r>
      <w:r>
        <w:rPr>
          <w:b w:val="0"/>
          <w:i w:val="0"/>
        </w:rPr>
        <w:t xml:space="preserve">, </w:t>
      </w:r>
      <w:r>
        <w:rPr>
          <w:b w:val="0"/>
          <w:i/>
        </w:rPr>
        <w:t>13</w:t>
      </w:r>
      <w:r>
        <w:rPr>
          <w:b w:val="0"/>
          <w:i w:val="0"/>
        </w:rPr>
        <w:t>(22), 2862. https://doi.org/10.3390/healthcare13222862</w:t>
      </w:r>
    </w:p>
    <w:p>
      <w:pPr>
        <w:ind w:left="720" w:hanging="720"/>
      </w:pPr>
      <w:r>
        <w:rPr>
          <w:b w:val="0"/>
          <w:i w:val="0"/>
        </w:rPr>
        <w:t xml:space="preserve">Izadi-Mazidi, M., &amp; Amiri, S. (2019). Personality Characteristics in Female Students with Premenstrual Dysphoric Disorder and Premenstrual Syndrome. </w:t>
      </w:r>
      <w:r>
        <w:rPr>
          <w:b w:val="0"/>
          <w:i/>
        </w:rPr>
        <w:t>Advances in Nursing &amp; Midwifery</w:t>
      </w:r>
      <w:r>
        <w:rPr>
          <w:b w:val="0"/>
          <w:i w:val="0"/>
        </w:rPr>
        <w:t xml:space="preserve">, </w:t>
      </w:r>
      <w:r>
        <w:rPr>
          <w:b w:val="0"/>
          <w:i/>
        </w:rPr>
        <w:t>28</w:t>
      </w:r>
      <w:r>
        <w:rPr>
          <w:b w:val="0"/>
          <w:i w:val="0"/>
        </w:rPr>
        <w:t>(3), 40–45. https://doi.org/10.29252/anm-280307</w:t>
      </w:r>
    </w:p>
    <w:p>
      <w:pPr>
        <w:ind w:left="720" w:hanging="720"/>
      </w:pPr>
      <w:r>
        <w:rPr>
          <w:b w:val="0"/>
          <w:i w:val="0"/>
        </w:rPr>
        <w:t xml:space="preserve">Joyce, K. M., Thompson, K., Good, K. P., Tibbo, P. G., O'Leary, M. E., Perrot, T. S., Hudson, A., &amp; Stewart, S. H. (2021). The impact of depressed mood and coping motives on cannabis use quantity across the menstrual cycle in those with and without pre‐menstrual dysphoric disorder. </w:t>
      </w:r>
      <w:r>
        <w:rPr>
          <w:b w:val="0"/>
          <w:i/>
        </w:rPr>
        <w:t>Addiction</w:t>
      </w:r>
      <w:r>
        <w:rPr>
          <w:b w:val="0"/>
          <w:i w:val="0"/>
        </w:rPr>
        <w:t xml:space="preserve">, </w:t>
      </w:r>
      <w:r>
        <w:rPr>
          <w:b w:val="0"/>
          <w:i/>
        </w:rPr>
        <w:t>116</w:t>
      </w:r>
      <w:r>
        <w:rPr>
          <w:b w:val="0"/>
          <w:i w:val="0"/>
        </w:rPr>
        <w:t>(10), 2746–2758. https://doi.org/10.1111/add.15465</w:t>
      </w:r>
    </w:p>
    <w:p>
      <w:pPr>
        <w:ind w:left="720" w:hanging="720"/>
      </w:pPr>
      <w:r>
        <w:rPr>
          <w:b w:val="0"/>
          <w:i w:val="0"/>
        </w:rPr>
        <w:t xml:space="preserve">Kanamori, Y., Sasaki, N., Ito, Y., Iida, M., Watanabe, K., Egawa, M., &amp; Nishi, D. (2025). Association between adverse childhood experiences and menstruation-related symptoms among Japanese female workers: A cross-sectional study. </w:t>
      </w:r>
      <w:r>
        <w:rPr>
          <w:b w:val="0"/>
          <w:i/>
        </w:rPr>
        <w:t>Child Abuse &amp; Neglect</w:t>
      </w:r>
      <w:r>
        <w:rPr>
          <w:b w:val="0"/>
          <w:i w:val="0"/>
        </w:rPr>
        <w:t xml:space="preserve">, </w:t>
      </w:r>
      <w:r>
        <w:rPr>
          <w:b w:val="0"/>
          <w:i/>
        </w:rPr>
        <w:t>161</w:t>
      </w:r>
      <w:r>
        <w:rPr>
          <w:b w:val="0"/>
          <w:i w:val="0"/>
        </w:rPr>
        <w:t>, 1–11. https://doi.org/10.1016/j.chiabu.2025.107251</w:t>
      </w:r>
    </w:p>
    <w:p>
      <w:pPr>
        <w:ind w:left="720" w:hanging="720"/>
      </w:pPr>
      <w:r>
        <w:rPr>
          <w:b w:val="0"/>
          <w:i w:val="0"/>
        </w:rPr>
        <w:t xml:space="preserve">Kappen, M., Raeymakers, S., Weyers, S., &amp; Vanderhasselt, M.-A. (2022). Stress and rumination in Premenstrual Syndrome (PMS): Identifying stable and menstrual cycle-related differences in PMS symptom severity. </w:t>
      </w:r>
      <w:r>
        <w:rPr>
          <w:b w:val="0"/>
          <w:i/>
        </w:rPr>
        <w:t>Journal of Affective Disorders</w:t>
      </w:r>
      <w:r>
        <w:rPr>
          <w:b w:val="0"/>
          <w:i w:val="0"/>
        </w:rPr>
        <w:t xml:space="preserve">, </w:t>
      </w:r>
      <w:r>
        <w:rPr>
          <w:b w:val="0"/>
          <w:i/>
        </w:rPr>
        <w:t>319</w:t>
      </w:r>
      <w:r>
        <w:rPr>
          <w:b w:val="0"/>
          <w:i w:val="0"/>
        </w:rPr>
        <w:t>, 580–588. https://doi.org/10.1016/j.jad.2022.09.052</w:t>
      </w:r>
    </w:p>
    <w:p>
      <w:pPr>
        <w:ind w:left="720" w:hanging="720"/>
      </w:pPr>
      <w:r>
        <w:rPr>
          <w:b w:val="0"/>
          <w:i w:val="0"/>
        </w:rPr>
        <w:t xml:space="preserve">Kibralew, G., Demilew, D., Koye, S., Yitayih, S., Kelebie, M., Melkam, M., Tadesse, G., Fentahun, S., Nakie, G., Wassie, Y. A., &amp; Amare, T. (2024). Prevalence and associated factors of premenstrual dysphoric disorder among high school students in Finote Selam town, northwest Ethiopia. </w:t>
      </w:r>
      <w:r>
        <w:rPr>
          <w:b w:val="0"/>
          <w:i/>
        </w:rPr>
        <w:t>Frontiers in Psychiatry</w:t>
      </w:r>
      <w:r>
        <w:rPr>
          <w:b w:val="0"/>
          <w:i w:val="0"/>
        </w:rPr>
        <w:t xml:space="preserve">, </w:t>
      </w:r>
      <w:r>
        <w:rPr>
          <w:b w:val="0"/>
          <w:i/>
        </w:rPr>
        <w:t>15</w:t>
      </w:r>
      <w:r>
        <w:rPr>
          <w:b w:val="0"/>
          <w:i w:val="0"/>
        </w:rPr>
        <w:t>, Article 1362118. https://doi.org/10.3389/fpsyt.2024.1362118</w:t>
      </w:r>
    </w:p>
    <w:p>
      <w:pPr>
        <w:ind w:left="720" w:hanging="720"/>
      </w:pPr>
      <w:r>
        <w:rPr>
          <w:b w:val="0"/>
          <w:i w:val="0"/>
        </w:rPr>
        <w:t xml:space="preserve">Ko, C.-H., Long, C.-Y., Chen, S.-Y., Chen, I.-J., Huang, T.-H., &amp; Yen, J.-Y. (2013). Depression, irritability, and anxiety in women with premenstrual dysphoric disorder. </w:t>
      </w:r>
      <w:r>
        <w:rPr>
          <w:b w:val="0"/>
          <w:i/>
        </w:rPr>
        <w:t>International Journal of Psychiatry in Medicine</w:t>
      </w:r>
      <w:r>
        <w:rPr>
          <w:b w:val="0"/>
          <w:i w:val="0"/>
        </w:rPr>
        <w:t xml:space="preserve">, </w:t>
      </w:r>
      <w:r>
        <w:rPr>
          <w:b w:val="0"/>
          <w:i/>
        </w:rPr>
        <w:t>46</w:t>
      </w:r>
      <w:r>
        <w:rPr>
          <w:b w:val="0"/>
          <w:i w:val="0"/>
        </w:rPr>
        <w:t>(1), 39–55. https://doi.org/10.2190/PM.46.1.d</w:t>
      </w:r>
    </w:p>
    <w:p>
      <w:pPr>
        <w:ind w:left="720" w:hanging="720"/>
      </w:pPr>
      <w:r>
        <w:rPr>
          <w:b w:val="0"/>
          <w:i w:val="0"/>
        </w:rPr>
        <w:t xml:space="preserve">Ko, C.-H., Long, C.-Y., Yen, C.-F., Chen, C.-S., Wang, P.-W., &amp; Yen, J.-Y. (2014b). Gonadotrophic hormone and reinforcement sensitivity systems in women with premenstrual dysphoric disorder. </w:t>
      </w:r>
      <w:r>
        <w:rPr>
          <w:b w:val="0"/>
          <w:i/>
        </w:rPr>
        <w:t>Psychiatry and Clinical Neurosciences</w:t>
      </w:r>
      <w:r>
        <w:rPr>
          <w:b w:val="0"/>
          <w:i w:val="0"/>
        </w:rPr>
        <w:t xml:space="preserve">, </w:t>
      </w:r>
      <w:r>
        <w:rPr>
          <w:b w:val="0"/>
          <w:i/>
        </w:rPr>
        <w:t>68</w:t>
      </w:r>
      <w:r>
        <w:rPr>
          <w:b w:val="0"/>
          <w:i w:val="0"/>
        </w:rPr>
        <w:t>(11), 785–794. https://doi.org/10.1111/pcn.12189</w:t>
      </w:r>
    </w:p>
    <w:p>
      <w:pPr>
        <w:ind w:left="720" w:hanging="720"/>
      </w:pPr>
      <w:r>
        <w:rPr>
          <w:b w:val="0"/>
          <w:i w:val="0"/>
        </w:rPr>
        <w:t xml:space="preserve">Ko, C.-H., Yen, C.-F., Long, C.-Y., Chen, C.-S., Huang, T.-H., &amp; Yen, J.-Y. (2014a). The Association Between Premenstrual Dysphoric Disorder and Internet Use Disorder. </w:t>
      </w:r>
      <w:r>
        <w:rPr>
          <w:b w:val="0"/>
          <w:i/>
        </w:rPr>
        <w:t>Women &amp; Health</w:t>
      </w:r>
      <w:r>
        <w:rPr>
          <w:b w:val="0"/>
          <w:i w:val="0"/>
        </w:rPr>
        <w:t xml:space="preserve">, </w:t>
      </w:r>
      <w:r>
        <w:rPr>
          <w:b w:val="0"/>
          <w:i/>
        </w:rPr>
        <w:t>54</w:t>
      </w:r>
      <w:r>
        <w:rPr>
          <w:b w:val="0"/>
          <w:i w:val="0"/>
        </w:rPr>
        <w:t>(3), 245–261. https://doi.org/10.1080/03630242.2014.883661</w:t>
      </w:r>
    </w:p>
    <w:p>
      <w:pPr>
        <w:ind w:left="720" w:hanging="720"/>
      </w:pPr>
      <w:r>
        <w:rPr>
          <w:b w:val="0"/>
          <w:i w:val="0"/>
        </w:rPr>
        <w:t xml:space="preserve">Kondo, C., Ihara, H., Ogata, H., Saima, S., &amp; Nakane, E. (2025). Association between premenstrual syndrome or premenstrual dysphoric disorder and presence of ASD or ADHD among adolescent females: a retrospective study. </w:t>
      </w:r>
      <w:r>
        <w:rPr>
          <w:b w:val="0"/>
          <w:i/>
        </w:rPr>
        <w:t>Archives of Women's Mental Health</w:t>
      </w:r>
      <w:r>
        <w:rPr>
          <w:b w:val="0"/>
          <w:i w:val="0"/>
        </w:rPr>
        <w:t xml:space="preserve">, </w:t>
      </w:r>
      <w:r>
        <w:rPr>
          <w:b w:val="0"/>
          <w:i/>
        </w:rPr>
        <w:t>28</w:t>
      </w:r>
      <w:r>
        <w:rPr>
          <w:b w:val="0"/>
          <w:i w:val="0"/>
        </w:rPr>
        <w:t>(6), 1483–1490. https://doi.org/10.1007/s00737-025-01602-0</w:t>
      </w:r>
    </w:p>
    <w:p>
      <w:pPr>
        <w:ind w:left="720" w:hanging="720"/>
      </w:pPr>
      <w:r>
        <w:rPr>
          <w:b w:val="0"/>
          <w:i w:val="0"/>
        </w:rPr>
        <w:t xml:space="preserve">Kulkarni, J., Leyden, O., Gavrilidis, E., Thew, C., &amp; Thomas, E. H. X. (2022). The prevalence of early life trauma in Premenstrual Dysphoric Disorder (PMDD). </w:t>
      </w:r>
      <w:r>
        <w:rPr>
          <w:b w:val="0"/>
          <w:i/>
        </w:rPr>
        <w:t>Psychiatry Research</w:t>
      </w:r>
      <w:r>
        <w:rPr>
          <w:b w:val="0"/>
          <w:i w:val="0"/>
        </w:rPr>
        <w:t xml:space="preserve">, </w:t>
      </w:r>
      <w:r>
        <w:rPr>
          <w:b w:val="0"/>
          <w:i/>
        </w:rPr>
        <w:t>308</w:t>
      </w:r>
      <w:r>
        <w:rPr>
          <w:b w:val="0"/>
          <w:i w:val="0"/>
        </w:rPr>
        <w:t>, 1–7. https://doi.org/10.1016/j.psychres.2021.114381</w:t>
      </w:r>
    </w:p>
    <w:p>
      <w:pPr>
        <w:ind w:left="720" w:hanging="720"/>
      </w:pPr>
      <w:r>
        <w:rPr>
          <w:b w:val="0"/>
          <w:i w:val="0"/>
        </w:rPr>
        <w:t xml:space="preserve">Lee, J. J., Wang, T., Park, J., Lee, B., Lee, H., Li, P. W. C., &amp; Choi, E. P. H. (2024). Menstrual and psychosocial characteristics associated with high-risk of premenstrual dysphoric disorder among university students: A cross-sectional study. </w:t>
      </w:r>
      <w:r>
        <w:rPr>
          <w:b w:val="0"/>
          <w:i/>
        </w:rPr>
        <w:t>Women &amp; Health</w:t>
      </w:r>
      <w:r>
        <w:rPr>
          <w:b w:val="0"/>
          <w:i w:val="0"/>
        </w:rPr>
        <w:t xml:space="preserve">, </w:t>
      </w:r>
      <w:r>
        <w:rPr>
          <w:b w:val="0"/>
          <w:i/>
        </w:rPr>
        <w:t>64</w:t>
      </w:r>
      <w:r>
        <w:rPr>
          <w:b w:val="0"/>
          <w:i w:val="0"/>
        </w:rPr>
        <w:t>(2), 153–164. https://doi.org/10.1080/03630242.2024.2304899</w:t>
      </w:r>
    </w:p>
    <w:p>
      <w:pPr>
        <w:ind w:left="720" w:hanging="720"/>
      </w:pPr>
      <w:r>
        <w:rPr>
          <w:b w:val="0"/>
          <w:i w:val="0"/>
        </w:rPr>
        <w:t xml:space="preserve">Levac, D., Colquhoun, H., &amp; O’Brien, K. K. (2010). Scoping studies: Advancing the methodology. </w:t>
      </w:r>
      <w:r>
        <w:rPr>
          <w:b w:val="0"/>
          <w:i/>
        </w:rPr>
        <w:t>Implementation Science, 5</w:t>
      </w:r>
      <w:r>
        <w:rPr>
          <w:b w:val="0"/>
          <w:i w:val="0"/>
        </w:rPr>
        <w:t>, Article 69. https://doi.org/10.1186/1748-5908-5-69</w:t>
      </w:r>
    </w:p>
    <w:p>
      <w:pPr>
        <w:ind w:left="720" w:hanging="720"/>
      </w:pPr>
      <w:r>
        <w:rPr>
          <w:b w:val="0"/>
          <w:i w:val="0"/>
        </w:rPr>
        <w:t xml:space="preserve">Li, D.-J., Tsai, S.-J., Bai, Y.-M., Su, T.-P., Chen, T.-J., Liang, C.-S., &amp; Chen, M.-H. (2023). Risks of major affective disorders following a diagnosis of premenstrual dysphoric disorder: A nationwide longitudinal study. </w:t>
      </w:r>
      <w:r>
        <w:rPr>
          <w:b w:val="0"/>
          <w:i/>
        </w:rPr>
        <w:t>Asian Journal of Psychiatry</w:t>
      </w:r>
      <w:r>
        <w:rPr>
          <w:b w:val="0"/>
          <w:i w:val="0"/>
        </w:rPr>
        <w:t xml:space="preserve">, </w:t>
      </w:r>
      <w:r>
        <w:rPr>
          <w:b w:val="0"/>
          <w:i/>
        </w:rPr>
        <w:t>79</w:t>
      </w:r>
      <w:r>
        <w:rPr>
          <w:b w:val="0"/>
          <w:i w:val="0"/>
        </w:rPr>
        <w:t>, 1–6. https://doi.org/10.1016/j.ajp.2022.103355</w:t>
      </w:r>
    </w:p>
    <w:p>
      <w:pPr>
        <w:ind w:left="720" w:hanging="720"/>
      </w:pPr>
      <w:r>
        <w:rPr>
          <w:b w:val="0"/>
          <w:i w:val="0"/>
        </w:rPr>
        <w:t xml:space="preserve">Liang, X., Yang, T., Liao, Y., Yang, Z., Lin, Y., Wu, X., Tao, J., &amp; Gan, Z. (2024). The impact of comorbid premenstrual syndrome or premenstrual dysphoric disorder on the clinical characteristics of bipolar disorder among Han Chinese women. </w:t>
      </w:r>
      <w:r>
        <w:rPr>
          <w:b w:val="0"/>
          <w:i/>
        </w:rPr>
        <w:t>Archives of Women's Mental Health</w:t>
      </w:r>
      <w:r>
        <w:rPr>
          <w:b w:val="0"/>
          <w:i w:val="0"/>
        </w:rPr>
        <w:t xml:space="preserve">, </w:t>
      </w:r>
      <w:r>
        <w:rPr>
          <w:b w:val="0"/>
          <w:i/>
        </w:rPr>
        <w:t>27</w:t>
      </w:r>
      <w:r>
        <w:rPr>
          <w:b w:val="0"/>
          <w:i w:val="0"/>
        </w:rPr>
        <w:t>(1), 67–75. https://doi.org/10.1007/s00737-023-01380-7</w:t>
      </w:r>
    </w:p>
    <w:p>
      <w:pPr>
        <w:ind w:left="720" w:hanging="720"/>
      </w:pPr>
      <w:r>
        <w:rPr>
          <w:b w:val="0"/>
          <w:i w:val="0"/>
        </w:rPr>
        <w:t xml:space="preserve">Liao, X., Li, Y., Wan, X., Feng, Y., Jia, Y., Lu, D., &amp; Zhang, W. (2025). Association between different types of school bullying and premenstrual disorders: A cross-sectional analysis of 10,042 girls. </w:t>
      </w:r>
      <w:r>
        <w:rPr>
          <w:b w:val="0"/>
          <w:i/>
        </w:rPr>
        <w:t>Journal of Affective Disorders</w:t>
      </w:r>
      <w:r>
        <w:rPr>
          <w:b w:val="0"/>
          <w:i w:val="0"/>
        </w:rPr>
        <w:t xml:space="preserve">, </w:t>
      </w:r>
      <w:r>
        <w:rPr>
          <w:b w:val="0"/>
          <w:i/>
        </w:rPr>
        <w:t>378</w:t>
      </w:r>
      <w:r>
        <w:rPr>
          <w:b w:val="0"/>
          <w:i w:val="0"/>
        </w:rPr>
        <w:t>, 147–154. https://doi.org/10.1016/j.jad.2025.02.082</w:t>
      </w:r>
    </w:p>
    <w:p>
      <w:pPr>
        <w:ind w:left="720" w:hanging="720"/>
      </w:pPr>
      <w:r>
        <w:rPr>
          <w:b w:val="0"/>
          <w:i w:val="0"/>
        </w:rPr>
        <w:t xml:space="preserve">Maeda, Y., Tabuchi, T., &amp; Fujiwara, T. (2025). Menstruation-Related Diseases, Work Performance, and Oral Contraceptive: Nationwide Online Survey. </w:t>
      </w:r>
      <w:r>
        <w:rPr>
          <w:b w:val="0"/>
          <w:i/>
        </w:rPr>
        <w:t>Journal of Occupational &amp; Environmental Medicine</w:t>
      </w:r>
      <w:r>
        <w:rPr>
          <w:b w:val="0"/>
          <w:i w:val="0"/>
        </w:rPr>
        <w:t xml:space="preserve">, </w:t>
      </w:r>
      <w:r>
        <w:rPr>
          <w:b w:val="0"/>
          <w:i/>
        </w:rPr>
        <w:t>67</w:t>
      </w:r>
      <w:r>
        <w:rPr>
          <w:b w:val="0"/>
          <w:i w:val="0"/>
        </w:rPr>
        <w:t>(12), 1014–1019. https://doi.org/10.1097/JOM.0000000000003533</w:t>
      </w:r>
    </w:p>
    <w:p>
      <w:pPr>
        <w:ind w:left="720" w:hanging="720"/>
      </w:pPr>
      <w:r>
        <w:rPr>
          <w:b w:val="0"/>
          <w:i w:val="0"/>
        </w:rPr>
        <w:t xml:space="preserve">Miller, A., Vo, H., Huo, L., Roca, C., Schmidt, P. J., &amp; Rubinow, D. R. (2010). Estrogen receptor alpha (ESR-1) associations with psychological traits in women with PMDD and controls. </w:t>
      </w:r>
      <w:r>
        <w:rPr>
          <w:b w:val="0"/>
          <w:i/>
        </w:rPr>
        <w:t>Journal of Psychiatric Research</w:t>
      </w:r>
      <w:r>
        <w:rPr>
          <w:b w:val="0"/>
          <w:i w:val="0"/>
        </w:rPr>
        <w:t xml:space="preserve">, </w:t>
      </w:r>
      <w:r>
        <w:rPr>
          <w:b w:val="0"/>
          <w:i/>
        </w:rPr>
        <w:t>44</w:t>
      </w:r>
      <w:r>
        <w:rPr>
          <w:b w:val="0"/>
          <w:i w:val="0"/>
        </w:rPr>
        <w:t>(12), 788–794. https://doi.org/10.1016/j.jpsychires.2010.01.013</w:t>
      </w:r>
    </w:p>
    <w:p>
      <w:pPr>
        <w:ind w:left="720" w:hanging="720"/>
      </w:pPr>
      <w:r>
        <w:rPr>
          <w:b w:val="0"/>
          <w:i w:val="0"/>
        </w:rPr>
        <w:t xml:space="preserve">Naik, S. S., Nidhi, Y., Kumar, K., &amp; Grover, S. (2023). Diagnostic validity of premenstrual dysphoric disorder: Revisited. </w:t>
      </w:r>
      <w:r>
        <w:rPr>
          <w:b w:val="0"/>
          <w:i/>
        </w:rPr>
        <w:t>Frontiers in Global Women’s Health, 4</w:t>
      </w:r>
      <w:r>
        <w:rPr>
          <w:b w:val="0"/>
          <w:i w:val="0"/>
        </w:rPr>
        <w:t>, Article 1181583. https://doi.org/10.3389/fgwh.2023.1181583</w:t>
      </w:r>
    </w:p>
    <w:p>
      <w:pPr>
        <w:ind w:left="720" w:hanging="720"/>
      </w:pPr>
      <w:r>
        <w:rPr>
          <w:b w:val="0"/>
          <w:i w:val="0"/>
        </w:rPr>
        <w:t xml:space="preserve">Nayman, S., Beddig, T., Reinhard, I., &amp; Kuehner, C. (2023). Effects of cognitive emotion regulation strategies on mood and cortisol in daily life in women with premenstrual dysphoric disorder. </w:t>
      </w:r>
      <w:r>
        <w:rPr>
          <w:b w:val="0"/>
          <w:i/>
        </w:rPr>
        <w:t>Psychological Medicine</w:t>
      </w:r>
      <w:r>
        <w:rPr>
          <w:b w:val="0"/>
          <w:i w:val="0"/>
        </w:rPr>
        <w:t xml:space="preserve">, </w:t>
      </w:r>
      <w:r>
        <w:rPr>
          <w:b w:val="0"/>
          <w:i/>
        </w:rPr>
        <w:t>53</w:t>
      </w:r>
      <w:r>
        <w:rPr>
          <w:b w:val="0"/>
          <w:i w:val="0"/>
        </w:rPr>
        <w:t>(11), 5342–5352. https://doi.org/10.1017/S0033291722002495</w:t>
      </w:r>
    </w:p>
    <w:p>
      <w:pPr>
        <w:ind w:left="720" w:hanging="720"/>
      </w:pPr>
      <w:r>
        <w:rPr>
          <w:b w:val="0"/>
          <w:i w:val="0"/>
        </w:rPr>
        <w:t xml:space="preserve">Nayman, S., Schricker, I. F., Reinhard, I., Dreer, J. K., Richter, A. S., &amp; Kuehner, C. (2024). State and trait cognitions differentially affect cyclicity of mood and cortisol in individuals with and without premenstrual dysphoric disorder. </w:t>
      </w:r>
      <w:r>
        <w:rPr>
          <w:b w:val="0"/>
          <w:i/>
        </w:rPr>
        <w:t>Journal of Psychopathology and Clinical Science</w:t>
      </w:r>
      <w:r>
        <w:rPr>
          <w:b w:val="0"/>
          <w:i w:val="0"/>
        </w:rPr>
        <w:t xml:space="preserve">, </w:t>
      </w:r>
      <w:r>
        <w:rPr>
          <w:b w:val="0"/>
          <w:i/>
        </w:rPr>
        <w:t>133</w:t>
      </w:r>
      <w:r>
        <w:rPr>
          <w:b w:val="0"/>
          <w:i w:val="0"/>
        </w:rPr>
        <w:t>(4), 309–320. https://doi.org/10.1037/abn0000894</w:t>
      </w:r>
    </w:p>
    <w:p>
      <w:pPr>
        <w:ind w:left="720" w:hanging="720"/>
      </w:pPr>
      <w:r>
        <w:rPr>
          <w:b w:val="0"/>
          <w:i w:val="0"/>
        </w:rPr>
        <w:t xml:space="preserve">Nobles, C. J., Thomas, J. J., Valentine, S. E., Gerber, M. W., Vaewsorn, A. S., &amp; Marques, L. (2016). Association of premenstrual syndrome and premenstrual dysphoric disorder with bulimia nervosa and binge-eating disorder in a nationally representative epidemiological sample. </w:t>
      </w:r>
      <w:r>
        <w:rPr>
          <w:b w:val="0"/>
          <w:i/>
        </w:rPr>
        <w:t>International Journal of Eating Disorders</w:t>
      </w:r>
      <w:r>
        <w:rPr>
          <w:b w:val="0"/>
          <w:i w:val="0"/>
        </w:rPr>
        <w:t xml:space="preserve">, </w:t>
      </w:r>
      <w:r>
        <w:rPr>
          <w:b w:val="0"/>
          <w:i/>
        </w:rPr>
        <w:t>49</w:t>
      </w:r>
      <w:r>
        <w:rPr>
          <w:b w:val="0"/>
          <w:i w:val="0"/>
        </w:rPr>
        <w:t>(7), 641–650. https://doi.org/10.1002/eat.22539</w:t>
      </w:r>
    </w:p>
    <w:p>
      <w:pPr>
        <w:ind w:left="720" w:hanging="720"/>
      </w:pPr>
      <w:r>
        <w:rPr>
          <w:b w:val="0"/>
          <w:i w:val="0"/>
        </w:rPr>
        <w:t xml:space="preserve">Nowosielski, K., Drosdzol, A., Skrzypulec, V., &amp; Plinta, R. (2010). Sexual satisfaction in females with premenstrual symptoms. </w:t>
      </w:r>
      <w:r>
        <w:rPr>
          <w:b w:val="0"/>
          <w:i/>
        </w:rPr>
        <w:t>Journal of Sexual Medicine</w:t>
      </w:r>
      <w:r>
        <w:rPr>
          <w:b w:val="0"/>
          <w:i w:val="0"/>
        </w:rPr>
        <w:t xml:space="preserve">, </w:t>
      </w:r>
      <w:r>
        <w:rPr>
          <w:b w:val="0"/>
          <w:i/>
        </w:rPr>
        <w:t>7</w:t>
      </w:r>
      <w:r>
        <w:rPr>
          <w:b w:val="0"/>
          <w:i w:val="0"/>
        </w:rPr>
        <w:t>(11), 3589–3597. https://doi.org/10.1111/j.1743-6109.2010.01927.x</w:t>
      </w:r>
    </w:p>
    <w:p>
      <w:pPr>
        <w:ind w:left="720" w:hanging="720"/>
      </w:pPr>
      <w:r>
        <w:rPr>
          <w:b w:val="0"/>
          <w:i w:val="0"/>
        </w:rPr>
        <w:t xml:space="preserve">Omu, F. E., Al-Marzouk, R., Delles, H., Oranye, N. O., &amp; Omu, A. E. (2011). Premenstrual dysphoric disorder: prevalence and effects on nursing students' academic performance and clinical training in Kuwait. </w:t>
      </w:r>
      <w:r>
        <w:rPr>
          <w:b w:val="0"/>
          <w:i/>
        </w:rPr>
        <w:t>Journal of Clinical Nursing</w:t>
      </w:r>
      <w:r>
        <w:rPr>
          <w:b w:val="0"/>
          <w:i w:val="0"/>
        </w:rPr>
        <w:t xml:space="preserve">, </w:t>
      </w:r>
      <w:r>
        <w:rPr>
          <w:b w:val="0"/>
          <w:i/>
        </w:rPr>
        <w:t>20</w:t>
      </w:r>
      <w:r>
        <w:rPr>
          <w:b w:val="0"/>
          <w:i w:val="0"/>
        </w:rPr>
        <w:t>(20-21), 2915–2923. https://doi.org/10.1111/j.1365-2702.2011.03708.x</w:t>
      </w:r>
    </w:p>
    <w:p>
      <w:pPr>
        <w:ind w:left="720" w:hanging="720"/>
      </w:pPr>
      <w:r>
        <w:rPr>
          <w:b w:val="0"/>
          <w:i w:val="0"/>
        </w:rPr>
        <w:t xml:space="preserve">Osborn, E., Wittkowski, A., Brooks, J., Briggs, P. E., &amp; O'Brien, P. M. S. (2020). Women's experiences of receiving a diagnosis of premenstrual dysphoric disorder: a qualitative investigation. </w:t>
      </w:r>
      <w:r>
        <w:rPr>
          <w:b w:val="0"/>
          <w:i/>
        </w:rPr>
        <w:t>BMC Women's Health</w:t>
      </w:r>
      <w:r>
        <w:rPr>
          <w:b w:val="0"/>
          <w:i w:val="0"/>
        </w:rPr>
        <w:t xml:space="preserve">, </w:t>
      </w:r>
      <w:r>
        <w:rPr>
          <w:b w:val="0"/>
          <w:i/>
        </w:rPr>
        <w:t>20</w:t>
      </w:r>
      <w:r>
        <w:rPr>
          <w:b w:val="0"/>
          <w:i w:val="0"/>
        </w:rPr>
        <w:t>(1). https://doi.org/10.1186/s12905-020-01100-8</w:t>
      </w:r>
    </w:p>
    <w:p>
      <w:pPr>
        <w:ind w:left="720" w:hanging="720"/>
      </w:pPr>
      <w:r>
        <w:rPr>
          <w:b w:val="0"/>
          <w:i w:val="0"/>
        </w:rPr>
        <w:t xml:space="preserve">Pekçetin, S., Özdinç, S., Ata, H., Can, H. B., Sermenli Aydın, N., Taş Dürmüş, P., &amp; Çalıyurt, O. (2022). Perceived occupational competence and value among university students with premenstrual dysphoric disorder. </w:t>
      </w:r>
      <w:r>
        <w:rPr>
          <w:b w:val="0"/>
          <w:i/>
        </w:rPr>
        <w:t>British Journal of Occupational Therapy</w:t>
      </w:r>
      <w:r>
        <w:rPr>
          <w:b w:val="0"/>
          <w:i w:val="0"/>
        </w:rPr>
        <w:t xml:space="preserve">, </w:t>
      </w:r>
      <w:r>
        <w:rPr>
          <w:b w:val="0"/>
          <w:i/>
        </w:rPr>
        <w:t>85</w:t>
      </w:r>
      <w:r>
        <w:rPr>
          <w:b w:val="0"/>
          <w:i w:val="0"/>
        </w:rPr>
        <w:t>(5), 327–331. https://doi.org/10.1177/03080226211020991</w:t>
      </w:r>
    </w:p>
    <w:p>
      <w:pPr>
        <w:ind w:left="720" w:hanging="720"/>
      </w:pPr>
      <w:r>
        <w:rPr>
          <w:b w:val="0"/>
          <w:i w:val="0"/>
        </w:rPr>
        <w:t xml:space="preserve">Petersen, N., London, E. D., Liang, L., Ghahremani, D. G., Gerards, R., Goldman, L., &amp; Rapkin, A. J. (2016). Emotion regulation in women with premenstrual dysphoric disorder. </w:t>
      </w:r>
      <w:r>
        <w:rPr>
          <w:b w:val="0"/>
          <w:i/>
        </w:rPr>
        <w:t>Archives of Women's Mental Health</w:t>
      </w:r>
      <w:r>
        <w:rPr>
          <w:b w:val="0"/>
          <w:i w:val="0"/>
        </w:rPr>
        <w:t xml:space="preserve">, </w:t>
      </w:r>
      <w:r>
        <w:rPr>
          <w:b w:val="0"/>
          <w:i/>
        </w:rPr>
        <w:t>19</w:t>
      </w:r>
      <w:r>
        <w:rPr>
          <w:b w:val="0"/>
          <w:i w:val="0"/>
        </w:rPr>
        <w:t>(5), 891–898. https://doi.org/10.1007/s00737-016-0634-4</w:t>
      </w:r>
    </w:p>
    <w:p>
      <w:pPr>
        <w:ind w:left="720" w:hanging="720"/>
      </w:pPr>
      <w:r>
        <w:rPr>
          <w:b w:val="0"/>
          <w:i w:val="0"/>
        </w:rPr>
        <w:t xml:space="preserve">Pilver, C. E., Desai, R., Kasl, S., &amp; Levy, B. R. (2011). Lifetime Discrimination Associated with Greater Likelihood of Premenstrual Dysphoric Disorder. </w:t>
      </w:r>
      <w:r>
        <w:rPr>
          <w:b w:val="0"/>
          <w:i/>
        </w:rPr>
        <w:t>Journal of Women's Health</w:t>
      </w:r>
      <w:r>
        <w:rPr>
          <w:b w:val="0"/>
          <w:i w:val="0"/>
        </w:rPr>
        <w:t xml:space="preserve">, </w:t>
      </w:r>
      <w:r>
        <w:rPr>
          <w:b w:val="0"/>
          <w:i/>
        </w:rPr>
        <w:t>20</w:t>
      </w:r>
      <w:r>
        <w:rPr>
          <w:b w:val="0"/>
          <w:i w:val="0"/>
        </w:rPr>
        <w:t>(6), 923–931. https://doi.org/10.1089/jwh.2010.2456</w:t>
      </w:r>
    </w:p>
    <w:p>
      <w:pPr>
        <w:ind w:left="720" w:hanging="720"/>
      </w:pPr>
      <w:r>
        <w:rPr>
          <w:b w:val="0"/>
          <w:i w:val="0"/>
        </w:rPr>
        <w:t xml:space="preserve">Pilver, C. E., Libby, D. J., &amp; Hoff, R. A. (2013). Premenstrual dysphoric disorder as a correlate of suicidal ideation, plans, and attempts among a nationally representative sample. </w:t>
      </w:r>
      <w:r>
        <w:rPr>
          <w:b w:val="0"/>
          <w:i/>
        </w:rPr>
        <w:t>Social Psychiatry and Psychiatric Epidemiology: The International Journal for Research in Social and Genetic Epidemiology and Mental Health Services</w:t>
      </w:r>
      <w:r>
        <w:rPr>
          <w:b w:val="0"/>
          <w:i w:val="0"/>
        </w:rPr>
        <w:t xml:space="preserve">, </w:t>
      </w:r>
      <w:r>
        <w:rPr>
          <w:b w:val="0"/>
          <w:i/>
        </w:rPr>
        <w:t>48</w:t>
      </w:r>
      <w:r>
        <w:rPr>
          <w:b w:val="0"/>
          <w:i w:val="0"/>
        </w:rPr>
        <w:t>(3), 437–446. https://doi.org/10.1007/s00127-012-0548-z</w:t>
      </w:r>
    </w:p>
    <w:p>
      <w:pPr>
        <w:ind w:left="720" w:hanging="720"/>
      </w:pPr>
      <w:r>
        <w:rPr>
          <w:b w:val="0"/>
          <w:i w:val="0"/>
        </w:rPr>
        <w:t xml:space="preserve">Reilly, T. J., Patel, S., Unachukwu, I. C., Knox, C.-L., Wilson, C. A., Craig, M. C., Schmalenberger, K. M., Eisenlohr-Moul, T. A., &amp; Cullen, A. E. (2024). The prevalence of premenstrual dysphoric disorder: Systematic review and meta-analysis. </w:t>
      </w:r>
      <w:r>
        <w:rPr>
          <w:b w:val="0"/>
          <w:i/>
        </w:rPr>
        <w:t>Journal of Affective Disorders, 349</w:t>
      </w:r>
      <w:r>
        <w:rPr>
          <w:b w:val="0"/>
          <w:i w:val="0"/>
        </w:rPr>
        <w:t>, 534–540. https://doi.org/10.1016/j.jad.2024.01.066</w:t>
      </w:r>
    </w:p>
    <w:p>
      <w:pPr>
        <w:ind w:left="720" w:hanging="720"/>
      </w:pPr>
      <w:r>
        <w:rPr>
          <w:b w:val="0"/>
          <w:i w:val="0"/>
        </w:rPr>
        <w:t xml:space="preserve">Reuveni, I., Dan, R., Segman, R., Evron, R., Laufer, S., Goelman, G., Bonne, O., &amp; Canetti, L. (2016). Emotional regulation difficulties and premenstrual symptoms among Israeli students. </w:t>
      </w:r>
      <w:r>
        <w:rPr>
          <w:b w:val="0"/>
          <w:i/>
        </w:rPr>
        <w:t>Archives of Women's Mental Health</w:t>
      </w:r>
      <w:r>
        <w:rPr>
          <w:b w:val="0"/>
          <w:i w:val="0"/>
        </w:rPr>
        <w:t xml:space="preserve">, </w:t>
      </w:r>
      <w:r>
        <w:rPr>
          <w:b w:val="0"/>
          <w:i/>
        </w:rPr>
        <w:t>19</w:t>
      </w:r>
      <w:r>
        <w:rPr>
          <w:b w:val="0"/>
          <w:i w:val="0"/>
        </w:rPr>
        <w:t>(6), 1063–1070. https://doi.org/10.1007/s00737-016-0656-y</w:t>
      </w:r>
    </w:p>
    <w:p>
      <w:pPr>
        <w:ind w:left="720" w:hanging="720"/>
      </w:pPr>
      <w:r>
        <w:rPr>
          <w:b w:val="0"/>
          <w:i w:val="0"/>
        </w:rPr>
        <w:t xml:space="preserve">Rezaei, &amp; Sajjad (2019). Aggression in Iranian adolescent girls: Role of depressive mood, dysphoric disorder and premenstrual syndrome. </w:t>
      </w:r>
      <w:r>
        <w:rPr>
          <w:b w:val="0"/>
          <w:i/>
        </w:rPr>
        <w:t>Journal of Aggression, Conflict and Peace Research</w:t>
      </w:r>
      <w:r>
        <w:rPr>
          <w:b w:val="0"/>
          <w:i w:val="0"/>
        </w:rPr>
        <w:t xml:space="preserve">, </w:t>
      </w:r>
      <w:r>
        <w:rPr>
          <w:b w:val="0"/>
          <w:i/>
        </w:rPr>
        <w:t>11</w:t>
      </w:r>
      <w:r>
        <w:rPr>
          <w:b w:val="0"/>
          <w:i w:val="0"/>
        </w:rPr>
        <w:t>(4), 281–291. https://doi.org/10.1108/JACPR-06-2019-0422</w:t>
      </w:r>
    </w:p>
    <w:p>
      <w:pPr>
        <w:ind w:left="720" w:hanging="720"/>
      </w:pPr>
      <w:r>
        <w:rPr>
          <w:b w:val="0"/>
          <w:i w:val="0"/>
        </w:rPr>
        <w:t xml:space="preserve">Roy, N., Imran, S. M., Siddiky, A., Sultana, S., Mahmud, S., Rashid, R., ALmerab, M. M., &amp; Mamun, M. A. (2025). Premenstrual dysphoric disorder and its co-existence with depression, anxiety, and stress as risk factors for suicidal ideation and suicide attempts among university students in Bangladesh: A single-site survey. </w:t>
      </w:r>
      <w:r>
        <w:rPr>
          <w:b w:val="0"/>
          <w:i/>
        </w:rPr>
        <w:t>PLoS ONE</w:t>
      </w:r>
      <w:r>
        <w:rPr>
          <w:b w:val="0"/>
          <w:i w:val="0"/>
        </w:rPr>
        <w:t xml:space="preserve">, </w:t>
      </w:r>
      <w:r>
        <w:rPr>
          <w:b w:val="0"/>
          <w:i/>
        </w:rPr>
        <w:t>20</w:t>
      </w:r>
      <w:r>
        <w:rPr>
          <w:b w:val="0"/>
          <w:i w:val="0"/>
        </w:rPr>
        <w:t>(4). https://doi.org/10.1371/journal.pone.0321097</w:t>
      </w:r>
    </w:p>
    <w:p>
      <w:pPr>
        <w:ind w:left="720" w:hanging="720"/>
      </w:pPr>
      <w:r>
        <w:rPr>
          <w:b w:val="0"/>
          <w:i w:val="0"/>
        </w:rPr>
        <w:t xml:space="preserve">Schleimann-Jensen, E., Sundström-Poromaa, I., Meltzer-Brody, S., Eisenlohr-Moul, T. A., Papadopoulos, F. C., Skalkidou, A., &amp; Comasco, E. (2025). Trajectories and dimensional phenotypes of depressive symptoms throughout pregnancy and postpartum in relation to prior premenstrual symptoms. </w:t>
      </w:r>
      <w:r>
        <w:rPr>
          <w:b w:val="0"/>
          <w:i/>
        </w:rPr>
        <w:t>The British Journal of Psychiatry</w:t>
      </w:r>
      <w:r>
        <w:rPr>
          <w:b w:val="0"/>
          <w:i w:val="0"/>
        </w:rPr>
        <w:t>. https://doi.org/10.1192/bjp.2025.38</w:t>
      </w:r>
    </w:p>
    <w:p>
      <w:pPr>
        <w:ind w:left="720" w:hanging="720"/>
      </w:pPr>
      <w:r>
        <w:rPr>
          <w:b w:val="0"/>
          <w:i w:val="0"/>
        </w:rPr>
        <w:t xml:space="preserve">Schmalenberger, K. M., Eisenlohr-Moul, T. A., Surana, P., Rubinow, D. R., &amp; Girdler, S. S. (2017). Predictors of premenstrual impairment among women undergoing prospective assessment for premenstrual dysphoric disorder: A cycle-level analysis. </w:t>
      </w:r>
      <w:r>
        <w:rPr>
          <w:b w:val="0"/>
          <w:i/>
        </w:rPr>
        <w:t>Psychological Medicine</w:t>
      </w:r>
      <w:r>
        <w:rPr>
          <w:b w:val="0"/>
          <w:i w:val="0"/>
        </w:rPr>
        <w:t xml:space="preserve">, </w:t>
      </w:r>
      <w:r>
        <w:rPr>
          <w:b w:val="0"/>
          <w:i/>
        </w:rPr>
        <w:t>47</w:t>
      </w:r>
      <w:r>
        <w:rPr>
          <w:b w:val="0"/>
          <w:i w:val="0"/>
        </w:rPr>
        <w:t>(9), 1585–1596. https://doi.org/10.1017/S0033291716003524</w:t>
      </w:r>
    </w:p>
    <w:p>
      <w:pPr>
        <w:ind w:left="720" w:hanging="720"/>
      </w:pPr>
      <w:r>
        <w:rPr>
          <w:b w:val="0"/>
          <w:i w:val="0"/>
        </w:rPr>
        <w:t xml:space="preserve">Segon, T., Dule, A., Alemayehu, D., Aderaw, M., Melkam, M., Tinsae, T., Nakie, G., Kibralew, G., Tadesse, G., Wondie, T., Seid, E., Kassa, M., Kassie, G. M., Belayneh, Z., Ali, Y., &amp; Molla, A. (2025). Suicidal ideation, attempts and help-seeking behaviors among adolescent girls in Southwest Ethiopia: A community-based cross-sectional study. </w:t>
      </w:r>
      <w:r>
        <w:rPr>
          <w:b w:val="0"/>
          <w:i/>
        </w:rPr>
        <w:t>Child and Adolescent Psychiatry and Mental Health, 19</w:t>
      </w:r>
      <w:r>
        <w:rPr>
          <w:b w:val="0"/>
          <w:i w:val="0"/>
        </w:rPr>
        <w:t>(1), Article 146. https://doi.org/10.1186/s13034-025-00996-0</w:t>
      </w:r>
    </w:p>
    <w:p>
      <w:pPr>
        <w:ind w:left="720" w:hanging="720"/>
      </w:pPr>
      <w:r>
        <w:rPr>
          <w:b w:val="0"/>
          <w:i w:val="0"/>
        </w:rPr>
        <w:t xml:space="preserve">Senín-Calderón, C., Scurtu, M. C., Ceballos-Munuera, C., Perona-Garcelán, S., &amp; Rodríguez-Testal, J. F. (2023). Cognitive vulnerability to depression or overestimation of premenstrual dysphoric symptoms?. </w:t>
      </w:r>
      <w:r>
        <w:rPr>
          <w:b w:val="0"/>
          <w:i/>
        </w:rPr>
        <w:t>Behavioral Psychology</w:t>
      </w:r>
      <w:r>
        <w:rPr>
          <w:b w:val="0"/>
          <w:i w:val="0"/>
        </w:rPr>
        <w:t xml:space="preserve">, </w:t>
      </w:r>
      <w:r>
        <w:rPr>
          <w:b w:val="0"/>
          <w:i/>
        </w:rPr>
        <w:t>31</w:t>
      </w:r>
      <w:r>
        <w:rPr>
          <w:b w:val="0"/>
          <w:i w:val="0"/>
        </w:rPr>
        <w:t>(3), 479–500.</w:t>
      </w:r>
    </w:p>
    <w:p>
      <w:pPr>
        <w:ind w:left="720" w:hanging="720"/>
      </w:pPr>
      <w:r>
        <w:rPr>
          <w:b w:val="0"/>
          <w:i w:val="0"/>
        </w:rPr>
        <w:t xml:space="preserve">Shams-Alizadeh, N., Maroufi, A., Rashidi, M., Roshani, D., Farhadifar, F., &amp; Khazaie, H. (2018). Premenstrual dysphoric disorder and suicide attempts as a correlation among women in reproductive age. </w:t>
      </w:r>
      <w:r>
        <w:rPr>
          <w:b w:val="0"/>
          <w:i/>
        </w:rPr>
        <w:t>Asian Journal of Psychiatry</w:t>
      </w:r>
      <w:r>
        <w:rPr>
          <w:b w:val="0"/>
          <w:i w:val="0"/>
        </w:rPr>
        <w:t xml:space="preserve">, </w:t>
      </w:r>
      <w:r>
        <w:rPr>
          <w:b w:val="0"/>
          <w:i/>
        </w:rPr>
        <w:t>31</w:t>
      </w:r>
      <w:r>
        <w:rPr>
          <w:b w:val="0"/>
          <w:i w:val="0"/>
        </w:rPr>
        <w:t>, 63–66. https://doi.org/10.1016/j.ajp.2018.01.003</w:t>
      </w:r>
    </w:p>
    <w:p>
      <w:pPr>
        <w:ind w:left="720" w:hanging="720"/>
      </w:pPr>
      <w:r>
        <w:rPr>
          <w:b w:val="0"/>
          <w:i w:val="0"/>
        </w:rPr>
        <w:t xml:space="preserve">Śliwerski, A., &amp; Bielawska-Batorowicz, E. (2019). Negative cognitive styles as risk factors for the occurrence of PMS and PMDD. </w:t>
      </w:r>
      <w:r>
        <w:rPr>
          <w:b w:val="0"/>
          <w:i/>
        </w:rPr>
        <w:t>Journal of Reproductive &amp; Infant Psychology</w:t>
      </w:r>
      <w:r>
        <w:rPr>
          <w:b w:val="0"/>
          <w:i w:val="0"/>
        </w:rPr>
        <w:t xml:space="preserve">, </w:t>
      </w:r>
      <w:r>
        <w:rPr>
          <w:b w:val="0"/>
          <w:i/>
        </w:rPr>
        <w:t>37</w:t>
      </w:r>
      <w:r>
        <w:rPr>
          <w:b w:val="0"/>
          <w:i w:val="0"/>
        </w:rPr>
        <w:t>(3), 322–337. https://doi.org/10.1080/02646838.2018.1543943</w:t>
      </w:r>
    </w:p>
    <w:p>
      <w:pPr>
        <w:ind w:left="720" w:hanging="720"/>
      </w:pPr>
      <w:r>
        <w:rPr>
          <w:b w:val="0"/>
          <w:i w:val="0"/>
        </w:rPr>
        <w:t xml:space="preserve">Slyepchenko, A., Frey, B. N., Lafer, B., Nierenberg, A. A., Sachs, G. S., &amp; Dias, R. S. (2017). Increased illness burden in women with comorbid bipolar and premenstrual dysphoric disorder: Data from 1 099 women from STEP-BD study. </w:t>
      </w:r>
      <w:r>
        <w:rPr>
          <w:b w:val="0"/>
          <w:i/>
        </w:rPr>
        <w:t>Acta Psychiatrica Scandinavica</w:t>
      </w:r>
      <w:r>
        <w:rPr>
          <w:b w:val="0"/>
          <w:i w:val="0"/>
        </w:rPr>
        <w:t xml:space="preserve">, </w:t>
      </w:r>
      <w:r>
        <w:rPr>
          <w:b w:val="0"/>
          <w:i/>
        </w:rPr>
        <w:t>136</w:t>
      </w:r>
      <w:r>
        <w:rPr>
          <w:b w:val="0"/>
          <w:i w:val="0"/>
        </w:rPr>
        <w:t>(5), 473–482. https://doi.org/10.1111/acps.12797</w:t>
      </w:r>
    </w:p>
    <w:p>
      <w:pPr>
        <w:ind w:left="720" w:hanging="720"/>
      </w:pPr>
      <w:r>
        <w:rPr>
          <w:b w:val="0"/>
          <w:i w:val="0"/>
        </w:rPr>
        <w:t xml:space="preserve">Takeda, T., Koga, S., &amp; Yaegashi, N. (2010). Prevalence of premenstrual syndrome and premenstrual dysphoric disorder in Japanese high school students. </w:t>
      </w:r>
      <w:r>
        <w:rPr>
          <w:b w:val="0"/>
          <w:i/>
        </w:rPr>
        <w:t>Archives of Women's Mental Health</w:t>
      </w:r>
      <w:r>
        <w:rPr>
          <w:b w:val="0"/>
          <w:i w:val="0"/>
        </w:rPr>
        <w:t xml:space="preserve">, </w:t>
      </w:r>
      <w:r>
        <w:rPr>
          <w:b w:val="0"/>
          <w:i/>
        </w:rPr>
        <w:t>13</w:t>
      </w:r>
      <w:r>
        <w:rPr>
          <w:b w:val="0"/>
          <w:i w:val="0"/>
        </w:rPr>
        <w:t>(6), 535–537. https://doi.org/10.1007/s00737-010-0181-3</w:t>
      </w:r>
    </w:p>
    <w:p>
      <w:pPr>
        <w:ind w:left="720" w:hanging="720"/>
      </w:pPr>
      <w:r>
        <w:rPr>
          <w:b w:val="0"/>
          <w:i w:val="0"/>
        </w:rPr>
        <w:t xml:space="preserve">Torabi, R., Nasiri, F., &amp; Rahmani, F. (2025). Menstrual Phase Associations With Transdiagnostic Psychological Factors: Evidence From Women With Premenstrual Dysphoric Disorder and Premenstrual Syndrome. </w:t>
      </w:r>
      <w:r>
        <w:rPr>
          <w:b w:val="0"/>
          <w:i/>
        </w:rPr>
        <w:t>Women's Reproductive Health</w:t>
      </w:r>
      <w:r>
        <w:rPr>
          <w:b w:val="0"/>
          <w:i w:val="0"/>
        </w:rPr>
        <w:t xml:space="preserve">, </w:t>
      </w:r>
      <w:r>
        <w:rPr>
          <w:b w:val="0"/>
          <w:i/>
        </w:rPr>
        <w:t>12</w:t>
      </w:r>
      <w:r>
        <w:rPr>
          <w:b w:val="0"/>
          <w:i w:val="0"/>
        </w:rPr>
        <w:t>(4), 1103–1114. https://doi.org/10.1080/23293691.2025.2542314</w:t>
      </w:r>
    </w:p>
    <w:p>
      <w:pPr>
        <w:ind w:left="720" w:hanging="720"/>
      </w:pPr>
      <w:r>
        <w:rPr>
          <w:b w:val="0"/>
          <w:i w:val="0"/>
        </w:rPr>
        <w:t xml:space="preserve">Tricco, A. C., Lillie, E., Zarin, W., O’Brien, K. K., Colquhoun, H., Levac, D., Moher, D., Peters, M. D. J., Horsley, T., Weeks, L., Hempel, S., Akl, E. A., Chang, C., McGowan, J., Stewart, L., Hartling, L., Aldcroft, A., Wilson, M. G., Garritty, C., . . . Straus, S. E. (2018). PRISMA extension for scoping reviews (PRISMA-ScR): Checklist and explanation. </w:t>
      </w:r>
      <w:r>
        <w:rPr>
          <w:b w:val="0"/>
          <w:i/>
        </w:rPr>
        <w:t>Annals of Internal Medicine, 169</w:t>
      </w:r>
      <w:r>
        <w:rPr>
          <w:b w:val="0"/>
          <w:i w:val="0"/>
        </w:rPr>
        <w:t>(7), 467–473. https://doi.org/10.7326/M18-0850</w:t>
      </w:r>
    </w:p>
    <w:p>
      <w:pPr>
        <w:ind w:left="720" w:hanging="720"/>
      </w:pPr>
      <w:r>
        <w:rPr>
          <w:b w:val="0"/>
          <w:i w:val="0"/>
        </w:rPr>
        <w:t xml:space="preserve">Tschudin, S., Bertea, P. C., &amp; Zemp, E. (2010). Prevalence and predictors of premenstrual syndrome and premenstrual dysphoric disorder in a population-based sample. </w:t>
      </w:r>
      <w:r>
        <w:rPr>
          <w:b w:val="0"/>
          <w:i/>
        </w:rPr>
        <w:t>Archives of Women's Mental Health</w:t>
      </w:r>
      <w:r>
        <w:rPr>
          <w:b w:val="0"/>
          <w:i w:val="0"/>
        </w:rPr>
        <w:t xml:space="preserve">, </w:t>
      </w:r>
      <w:r>
        <w:rPr>
          <w:b w:val="0"/>
          <w:i/>
        </w:rPr>
        <w:t>13</w:t>
      </w:r>
      <w:r>
        <w:rPr>
          <w:b w:val="0"/>
          <w:i w:val="0"/>
        </w:rPr>
        <w:t>(6), 485–494. https://doi.org/10.1007/s00737-010-0165-3</w:t>
      </w:r>
    </w:p>
    <w:p>
      <w:pPr>
        <w:ind w:left="720" w:hanging="720"/>
      </w:pPr>
      <w:r>
        <w:rPr>
          <w:b w:val="0"/>
          <w:i w:val="0"/>
        </w:rPr>
        <w:t xml:space="preserve">University of Oxford. (2024, January 30). </w:t>
      </w:r>
      <w:r>
        <w:rPr>
          <w:b w:val="0"/>
          <w:i/>
        </w:rPr>
        <w:t>New data shows prevalence of premenstrual dysphoric disorder (PMDD)</w:t>
      </w:r>
      <w:r>
        <w:rPr>
          <w:b w:val="0"/>
          <w:i w:val="0"/>
        </w:rPr>
        <w:t>. https://www.ox.ac.uk/news/2024-01-30-new-data-shows-prevalence-premenstrual-dysphoric-disorder</w:t>
      </w:r>
    </w:p>
    <w:p>
      <w:pPr>
        <w:ind w:left="720" w:hanging="720"/>
      </w:pPr>
      <w:r>
        <w:rPr>
          <w:b w:val="0"/>
          <w:i w:val="0"/>
        </w:rPr>
        <w:t xml:space="preserve">Wang, Q., Keijser, R., Chen, Y., Yu, H., Hysaj, E., Hägg, S., Valdimarsdóttir, U. A., Bertone-Johnson, E., Aleknaviciute, J., &amp; Lu, D. (2025). Premenstrual Disorders and Quality of Life in Sweden. </w:t>
      </w:r>
      <w:r>
        <w:rPr>
          <w:b w:val="0"/>
          <w:i/>
        </w:rPr>
        <w:t>JAMA Network Open</w:t>
      </w:r>
      <w:r>
        <w:rPr>
          <w:b w:val="0"/>
          <w:i w:val="0"/>
        </w:rPr>
        <w:t xml:space="preserve">, </w:t>
      </w:r>
      <w:r>
        <w:rPr>
          <w:b w:val="0"/>
          <w:i/>
        </w:rPr>
        <w:t>8</w:t>
      </w:r>
      <w:r>
        <w:rPr>
          <w:b w:val="0"/>
          <w:i w:val="0"/>
        </w:rPr>
        <w:t>(9), e2533823–e2533823. https://doi.org/10.1001/jamanetworkopen.2025.33823</w:t>
      </w:r>
    </w:p>
    <w:p>
      <w:pPr>
        <w:ind w:left="720" w:hanging="720"/>
      </w:pPr>
      <w:r>
        <w:rPr>
          <w:b w:val="0"/>
          <w:i w:val="0"/>
        </w:rPr>
        <w:t xml:space="preserve">Westermark, V., Yang, Y., Bertone-Johnson, E., Bränn, E., Opatowski, M., Pedersen, N., Valdimarsdóttir, U. A., &amp; Lu, D. (2024). Association between severe premenstrual disorders and change of romantic relationship: A prospective cohort of 15,606 women in Sweden. </w:t>
      </w:r>
      <w:r>
        <w:rPr>
          <w:b w:val="0"/>
          <w:i/>
        </w:rPr>
        <w:t>Journal of Affective Disorders</w:t>
      </w:r>
      <w:r>
        <w:rPr>
          <w:b w:val="0"/>
          <w:i w:val="0"/>
        </w:rPr>
        <w:t xml:space="preserve">, </w:t>
      </w:r>
      <w:r>
        <w:rPr>
          <w:b w:val="0"/>
          <w:i/>
        </w:rPr>
        <w:t>364</w:t>
      </w:r>
      <w:r>
        <w:rPr>
          <w:b w:val="0"/>
          <w:i w:val="0"/>
        </w:rPr>
        <w:t>, 132–138. https://doi.org/10.1016/j.jad.2024.08.032</w:t>
      </w:r>
    </w:p>
    <w:p>
      <w:pPr>
        <w:ind w:left="720" w:hanging="720"/>
      </w:pPr>
      <w:r>
        <w:rPr>
          <w:b w:val="0"/>
          <w:i w:val="0"/>
        </w:rPr>
        <w:t xml:space="preserve">Wikman, A., Sacher, J., Bixo, M., Hirschberg, A. L., Kopp Kallner, H., Epperson, C. N., Comasco, E., &amp; Sundström Poromaa, I. (2022). Prevalence and correlates of current suicidal ideation in women with premenstrual dysphoric disorder. </w:t>
      </w:r>
      <w:r>
        <w:rPr>
          <w:b w:val="0"/>
          <w:i/>
        </w:rPr>
        <w:t>BMC Women's Health</w:t>
      </w:r>
      <w:r>
        <w:rPr>
          <w:b w:val="0"/>
          <w:i w:val="0"/>
        </w:rPr>
        <w:t xml:space="preserve">, </w:t>
      </w:r>
      <w:r>
        <w:rPr>
          <w:b w:val="0"/>
          <w:i/>
        </w:rPr>
        <w:t>22</w:t>
      </w:r>
      <w:r>
        <w:rPr>
          <w:b w:val="0"/>
          <w:i w:val="0"/>
        </w:rPr>
        <w:t>(1), 1–7. https://doi.org/10.1186/s12905-022-01612-5</w:t>
      </w:r>
    </w:p>
    <w:p>
      <w:pPr>
        <w:ind w:left="720" w:hanging="720"/>
      </w:pPr>
      <w:r>
        <w:rPr>
          <w:b w:val="0"/>
          <w:i w:val="0"/>
        </w:rPr>
        <w:t xml:space="preserve">Winslow, A., Hooberman, L., &amp; Rubin, L. (2023). Werewolves and two-headed monsters: An exploration of coping, sharing, and processing of premenstrual distress among individuals with PMDD on an anonymous internet message board. </w:t>
      </w:r>
      <w:r>
        <w:rPr>
          <w:b w:val="0"/>
          <w:i/>
        </w:rPr>
        <w:t>Women’s Reproductive Health</w:t>
      </w:r>
      <w:r>
        <w:rPr>
          <w:b w:val="0"/>
          <w:i w:val="0"/>
        </w:rPr>
        <w:t xml:space="preserve">, </w:t>
      </w:r>
      <w:r>
        <w:rPr>
          <w:b w:val="0"/>
          <w:i/>
        </w:rPr>
        <w:t>10</w:t>
      </w:r>
      <w:r>
        <w:rPr>
          <w:b w:val="0"/>
          <w:i w:val="0"/>
        </w:rPr>
        <w:t>(3), 420–435. https://doi.org/10.1080/23293691.2022.2124652</w:t>
      </w:r>
    </w:p>
    <w:p>
      <w:pPr>
        <w:ind w:left="720" w:hanging="720"/>
      </w:pPr>
      <w:r>
        <w:rPr>
          <w:b w:val="0"/>
          <w:i w:val="0"/>
        </w:rPr>
        <w:t xml:space="preserve">World Bank. (2026). </w:t>
      </w:r>
      <w:r>
        <w:rPr>
          <w:b w:val="0"/>
          <w:i/>
        </w:rPr>
        <w:t>World Bank country classifications by income level for FY2027</w:t>
      </w:r>
      <w:r>
        <w:rPr>
          <w:b w:val="0"/>
          <w:i w:val="0"/>
        </w:rPr>
        <w:t>. https://datahelpdesk.worldbank.org/knowledgebase/articles/906519-world-bank-country-and-lending-groups</w:t>
      </w:r>
    </w:p>
    <w:p>
      <w:pPr>
        <w:ind w:left="720" w:hanging="720"/>
      </w:pPr>
      <w:r>
        <w:rPr>
          <w:b w:val="0"/>
          <w:i w:val="0"/>
        </w:rPr>
        <w:t xml:space="preserve">World Health Organization. (2022). </w:t>
      </w:r>
      <w:r>
        <w:rPr>
          <w:b w:val="0"/>
          <w:i/>
        </w:rPr>
        <w:t>International classification of diseases, 11th revision (ICD-11)</w:t>
      </w:r>
      <w:r>
        <w:rPr>
          <w:b w:val="0"/>
          <w:i w:val="0"/>
        </w:rPr>
        <w:t>. https://icd.who.int/</w:t>
      </w:r>
    </w:p>
    <w:p>
      <w:pPr>
        <w:ind w:left="720" w:hanging="720"/>
      </w:pPr>
      <w:r>
        <w:rPr>
          <w:b w:val="0"/>
          <w:i w:val="0"/>
        </w:rPr>
        <w:t xml:space="preserve">Yamada, K., &amp; Kamagata, E. (2017). Reduction of quality-adjusted life years (QALYs) in patients with premenstrual dysphoric disorder (PMDD). </w:t>
      </w:r>
      <w:r>
        <w:rPr>
          <w:b w:val="0"/>
          <w:i/>
        </w:rPr>
        <w:t>Quality of Life Research: An International Journal of Quality of Life Aspects of Treatment, Care &amp; Rehabilitation</w:t>
      </w:r>
      <w:r>
        <w:rPr>
          <w:b w:val="0"/>
          <w:i w:val="0"/>
        </w:rPr>
        <w:t xml:space="preserve">, </w:t>
      </w:r>
      <w:r>
        <w:rPr>
          <w:b w:val="0"/>
          <w:i/>
        </w:rPr>
        <w:t>26</w:t>
      </w:r>
      <w:r>
        <w:rPr>
          <w:b w:val="0"/>
          <w:i w:val="0"/>
        </w:rPr>
        <w:t>(11), 3069–3073. https://doi.org/10.1007/s11136-017-1642-1</w:t>
      </w:r>
    </w:p>
    <w:p>
      <w:pPr>
        <w:ind w:left="720" w:hanging="720"/>
      </w:pPr>
      <w:r>
        <w:rPr>
          <w:b w:val="0"/>
          <w:i w:val="0"/>
        </w:rPr>
        <w:t xml:space="preserve">Yang, M., Gricar, J. A., Maruish, M. E., Hagan, M. A., Kornstein, S. G., &amp; Wallenstein, G. V. (2010). Interpreting premenstrual symptoms impact survey scores using outcomes in health-related quality of life and sexual drive impact. </w:t>
      </w:r>
      <w:r>
        <w:rPr>
          <w:b w:val="0"/>
          <w:i/>
        </w:rPr>
        <w:t>Journal of Reproductive Medicine</w:t>
      </w:r>
      <w:r>
        <w:rPr>
          <w:b w:val="0"/>
          <w:i w:val="0"/>
        </w:rPr>
        <w:t xml:space="preserve">, </w:t>
      </w:r>
      <w:r>
        <w:rPr>
          <w:b w:val="0"/>
          <w:i/>
        </w:rPr>
        <w:t>55</w:t>
      </w:r>
      <w:r>
        <w:rPr>
          <w:b w:val="0"/>
          <w:i w:val="0"/>
        </w:rPr>
        <w:t>(1-2), 41–48.</w:t>
      </w:r>
    </w:p>
    <w:p>
      <w:pPr>
        <w:ind w:left="720" w:hanging="720"/>
      </w:pPr>
      <w:r>
        <w:rPr>
          <w:b w:val="0"/>
          <w:i w:val="0"/>
        </w:rPr>
        <w:t xml:space="preserve">Yang, Q., Þórðardóttir, E. B., Hauksdóttir, A., Aspelund, T., Jakobsdóttir, J., Halldorsdottir, T., Tomasson, G., Rúnarsdóttir, H., Danielsdottir, H. B., Bertone-Johnson, E. R., Sjölander, A., Fang, F., Lu, D., &amp; Valdimarsdóttir, U. A. (2022). Association between adverse childhood experiences and premenstrual disorders: a cross-sectional analysis of 11,973 women. </w:t>
      </w:r>
      <w:r>
        <w:rPr>
          <w:b w:val="0"/>
          <w:i/>
        </w:rPr>
        <w:t>BMC Medicine</w:t>
      </w:r>
      <w:r>
        <w:rPr>
          <w:b w:val="0"/>
          <w:i w:val="0"/>
        </w:rPr>
        <w:t xml:space="preserve">, </w:t>
      </w:r>
      <w:r>
        <w:rPr>
          <w:b w:val="0"/>
          <w:i/>
        </w:rPr>
        <w:t>20</w:t>
      </w:r>
      <w:r>
        <w:rPr>
          <w:b w:val="0"/>
          <w:i w:val="0"/>
        </w:rPr>
        <w:t>(1), 1–10. https://doi.org/10.1186/s12916-022-02275-7</w:t>
      </w:r>
    </w:p>
    <w:p>
      <w:pPr>
        <w:ind w:left="720" w:hanging="720"/>
      </w:pPr>
      <w:r>
        <w:rPr>
          <w:b w:val="0"/>
          <w:i w:val="0"/>
        </w:rPr>
        <w:t xml:space="preserve">Yang, Q., Sjölander, A., Li, Y., Viktorin, A., Bertone-Johnson, E. R., Ye, W., Fang, F., Valdimarsdóttir, U. A., &amp; Lu, D. (2021). Clinical indications of premenstrual disorders and subsequent risk of injury: a population-based cohort study in Sweden. </w:t>
      </w:r>
      <w:r>
        <w:rPr>
          <w:b w:val="0"/>
          <w:i/>
        </w:rPr>
        <w:t>BMC Medicine</w:t>
      </w:r>
      <w:r>
        <w:rPr>
          <w:b w:val="0"/>
          <w:i w:val="0"/>
        </w:rPr>
        <w:t xml:space="preserve">, </w:t>
      </w:r>
      <w:r>
        <w:rPr>
          <w:b w:val="0"/>
          <w:i/>
        </w:rPr>
        <w:t>19</w:t>
      </w:r>
      <w:r>
        <w:rPr>
          <w:b w:val="0"/>
          <w:i w:val="0"/>
        </w:rPr>
        <w:t>(1), 1–12. https://doi.org/10.1186/s12916-021-01989-4</w:t>
      </w:r>
    </w:p>
    <w:p>
      <w:pPr>
        <w:ind w:left="720" w:hanging="720"/>
      </w:pPr>
      <w:r>
        <w:rPr>
          <w:b w:val="0"/>
          <w:i w:val="0"/>
        </w:rPr>
        <w:t xml:space="preserve">Yen, J.-Y., Wang, P.-W., Su, C.-H., Liu, T.-L., Long, C.-Y., &amp; Ko, C.-H. (2018). Estrogen levels, emotion regulation, and emotional symptoms of women with premenstrual dysphoric disorder: The moderating effect of estrogen receptor 1α polymorphism. </w:t>
      </w:r>
      <w:r>
        <w:rPr>
          <w:b w:val="0"/>
          <w:i/>
        </w:rPr>
        <w:t>Progress in Neuro-Psychopharmacology &amp; Biological Psychiatry</w:t>
      </w:r>
      <w:r>
        <w:rPr>
          <w:b w:val="0"/>
          <w:i w:val="0"/>
        </w:rPr>
        <w:t xml:space="preserve">, </w:t>
      </w:r>
      <w:r>
        <w:rPr>
          <w:b w:val="0"/>
          <w:i/>
        </w:rPr>
        <w:t>82</w:t>
      </w:r>
      <w:r>
        <w:rPr>
          <w:b w:val="0"/>
          <w:i w:val="0"/>
        </w:rPr>
        <w:t>, 216–223. https://doi.org/10.1016/j.pnpbp.2017.11.013</w:t>
      </w:r>
    </w:p>
    <w:p>
      <w:pPr>
        <w:ind w:left="720" w:hanging="720"/>
      </w:pPr>
      <w:r>
        <w:rPr>
          <w:b w:val="0"/>
          <w:i w:val="0"/>
        </w:rPr>
        <w:t xml:space="preserve">Younes, Y., Hallit, S., &amp; Obeid, S. (2021). Premenstrual dysphoric disorder and childhood maltreatment, adulthood stressful life events and depression among Lebanese university students: A structural equation modeling approach. </w:t>
      </w:r>
      <w:r>
        <w:rPr>
          <w:b w:val="0"/>
          <w:i/>
        </w:rPr>
        <w:t>BMC Psychiatry</w:t>
      </w:r>
      <w:r>
        <w:rPr>
          <w:b w:val="0"/>
          <w:i w:val="0"/>
        </w:rPr>
        <w:t xml:space="preserve">, </w:t>
      </w:r>
      <w:r>
        <w:rPr>
          <w:b w:val="0"/>
          <w:i/>
        </w:rPr>
        <w:t>21</w:t>
      </w:r>
      <w:r>
        <w:rPr>
          <w:b w:val="0"/>
          <w:i w:val="0"/>
        </w:rPr>
        <w:t>. https://doi.org/10.1186/s12888-021-03567-7</w:t>
      </w:r>
    </w:p>
    <w:p>
      <w:r>
        <w:br w:type="page"/>
      </w:r>
    </w:p>
    <w:p>
      <w:pPr>
        <w:keepNext/>
        <w:jc w:val="center"/>
      </w:pPr>
      <w:r>
        <w:rPr>
          <w:b/>
        </w:rPr>
        <w:t>Supplementary Table S1</w:t>
      </w:r>
    </w:p>
    <w:p>
      <w:pPr>
        <w:jc w:val="center"/>
      </w:pPr>
      <w:r>
        <w:rPr>
          <w:b w:val="0"/>
          <w:i/>
        </w:rPr>
        <w:t>Characteristics of the 85 Included Studies</w:t>
      </w:r>
    </w:p>
    <w:p>
      <w:pPr>
        <w:sectPr>
          <w:footerReference w:type="default" r:id="rId9"/>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Pr>
      <w:tblGrid>
        <w:gridCol w:w="1851"/>
        <w:gridCol w:w="1851"/>
        <w:gridCol w:w="1851"/>
        <w:gridCol w:w="1851"/>
        <w:gridCol w:w="1851"/>
        <w:gridCol w:w="1851"/>
        <w:gridCol w:w="1851"/>
      </w:tblGrid>
      <w:tr>
        <w:trPr>
          <w:tblHeader w:val="true"/>
        </w:trPr>
        <w:tc>
          <w:tcPr>
            <w:tcW w:type="dxa" w:w="2016"/>
            <w:shd w:val="clear" w:fill="D9E2F3"/>
          </w:tcPr>
          <w:p>
            <w:pPr>
              <w:spacing w:line="240" w:lineRule="auto"/>
            </w:pPr>
            <w:r/>
            <w:r>
              <w:rPr>
                <w:b/>
                <w:sz w:val="16"/>
              </w:rPr>
              <w:t>Study</w:t>
            </w:r>
          </w:p>
        </w:tc>
        <w:tc>
          <w:tcPr>
            <w:tcW w:type="dxa" w:w="1440"/>
            <w:shd w:val="clear" w:fill="D9E2F3"/>
          </w:tcPr>
          <w:p>
            <w:pPr>
              <w:spacing w:line="240" w:lineRule="auto"/>
            </w:pPr>
            <w:r/>
            <w:r>
              <w:rPr>
                <w:b/>
                <w:sz w:val="16"/>
              </w:rPr>
              <w:t>Country</w:t>
            </w:r>
          </w:p>
        </w:tc>
        <w:tc>
          <w:tcPr>
            <w:tcW w:type="dxa" w:w="2160"/>
            <w:shd w:val="clear" w:fill="D9E2F3"/>
          </w:tcPr>
          <w:p>
            <w:pPr>
              <w:spacing w:line="240" w:lineRule="auto"/>
            </w:pPr>
            <w:r/>
            <w:r>
              <w:rPr>
                <w:b/>
                <w:sz w:val="16"/>
              </w:rPr>
              <w:t>Design</w:t>
            </w:r>
          </w:p>
        </w:tc>
        <w:tc>
          <w:tcPr>
            <w:tcW w:type="dxa" w:w="864"/>
            <w:shd w:val="clear" w:fill="D9E2F3"/>
          </w:tcPr>
          <w:p>
            <w:pPr>
              <w:spacing w:line="240" w:lineRule="auto"/>
            </w:pPr>
            <w:r/>
            <w:r>
              <w:rPr>
                <w:b/>
                <w:sz w:val="16"/>
              </w:rPr>
              <w:t>N</w:t>
            </w:r>
          </w:p>
        </w:tc>
        <w:tc>
          <w:tcPr>
            <w:tcW w:type="dxa" w:w="2160"/>
            <w:shd w:val="clear" w:fill="D9E2F3"/>
          </w:tcPr>
          <w:p>
            <w:pPr>
              <w:spacing w:line="240" w:lineRule="auto"/>
            </w:pPr>
            <w:r/>
            <w:r>
              <w:rPr>
                <w:b/>
                <w:sz w:val="16"/>
              </w:rPr>
              <w:t>Population</w:t>
            </w:r>
          </w:p>
        </w:tc>
        <w:tc>
          <w:tcPr>
            <w:tcW w:type="dxa" w:w="2160"/>
            <w:shd w:val="clear" w:fill="D9E2F3"/>
          </w:tcPr>
          <w:p>
            <w:pPr>
              <w:spacing w:line="240" w:lineRule="auto"/>
            </w:pPr>
            <w:r/>
            <w:r>
              <w:rPr>
                <w:b/>
                <w:sz w:val="16"/>
              </w:rPr>
              <w:t>PMDD ascertainment</w:t>
            </w:r>
          </w:p>
        </w:tc>
        <w:tc>
          <w:tcPr>
            <w:tcW w:type="dxa" w:w="2160"/>
            <w:shd w:val="clear" w:fill="D9E2F3"/>
          </w:tcPr>
          <w:p>
            <w:pPr>
              <w:spacing w:line="240" w:lineRule="auto"/>
            </w:pPr>
            <w:r/>
            <w:r>
              <w:rPr>
                <w:b/>
                <w:sz w:val="16"/>
              </w:rPr>
              <w:t>Psychosocial domains</w:t>
            </w:r>
          </w:p>
        </w:tc>
      </w:tr>
      <w:tr>
        <w:tc>
          <w:tcPr>
            <w:tcW w:type="dxa" w:w="2016"/>
          </w:tcPr>
          <w:p>
            <w:pPr>
              <w:spacing w:line="240" w:lineRule="auto"/>
            </w:pPr>
            <w:r/>
            <w:r>
              <w:rPr>
                <w:b w:val="0"/>
                <w:i w:val="0"/>
                <w:sz w:val="16"/>
              </w:rPr>
              <w:t>Tschudin et al. (2010)</w:t>
            </w:r>
          </w:p>
        </w:tc>
        <w:tc>
          <w:tcPr>
            <w:tcW w:type="dxa" w:w="1440"/>
          </w:tcPr>
          <w:p>
            <w:pPr>
              <w:spacing w:line="240" w:lineRule="auto"/>
            </w:pPr>
            <w:r/>
            <w:r>
              <w:rPr>
                <w:b w:val="0"/>
                <w:i w:val="0"/>
                <w:sz w:val="16"/>
              </w:rPr>
              <w:t>Switzerland</w:t>
            </w:r>
          </w:p>
        </w:tc>
        <w:tc>
          <w:tcPr>
            <w:tcW w:type="dxa" w:w="2160"/>
          </w:tcPr>
          <w:p>
            <w:pPr>
              <w:spacing w:line="240" w:lineRule="auto"/>
            </w:pPr>
            <w:r/>
            <w:r>
              <w:rPr>
                <w:b w:val="0"/>
                <w:i w:val="0"/>
                <w:sz w:val="16"/>
              </w:rPr>
              <w:t>Cross-sectional (national health survey)</w:t>
            </w:r>
          </w:p>
        </w:tc>
        <w:tc>
          <w:tcPr>
            <w:tcW w:type="dxa" w:w="864"/>
          </w:tcPr>
          <w:p>
            <w:pPr>
              <w:spacing w:line="240" w:lineRule="auto"/>
            </w:pPr>
            <w:r/>
            <w:r>
              <w:rPr>
                <w:b w:val="0"/>
                <w:i w:val="0"/>
                <w:sz w:val="16"/>
              </w:rPr>
              <w:t>3913</w:t>
            </w:r>
          </w:p>
        </w:tc>
        <w:tc>
          <w:tcPr>
            <w:tcW w:type="dxa" w:w="2160"/>
          </w:tcPr>
          <w:p>
            <w:pPr>
              <w:spacing w:line="240" w:lineRule="auto"/>
            </w:pPr>
            <w:r/>
            <w:r>
              <w:rPr>
                <w:b w:val="0"/>
                <w:i w:val="0"/>
                <w:sz w:val="16"/>
              </w:rPr>
              <w:t>Population-based sample</w:t>
            </w:r>
          </w:p>
        </w:tc>
        <w:tc>
          <w:tcPr>
            <w:tcW w:type="dxa" w:w="2160"/>
          </w:tcPr>
          <w:p>
            <w:pPr>
              <w:spacing w:line="240" w:lineRule="auto"/>
            </w:pPr>
            <w:r/>
            <w:r>
              <w:rPr>
                <w:b w:val="0"/>
                <w:i w:val="0"/>
                <w:sz w:val="16"/>
              </w:rPr>
              <w:t>Screening tool (PSST-based)</w:t>
            </w:r>
          </w:p>
        </w:tc>
        <w:tc>
          <w:tcPr>
            <w:tcW w:type="dxa" w:w="2160"/>
          </w:tcPr>
          <w:p>
            <w:pPr>
              <w:spacing w:line="240" w:lineRule="auto"/>
            </w:pPr>
            <w:r/>
            <w:r>
              <w:rPr>
                <w:b w:val="0"/>
                <w:i w:val="0"/>
                <w:sz w:val="16"/>
              </w:rPr>
              <w:t>Distress/stress</w:t>
            </w:r>
          </w:p>
        </w:tc>
      </w:tr>
      <w:tr>
        <w:tc>
          <w:tcPr>
            <w:tcW w:type="dxa" w:w="2016"/>
          </w:tcPr>
          <w:p>
            <w:pPr>
              <w:spacing w:line="240" w:lineRule="auto"/>
            </w:pPr>
            <w:r/>
            <w:r>
              <w:rPr>
                <w:b w:val="0"/>
                <w:i w:val="0"/>
                <w:sz w:val="16"/>
              </w:rPr>
              <w:t>Takeda et al. (2010)</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618</w:t>
            </w:r>
          </w:p>
        </w:tc>
        <w:tc>
          <w:tcPr>
            <w:tcW w:type="dxa" w:w="2160"/>
          </w:tcPr>
          <w:p>
            <w:pPr>
              <w:spacing w:line="240" w:lineRule="auto"/>
            </w:pPr>
            <w:r/>
            <w:r>
              <w:rPr>
                <w:b w:val="0"/>
                <w:i w:val="0"/>
                <w:sz w:val="16"/>
              </w:rPr>
              <w:t>High school students</w:t>
            </w:r>
          </w:p>
        </w:tc>
        <w:tc>
          <w:tcPr>
            <w:tcW w:type="dxa" w:w="2160"/>
          </w:tcPr>
          <w:p>
            <w:pPr>
              <w:spacing w:line="240" w:lineRule="auto"/>
            </w:pPr>
            <w:r/>
            <w:r>
              <w:rPr>
                <w:b w:val="0"/>
                <w:i w:val="0"/>
                <w:sz w:val="16"/>
              </w:rPr>
              <w:t>Screening questionnaire</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Flores-Ramos et al. (2010)</w:t>
            </w:r>
          </w:p>
        </w:tc>
        <w:tc>
          <w:tcPr>
            <w:tcW w:type="dxa" w:w="1440"/>
          </w:tcPr>
          <w:p>
            <w:pPr>
              <w:spacing w:line="240" w:lineRule="auto"/>
            </w:pPr>
            <w:r/>
            <w:r>
              <w:rPr>
                <w:b w:val="0"/>
                <w:i w:val="0"/>
                <w:sz w:val="16"/>
              </w:rPr>
              <w:t>Mexico</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141</w:t>
            </w:r>
          </w:p>
        </w:tc>
        <w:tc>
          <w:tcPr>
            <w:tcW w:type="dxa" w:w="2160"/>
          </w:tcPr>
          <w:p>
            <w:pPr>
              <w:spacing w:line="240" w:lineRule="auto"/>
            </w:pPr>
            <w:r/>
            <w:r>
              <w:rPr>
                <w:b w:val="0"/>
                <w:i w:val="0"/>
                <w:sz w:val="16"/>
              </w:rPr>
              <w:t>Perimenopausal clinic patients</w:t>
            </w:r>
          </w:p>
        </w:tc>
        <w:tc>
          <w:tcPr>
            <w:tcW w:type="dxa" w:w="2160"/>
          </w:tcPr>
          <w:p>
            <w:pPr>
              <w:spacing w:line="240" w:lineRule="auto"/>
            </w:pPr>
            <w:r/>
            <w:r>
              <w:rPr>
                <w:b w:val="0"/>
                <w:i w:val="0"/>
                <w:sz w:val="16"/>
              </w:rPr>
              <w:t>History of PMDD (clinical assessment)</w:t>
            </w:r>
          </w:p>
        </w:tc>
        <w:tc>
          <w:tcPr>
            <w:tcW w:type="dxa" w:w="2160"/>
          </w:tcPr>
          <w:p>
            <w:pPr>
              <w:spacing w:line="240" w:lineRule="auto"/>
            </w:pPr>
            <w:r/>
            <w:r>
              <w:rPr>
                <w:b w:val="0"/>
                <w:i w:val="0"/>
                <w:sz w:val="16"/>
              </w:rPr>
              <w:t>Depression</w:t>
            </w:r>
          </w:p>
        </w:tc>
      </w:tr>
      <w:tr>
        <w:tc>
          <w:tcPr>
            <w:tcW w:type="dxa" w:w="2016"/>
          </w:tcPr>
          <w:p>
            <w:pPr>
              <w:spacing w:line="240" w:lineRule="auto"/>
            </w:pPr>
            <w:r/>
            <w:r>
              <w:rPr>
                <w:b w:val="0"/>
                <w:i w:val="0"/>
                <w:sz w:val="16"/>
              </w:rPr>
              <w:t>Yang et al. (2010)</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(online survey, secondary analysis)</w:t>
            </w:r>
          </w:p>
        </w:tc>
        <w:tc>
          <w:tcPr>
            <w:tcW w:type="dxa" w:w="864"/>
          </w:tcPr>
          <w:p>
            <w:pPr>
              <w:spacing w:line="240" w:lineRule="auto"/>
            </w:pPr>
            <w:r/>
            <w:r>
              <w:rPr>
                <w:b w:val="0"/>
                <w:i w:val="0"/>
                <w:sz w:val="16"/>
              </w:rPr>
              <w:t>949</w:t>
            </w:r>
          </w:p>
        </w:tc>
        <w:tc>
          <w:tcPr>
            <w:tcW w:type="dxa" w:w="2160"/>
          </w:tcPr>
          <w:p>
            <w:pPr>
              <w:spacing w:line="240" w:lineRule="auto"/>
            </w:pPr>
            <w:r/>
            <w:r>
              <w:rPr>
                <w:b w:val="0"/>
                <w:i w:val="0"/>
                <w:sz w:val="16"/>
              </w:rPr>
              <w:t>Online community sample</w:t>
            </w:r>
          </w:p>
        </w:tc>
        <w:tc>
          <w:tcPr>
            <w:tcW w:type="dxa" w:w="2160"/>
          </w:tcPr>
          <w:p>
            <w:pPr>
              <w:spacing w:line="240" w:lineRule="auto"/>
            </w:pPr>
            <w:r/>
            <w:r>
              <w:rPr>
                <w:b w:val="0"/>
                <w:i w:val="0"/>
                <w:sz w:val="16"/>
              </w:rPr>
              <w:t>Screening tool (PMSIS)</w:t>
            </w:r>
          </w:p>
        </w:tc>
        <w:tc>
          <w:tcPr>
            <w:tcW w:type="dxa" w:w="2160"/>
          </w:tcPr>
          <w:p>
            <w:pPr>
              <w:spacing w:line="240" w:lineRule="auto"/>
            </w:pPr>
            <w:r/>
            <w:r>
              <w:rPr>
                <w:b w:val="0"/>
                <w:i w:val="0"/>
                <w:sz w:val="16"/>
              </w:rPr>
              <w:t>Quality of life; Interpersonal</w:t>
            </w:r>
          </w:p>
        </w:tc>
      </w:tr>
      <w:tr>
        <w:tc>
          <w:tcPr>
            <w:tcW w:type="dxa" w:w="2016"/>
          </w:tcPr>
          <w:p>
            <w:pPr>
              <w:spacing w:line="240" w:lineRule="auto"/>
            </w:pPr>
            <w:r/>
            <w:r>
              <w:rPr>
                <w:b w:val="0"/>
                <w:i w:val="0"/>
                <w:sz w:val="16"/>
              </w:rPr>
              <w:t>Gingnell et al. (2010)</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85</w:t>
            </w:r>
          </w:p>
        </w:tc>
        <w:tc>
          <w:tcPr>
            <w:tcW w:type="dxa" w:w="2160"/>
          </w:tcPr>
          <w:p>
            <w:pPr>
              <w:spacing w:line="240" w:lineRule="auto"/>
            </w:pPr>
            <w:r/>
            <w:r>
              <w:rPr>
                <w:b w:val="0"/>
                <w:i w:val="0"/>
                <w:sz w:val="16"/>
              </w:rPr>
              <w:t>Clinical patients and controls</w:t>
            </w:r>
          </w:p>
        </w:tc>
        <w:tc>
          <w:tcPr>
            <w:tcW w:type="dxa" w:w="2160"/>
          </w:tcPr>
          <w:p>
            <w:pPr>
              <w:spacing w:line="240" w:lineRule="auto"/>
            </w:pPr>
            <w:r/>
            <w:r>
              <w:rPr>
                <w:b w:val="0"/>
                <w:i w:val="0"/>
                <w:sz w:val="16"/>
              </w:rPr>
              <w:t>Prospective confirmation</w:t>
            </w:r>
          </w:p>
        </w:tc>
        <w:tc>
          <w:tcPr>
            <w:tcW w:type="dxa" w:w="2160"/>
          </w:tcPr>
          <w:p>
            <w:pPr>
              <w:spacing w:line="240" w:lineRule="auto"/>
            </w:pPr>
            <w:r/>
            <w:r>
              <w:rPr>
                <w:b w:val="0"/>
                <w:i w:val="0"/>
                <w:sz w:val="16"/>
              </w:rPr>
              <w:t>Personality</w:t>
            </w:r>
          </w:p>
        </w:tc>
      </w:tr>
      <w:tr>
        <w:tc>
          <w:tcPr>
            <w:tcW w:type="dxa" w:w="2016"/>
          </w:tcPr>
          <w:p>
            <w:pPr>
              <w:spacing w:line="240" w:lineRule="auto"/>
            </w:pPr>
            <w:r/>
            <w:r>
              <w:rPr>
                <w:b w:val="0"/>
                <w:i w:val="0"/>
                <w:sz w:val="16"/>
              </w:rPr>
              <w:t>Fornaro &amp; Perugi (2010)</w:t>
            </w:r>
          </w:p>
        </w:tc>
        <w:tc>
          <w:tcPr>
            <w:tcW w:type="dxa" w:w="1440"/>
          </w:tcPr>
          <w:p>
            <w:pPr>
              <w:spacing w:line="240" w:lineRule="auto"/>
            </w:pPr>
            <w:r/>
            <w:r>
              <w:rPr>
                <w:b w:val="0"/>
                <w:i w:val="0"/>
                <w:sz w:val="16"/>
              </w:rPr>
              <w:t>Italy</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92</w:t>
            </w:r>
          </w:p>
        </w:tc>
        <w:tc>
          <w:tcPr>
            <w:tcW w:type="dxa" w:w="2160"/>
          </w:tcPr>
          <w:p>
            <w:pPr>
              <w:spacing w:line="240" w:lineRule="auto"/>
            </w:pPr>
            <w:r/>
            <w:r>
              <w:rPr>
                <w:b w:val="0"/>
                <w:i w:val="0"/>
                <w:sz w:val="16"/>
              </w:rPr>
              <w:t>Women with bipolar disorder</w:t>
            </w:r>
          </w:p>
        </w:tc>
        <w:tc>
          <w:tcPr>
            <w:tcW w:type="dxa" w:w="2160"/>
          </w:tcPr>
          <w:p>
            <w:pPr>
              <w:spacing w:line="240" w:lineRule="auto"/>
            </w:pPr>
            <w:r/>
            <w:r>
              <w:rPr>
                <w:b w:val="0"/>
                <w:i w:val="0"/>
                <w:sz w:val="16"/>
              </w:rPr>
              <w:t>Structured interview (SCID-I)</w:t>
            </w:r>
          </w:p>
        </w:tc>
        <w:tc>
          <w:tcPr>
            <w:tcW w:type="dxa" w:w="2160"/>
          </w:tcPr>
          <w:p>
            <w:pPr>
              <w:spacing w:line="240" w:lineRule="auto"/>
            </w:pPr>
            <w:r/>
            <w:r>
              <w:rPr>
                <w:b w:val="0"/>
                <w:i w:val="0"/>
                <w:sz w:val="16"/>
              </w:rPr>
              <w:t>Psychiatric comorbidity</w:t>
            </w:r>
          </w:p>
        </w:tc>
      </w:tr>
      <w:tr>
        <w:tc>
          <w:tcPr>
            <w:tcW w:type="dxa" w:w="2016"/>
          </w:tcPr>
          <w:p>
            <w:pPr>
              <w:spacing w:line="240" w:lineRule="auto"/>
            </w:pPr>
            <w:r/>
            <w:r>
              <w:rPr>
                <w:b w:val="0"/>
                <w:i w:val="0"/>
                <w:sz w:val="16"/>
              </w:rPr>
              <w:t>Heinemann et al. (2010)</w:t>
            </w:r>
          </w:p>
        </w:tc>
        <w:tc>
          <w:tcPr>
            <w:tcW w:type="dxa" w:w="1440"/>
          </w:tcPr>
          <w:p>
            <w:pPr>
              <w:spacing w:line="240" w:lineRule="auto"/>
            </w:pPr>
            <w:r/>
            <w:r>
              <w:rPr>
                <w:b w:val="0"/>
                <w:i w:val="0"/>
                <w:sz w:val="16"/>
              </w:rPr>
              <w:t>Multinational</w:t>
            </w:r>
          </w:p>
        </w:tc>
        <w:tc>
          <w:tcPr>
            <w:tcW w:type="dxa" w:w="2160"/>
          </w:tcPr>
          <w:p>
            <w:pPr>
              <w:spacing w:line="240" w:lineRule="auto"/>
            </w:pPr>
            <w:r/>
            <w:r>
              <w:rPr>
                <w:b w:val="0"/>
                <w:i w:val="0"/>
                <w:sz w:val="16"/>
              </w:rPr>
              <w:t>Prospective web-based study</w:t>
            </w:r>
          </w:p>
        </w:tc>
        <w:tc>
          <w:tcPr>
            <w:tcW w:type="dxa" w:w="864"/>
          </w:tcPr>
          <w:p>
            <w:pPr>
              <w:spacing w:line="240" w:lineRule="auto"/>
            </w:pPr>
            <w:r/>
            <w:r>
              <w:rPr>
                <w:b w:val="0"/>
                <w:i w:val="0"/>
                <w:sz w:val="16"/>
              </w:rPr>
              <w:t>822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(DRSP)</w:t>
            </w:r>
          </w:p>
        </w:tc>
        <w:tc>
          <w:tcPr>
            <w:tcW w:type="dxa" w:w="2160"/>
          </w:tcPr>
          <w:p>
            <w:pPr>
              <w:spacing w:line="240" w:lineRule="auto"/>
            </w:pPr>
            <w:r/>
            <w:r>
              <w:rPr>
                <w:b w:val="0"/>
                <w:i w:val="0"/>
                <w:sz w:val="16"/>
              </w:rPr>
              <w:t>Quality of life; Interpersonal; Academic/occupational functioning</w:t>
            </w:r>
          </w:p>
        </w:tc>
      </w:tr>
      <w:tr>
        <w:tc>
          <w:tcPr>
            <w:tcW w:type="dxa" w:w="2016"/>
          </w:tcPr>
          <w:p>
            <w:pPr>
              <w:spacing w:line="240" w:lineRule="auto"/>
            </w:pPr>
            <w:r/>
            <w:r>
              <w:rPr>
                <w:b w:val="0"/>
                <w:i w:val="0"/>
                <w:sz w:val="16"/>
              </w:rPr>
              <w:t>Miller et al. (2010)</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124</w:t>
            </w:r>
          </w:p>
        </w:tc>
        <w:tc>
          <w:tcPr>
            <w:tcW w:type="dxa" w:w="2160"/>
          </w:tcPr>
          <w:p>
            <w:pPr>
              <w:spacing w:line="240" w:lineRule="auto"/>
            </w:pPr>
            <w:r/>
            <w:r>
              <w:rPr>
                <w:b w:val="0"/>
                <w:i w:val="0"/>
                <w:sz w:val="16"/>
              </w:rPr>
              <w:t>Clinical research participants</w:t>
            </w:r>
          </w:p>
        </w:tc>
        <w:tc>
          <w:tcPr>
            <w:tcW w:type="dxa" w:w="2160"/>
          </w:tcPr>
          <w:p>
            <w:pPr>
              <w:spacing w:line="240" w:lineRule="auto"/>
            </w:pPr>
            <w:r/>
            <w:r>
              <w:rPr>
                <w:b w:val="0"/>
                <w:i w:val="0"/>
                <w:sz w:val="16"/>
              </w:rPr>
              <w:t>Prospective confirmation</w:t>
            </w:r>
          </w:p>
        </w:tc>
        <w:tc>
          <w:tcPr>
            <w:tcW w:type="dxa" w:w="2160"/>
          </w:tcPr>
          <w:p>
            <w:pPr>
              <w:spacing w:line="240" w:lineRule="auto"/>
            </w:pPr>
            <w:r/>
            <w:r>
              <w:rPr>
                <w:b w:val="0"/>
                <w:i w:val="0"/>
                <w:sz w:val="16"/>
              </w:rPr>
              <w:t>Personality</w:t>
            </w:r>
          </w:p>
        </w:tc>
      </w:tr>
      <w:tr>
        <w:tc>
          <w:tcPr>
            <w:tcW w:type="dxa" w:w="2016"/>
          </w:tcPr>
          <w:p>
            <w:pPr>
              <w:spacing w:line="240" w:lineRule="auto"/>
            </w:pPr>
            <w:r/>
            <w:r>
              <w:rPr>
                <w:b w:val="0"/>
                <w:i w:val="0"/>
                <w:sz w:val="16"/>
              </w:rPr>
              <w:t>Nowosielski et al. (2010)</w:t>
            </w:r>
          </w:p>
        </w:tc>
        <w:tc>
          <w:tcPr>
            <w:tcW w:type="dxa" w:w="1440"/>
          </w:tcPr>
          <w:p>
            <w:pPr>
              <w:spacing w:line="240" w:lineRule="auto"/>
            </w:pPr>
            <w:r/>
            <w:r>
              <w:rPr>
                <w:b w:val="0"/>
                <w:i w:val="0"/>
                <w:sz w:val="16"/>
              </w:rPr>
              <w:t>Poland</w:t>
            </w:r>
          </w:p>
        </w:tc>
        <w:tc>
          <w:tcPr>
            <w:tcW w:type="dxa" w:w="2160"/>
          </w:tcPr>
          <w:p>
            <w:pPr>
              <w:spacing w:line="240" w:lineRule="auto"/>
            </w:pPr>
            <w:r/>
            <w:r>
              <w:rPr>
                <w:b w:val="0"/>
                <w:i w:val="0"/>
                <w:sz w:val="16"/>
              </w:rPr>
              <w:t>Cross-sectional (population study)</w:t>
            </w:r>
          </w:p>
        </w:tc>
        <w:tc>
          <w:tcPr>
            <w:tcW w:type="dxa" w:w="864"/>
          </w:tcPr>
          <w:p>
            <w:pPr>
              <w:spacing w:line="240" w:lineRule="auto"/>
            </w:pPr>
            <w:r/>
            <w:r>
              <w:rPr>
                <w:b w:val="0"/>
                <w:i w:val="0"/>
                <w:sz w:val="16"/>
              </w:rPr>
              <w:t>1540</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Questionnaire-based diagnosis</w:t>
            </w:r>
          </w:p>
        </w:tc>
        <w:tc>
          <w:tcPr>
            <w:tcW w:type="dxa" w:w="2160"/>
          </w:tcPr>
          <w:p>
            <w:pPr>
              <w:spacing w:line="240" w:lineRule="auto"/>
            </w:pPr>
            <w:r/>
            <w:r>
              <w:rPr>
                <w:b w:val="0"/>
                <w:i w:val="0"/>
                <w:sz w:val="16"/>
              </w:rPr>
              <w:t>Interpersonal</w:t>
            </w:r>
          </w:p>
        </w:tc>
      </w:tr>
      <w:tr>
        <w:tc>
          <w:tcPr>
            <w:tcW w:type="dxa" w:w="2016"/>
          </w:tcPr>
          <w:p>
            <w:pPr>
              <w:spacing w:line="240" w:lineRule="auto"/>
            </w:pPr>
            <w:r/>
            <w:r>
              <w:rPr>
                <w:b w:val="0"/>
                <w:i w:val="0"/>
                <w:sz w:val="16"/>
              </w:rPr>
              <w:t>Pilver et al. (2011)</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(national surveys)</w:t>
            </w:r>
          </w:p>
        </w:tc>
        <w:tc>
          <w:tcPr>
            <w:tcW w:type="dxa" w:w="864"/>
          </w:tcPr>
          <w:p>
            <w:pPr>
              <w:spacing w:line="240" w:lineRule="auto"/>
            </w:pPr>
            <w:r/>
            <w:r>
              <w:rPr>
                <w:b w:val="0"/>
                <w:i w:val="0"/>
                <w:sz w:val="16"/>
              </w:rPr>
              <w:t>2718</w:t>
            </w:r>
          </w:p>
        </w:tc>
        <w:tc>
          <w:tcPr>
            <w:tcW w:type="dxa" w:w="2160"/>
          </w:tcPr>
          <w:p>
            <w:pPr>
              <w:spacing w:line="240" w:lineRule="auto"/>
            </w:pPr>
            <w:r/>
            <w:r>
              <w:rPr>
                <w:b w:val="0"/>
                <w:i w:val="0"/>
                <w:sz w:val="16"/>
              </w:rPr>
              <w:t>Asian, Latina and Black women</w:t>
            </w:r>
          </w:p>
        </w:tc>
        <w:tc>
          <w:tcPr>
            <w:tcW w:type="dxa" w:w="2160"/>
          </w:tcPr>
          <w:p>
            <w:pPr>
              <w:spacing w:line="240" w:lineRule="auto"/>
            </w:pPr>
            <w:r/>
            <w:r>
              <w:rPr>
                <w:b w:val="0"/>
                <w:i w:val="0"/>
                <w:sz w:val="16"/>
              </w:rPr>
              <w:t>Diagnostic interview (WMH-CIDI)</w:t>
            </w:r>
          </w:p>
        </w:tc>
        <w:tc>
          <w:tcPr>
            <w:tcW w:type="dxa" w:w="2160"/>
          </w:tcPr>
          <w:p>
            <w:pPr>
              <w:spacing w:line="240" w:lineRule="auto"/>
            </w:pPr>
            <w:r/>
            <w:r>
              <w:rPr>
                <w:b w:val="0"/>
                <w:i w:val="0"/>
                <w:sz w:val="16"/>
              </w:rPr>
              <w:t>Trauma/adversity</w:t>
            </w:r>
          </w:p>
        </w:tc>
      </w:tr>
      <w:tr>
        <w:tc>
          <w:tcPr>
            <w:tcW w:type="dxa" w:w="2016"/>
          </w:tcPr>
          <w:p>
            <w:pPr>
              <w:spacing w:line="240" w:lineRule="auto"/>
            </w:pPr>
            <w:r/>
            <w:r>
              <w:rPr>
                <w:b w:val="0"/>
                <w:i w:val="0"/>
                <w:sz w:val="16"/>
              </w:rPr>
              <w:t>Omu et al. (2011)</w:t>
            </w:r>
          </w:p>
        </w:tc>
        <w:tc>
          <w:tcPr>
            <w:tcW w:type="dxa" w:w="1440"/>
          </w:tcPr>
          <w:p>
            <w:pPr>
              <w:spacing w:line="240" w:lineRule="auto"/>
            </w:pPr>
            <w:r/>
            <w:r>
              <w:rPr>
                <w:b w:val="0"/>
                <w:i w:val="0"/>
                <w:sz w:val="16"/>
              </w:rPr>
              <w:t>Kuwait</w:t>
            </w:r>
          </w:p>
        </w:tc>
        <w:tc>
          <w:tcPr>
            <w:tcW w:type="dxa" w:w="2160"/>
          </w:tcPr>
          <w:p>
            <w:pPr>
              <w:spacing w:line="240" w:lineRule="auto"/>
            </w:pPr>
            <w:r/>
            <w:r>
              <w:rPr>
                <w:b w:val="0"/>
                <w:i w:val="0"/>
                <w:sz w:val="16"/>
              </w:rPr>
              <w:t>Prospective observational</w:t>
            </w:r>
          </w:p>
        </w:tc>
        <w:tc>
          <w:tcPr>
            <w:tcW w:type="dxa" w:w="864"/>
          </w:tcPr>
          <w:p>
            <w:pPr>
              <w:spacing w:line="240" w:lineRule="auto"/>
            </w:pPr>
            <w:r/>
            <w:r>
              <w:rPr>
                <w:b w:val="0"/>
                <w:i w:val="0"/>
                <w:sz w:val="16"/>
              </w:rPr>
              <w:t>110</w:t>
            </w:r>
          </w:p>
        </w:tc>
        <w:tc>
          <w:tcPr>
            <w:tcW w:type="dxa" w:w="2160"/>
          </w:tcPr>
          <w:p>
            <w:pPr>
              <w:spacing w:line="240" w:lineRule="auto"/>
            </w:pPr>
            <w:r/>
            <w:r>
              <w:rPr>
                <w:b w:val="0"/>
                <w:i w:val="0"/>
                <w:sz w:val="16"/>
              </w:rPr>
              <w:t>Nursing students</w:t>
            </w:r>
          </w:p>
        </w:tc>
        <w:tc>
          <w:tcPr>
            <w:tcW w:type="dxa" w:w="2160"/>
          </w:tcPr>
          <w:p>
            <w:pPr>
              <w:spacing w:line="240" w:lineRule="auto"/>
            </w:pPr>
            <w:r/>
            <w:r>
              <w:rPr>
                <w:b w:val="0"/>
                <w:i w:val="0"/>
                <w:sz w:val="16"/>
              </w:rPr>
              <w:t>Prospective (Arabic DRSP)</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Hong et al. (2012)</w:t>
            </w:r>
          </w:p>
        </w:tc>
        <w:tc>
          <w:tcPr>
            <w:tcW w:type="dxa" w:w="1440"/>
          </w:tcPr>
          <w:p>
            <w:pPr>
              <w:spacing w:line="240" w:lineRule="auto"/>
            </w:pPr>
            <w:r/>
            <w:r>
              <w:rPr>
                <w:b w:val="0"/>
                <w:i w:val="0"/>
                <w:sz w:val="16"/>
              </w:rPr>
              <w:t>South Korea</w:t>
            </w:r>
          </w:p>
        </w:tc>
        <w:tc>
          <w:tcPr>
            <w:tcW w:type="dxa" w:w="2160"/>
          </w:tcPr>
          <w:p>
            <w:pPr>
              <w:spacing w:line="240" w:lineRule="auto"/>
            </w:pPr>
            <w:r/>
            <w:r>
              <w:rPr>
                <w:b w:val="0"/>
                <w:i w:val="0"/>
                <w:sz w:val="16"/>
              </w:rPr>
              <w:t>Cross-sectional (nationwide survey)</w:t>
            </w:r>
          </w:p>
        </w:tc>
        <w:tc>
          <w:tcPr>
            <w:tcW w:type="dxa" w:w="864"/>
          </w:tcPr>
          <w:p>
            <w:pPr>
              <w:spacing w:line="240" w:lineRule="auto"/>
            </w:pPr>
            <w:r/>
            <w:r>
              <w:rPr>
                <w:b w:val="0"/>
                <w:i w:val="0"/>
                <w:sz w:val="16"/>
              </w:rPr>
              <w:t>2499</w:t>
            </w:r>
          </w:p>
        </w:tc>
        <w:tc>
          <w:tcPr>
            <w:tcW w:type="dxa" w:w="2160"/>
          </w:tcPr>
          <w:p>
            <w:pPr>
              <w:spacing w:line="240" w:lineRule="auto"/>
            </w:pPr>
            <w:r/>
            <w:r>
              <w:rPr>
                <w:b w:val="0"/>
                <w:i w:val="0"/>
                <w:sz w:val="16"/>
              </w:rPr>
              <w:t>Nationally representative sample</w:t>
            </w:r>
          </w:p>
        </w:tc>
        <w:tc>
          <w:tcPr>
            <w:tcW w:type="dxa" w:w="2160"/>
          </w:tcPr>
          <w:p>
            <w:pPr>
              <w:spacing w:line="240" w:lineRule="auto"/>
            </w:pPr>
            <w:r/>
            <w:r>
              <w:rPr>
                <w:b w:val="0"/>
                <w:i w:val="0"/>
                <w:sz w:val="16"/>
              </w:rPr>
              <w:t>Diagnostic interview (K-CIDI)</w:t>
            </w:r>
          </w:p>
        </w:tc>
        <w:tc>
          <w:tcPr>
            <w:tcW w:type="dxa" w:w="2160"/>
          </w:tcPr>
          <w:p>
            <w:pPr>
              <w:spacing w:line="240" w:lineRule="auto"/>
            </w:pPr>
            <w:r/>
            <w:r>
              <w:rPr>
                <w:b w:val="0"/>
                <w:i w:val="0"/>
                <w:sz w:val="16"/>
              </w:rPr>
              <w:t>Psychiatric comorbidity; Suicidality/self-harm; Depression</w:t>
            </w:r>
          </w:p>
        </w:tc>
      </w:tr>
      <w:tr>
        <w:tc>
          <w:tcPr>
            <w:tcW w:type="dxa" w:w="2016"/>
          </w:tcPr>
          <w:p>
            <w:pPr>
              <w:spacing w:line="240" w:lineRule="auto"/>
            </w:pPr>
            <w:r/>
            <w:r>
              <w:rPr>
                <w:b w:val="0"/>
                <w:i w:val="0"/>
                <w:sz w:val="16"/>
              </w:rPr>
              <w:t>Delara et al. (2012)</w:t>
            </w:r>
          </w:p>
        </w:tc>
        <w:tc>
          <w:tcPr>
            <w:tcW w:type="dxa" w:w="1440"/>
          </w:tcPr>
          <w:p>
            <w:pPr>
              <w:spacing w:line="240" w:lineRule="auto"/>
            </w:pPr>
            <w:r/>
            <w:r>
              <w:rPr>
                <w:b w:val="0"/>
                <w:i w:val="0"/>
                <w:sz w:val="16"/>
              </w:rPr>
              <w:t>Iran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602</w:t>
            </w:r>
          </w:p>
        </w:tc>
        <w:tc>
          <w:tcPr>
            <w:tcW w:type="dxa" w:w="2160"/>
          </w:tcPr>
          <w:p>
            <w:pPr>
              <w:spacing w:line="240" w:lineRule="auto"/>
            </w:pPr>
            <w:r/>
            <w:r>
              <w:rPr>
                <w:b w:val="0"/>
                <w:i w:val="0"/>
                <w:sz w:val="16"/>
              </w:rPr>
              <w:t>School adolescents</w:t>
            </w:r>
          </w:p>
        </w:tc>
        <w:tc>
          <w:tcPr>
            <w:tcW w:type="dxa" w:w="2160"/>
          </w:tcPr>
          <w:p>
            <w:pPr>
              <w:spacing w:line="240" w:lineRule="auto"/>
            </w:pPr>
            <w:r/>
            <w:r>
              <w:rPr>
                <w:b w:val="0"/>
                <w:i w:val="0"/>
                <w:sz w:val="16"/>
              </w:rPr>
              <w:t>DSM-IV / ICD-10 criteria</w:t>
            </w:r>
          </w:p>
        </w:tc>
        <w:tc>
          <w:tcPr>
            <w:tcW w:type="dxa" w:w="2160"/>
          </w:tcPr>
          <w:p>
            <w:pPr>
              <w:spacing w:line="240" w:lineRule="auto"/>
            </w:pPr>
            <w:r/>
            <w:r>
              <w:rPr>
                <w:b w:val="0"/>
                <w:i w:val="0"/>
                <w:sz w:val="16"/>
              </w:rPr>
              <w:t>Quality of life; Interpersonal</w:t>
            </w:r>
          </w:p>
        </w:tc>
      </w:tr>
      <w:tr>
        <w:tc>
          <w:tcPr>
            <w:tcW w:type="dxa" w:w="2016"/>
          </w:tcPr>
          <w:p>
            <w:pPr>
              <w:spacing w:line="240" w:lineRule="auto"/>
            </w:pPr>
            <w:r/>
            <w:r>
              <w:rPr>
                <w:b w:val="0"/>
                <w:i w:val="0"/>
                <w:sz w:val="16"/>
              </w:rPr>
              <w:t>Accortt et al. (2013)</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164</w:t>
            </w:r>
          </w:p>
        </w:tc>
        <w:tc>
          <w:tcPr>
            <w:tcW w:type="dxa" w:w="2160"/>
          </w:tcPr>
          <w:p>
            <w:pPr>
              <w:spacing w:line="240" w:lineRule="auto"/>
            </w:pPr>
            <w:r/>
            <w:r>
              <w:rPr>
                <w:b w:val="0"/>
                <w:i w:val="0"/>
                <w:sz w:val="16"/>
              </w:rPr>
              <w:t>Young women with/without depression</w:t>
            </w:r>
          </w:p>
        </w:tc>
        <w:tc>
          <w:tcPr>
            <w:tcW w:type="dxa" w:w="2160"/>
          </w:tcPr>
          <w:p>
            <w:pPr>
              <w:spacing w:line="240" w:lineRule="auto"/>
            </w:pPr>
            <w:r/>
            <w:r>
              <w:rPr>
                <w:b w:val="0"/>
                <w:i w:val="0"/>
                <w:sz w:val="16"/>
              </w:rPr>
              <w:t>Structured interview (SCID-PMDD)</w:t>
            </w:r>
          </w:p>
        </w:tc>
        <w:tc>
          <w:tcPr>
            <w:tcW w:type="dxa" w:w="2160"/>
          </w:tcPr>
          <w:p>
            <w:pPr>
              <w:spacing w:line="240" w:lineRule="auto"/>
            </w:pPr>
            <w:r/>
            <w:r>
              <w:rPr>
                <w:b w:val="0"/>
                <w:i w:val="0"/>
                <w:sz w:val="16"/>
              </w:rPr>
              <w:t>Depression; Psychiatric comorbidity</w:t>
            </w:r>
          </w:p>
        </w:tc>
      </w:tr>
      <w:tr>
        <w:tc>
          <w:tcPr>
            <w:tcW w:type="dxa" w:w="2016"/>
          </w:tcPr>
          <w:p>
            <w:pPr>
              <w:spacing w:line="240" w:lineRule="auto"/>
            </w:pPr>
            <w:r/>
            <w:r>
              <w:rPr>
                <w:b w:val="0"/>
                <w:i w:val="0"/>
                <w:sz w:val="16"/>
              </w:rPr>
              <w:t>Ko et al. (2013)</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142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Psychiatric interview + 3-cycle follow-up</w:t>
            </w:r>
          </w:p>
        </w:tc>
        <w:tc>
          <w:tcPr>
            <w:tcW w:type="dxa" w:w="2160"/>
          </w:tcPr>
          <w:p>
            <w:pPr>
              <w:spacing w:line="240" w:lineRule="auto"/>
            </w:pPr>
            <w:r/>
            <w:r>
              <w:rPr>
                <w:b w:val="0"/>
                <w:i w:val="0"/>
                <w:sz w:val="16"/>
              </w:rPr>
              <w:t>Depression; Anxiety; Mood/emotion regulation; Academic/occupational functioning</w:t>
            </w:r>
          </w:p>
        </w:tc>
      </w:tr>
      <w:tr>
        <w:tc>
          <w:tcPr>
            <w:tcW w:type="dxa" w:w="2016"/>
          </w:tcPr>
          <w:p>
            <w:pPr>
              <w:spacing w:line="240" w:lineRule="auto"/>
            </w:pPr>
            <w:r/>
            <w:r>
              <w:rPr>
                <w:b w:val="0"/>
                <w:i w:val="0"/>
                <w:sz w:val="16"/>
              </w:rPr>
              <w:t>Pilver et al. (2013)</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(national survey, CPES)</w:t>
            </w:r>
          </w:p>
        </w:tc>
        <w:tc>
          <w:tcPr>
            <w:tcW w:type="dxa" w:w="864"/>
          </w:tcPr>
          <w:p>
            <w:pPr>
              <w:spacing w:line="240" w:lineRule="auto"/>
            </w:pPr>
            <w:r/>
            <w:r>
              <w:rPr>
                <w:b w:val="0"/>
                <w:i w:val="0"/>
                <w:sz w:val="16"/>
              </w:rPr>
              <w:t>3965</w:t>
            </w:r>
          </w:p>
        </w:tc>
        <w:tc>
          <w:tcPr>
            <w:tcW w:type="dxa" w:w="2160"/>
          </w:tcPr>
          <w:p>
            <w:pPr>
              <w:spacing w:line="240" w:lineRule="auto"/>
            </w:pPr>
            <w:r/>
            <w:r>
              <w:rPr>
                <w:b w:val="0"/>
                <w:i w:val="0"/>
                <w:sz w:val="16"/>
              </w:rPr>
              <w:t>Nationally representative sample</w:t>
            </w:r>
          </w:p>
        </w:tc>
        <w:tc>
          <w:tcPr>
            <w:tcW w:type="dxa" w:w="2160"/>
          </w:tcPr>
          <w:p>
            <w:pPr>
              <w:spacing w:line="240" w:lineRule="auto"/>
            </w:pPr>
            <w:r/>
            <w:r>
              <w:rPr>
                <w:b w:val="0"/>
                <w:i w:val="0"/>
                <w:sz w:val="16"/>
              </w:rPr>
              <w:t>Diagnostic interview (DSM-IV)</w:t>
            </w:r>
          </w:p>
        </w:tc>
        <w:tc>
          <w:tcPr>
            <w:tcW w:type="dxa" w:w="2160"/>
          </w:tcPr>
          <w:p>
            <w:pPr>
              <w:spacing w:line="240" w:lineRule="auto"/>
            </w:pPr>
            <w:r/>
            <w:r>
              <w:rPr>
                <w:b w:val="0"/>
                <w:i w:val="0"/>
                <w:sz w:val="16"/>
              </w:rPr>
              <w:t>Suicidality/self-harm</w:t>
            </w:r>
          </w:p>
        </w:tc>
      </w:tr>
      <w:tr>
        <w:tc>
          <w:tcPr>
            <w:tcW w:type="dxa" w:w="2016"/>
          </w:tcPr>
          <w:p>
            <w:pPr>
              <w:spacing w:line="240" w:lineRule="auto"/>
            </w:pPr>
            <w:r/>
            <w:r>
              <w:rPr>
                <w:b w:val="0"/>
                <w:i w:val="0"/>
                <w:sz w:val="16"/>
              </w:rPr>
              <w:t>Craner et al. (2013)</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731</w:t>
            </w:r>
          </w:p>
        </w:tc>
        <w:tc>
          <w:tcPr>
            <w:tcW w:type="dxa" w:w="2160"/>
          </w:tcPr>
          <w:p>
            <w:pPr>
              <w:spacing w:line="240" w:lineRule="auto"/>
            </w:pPr>
            <w:r/>
            <w:r>
              <w:rPr>
                <w:b w:val="0"/>
                <w:i w:val="0"/>
                <w:sz w:val="16"/>
              </w:rPr>
              <w:t>College women</w:t>
            </w:r>
          </w:p>
        </w:tc>
        <w:tc>
          <w:tcPr>
            <w:tcW w:type="dxa" w:w="2160"/>
          </w:tcPr>
          <w:p>
            <w:pPr>
              <w:spacing w:line="240" w:lineRule="auto"/>
            </w:pPr>
            <w:r/>
            <w:r>
              <w:rPr>
                <w:b w:val="0"/>
                <w:i w:val="0"/>
                <w:sz w:val="16"/>
              </w:rPr>
              <w:t>Screening tool (provisional diagnosis)</w:t>
            </w:r>
          </w:p>
        </w:tc>
        <w:tc>
          <w:tcPr>
            <w:tcW w:type="dxa" w:w="2160"/>
          </w:tcPr>
          <w:p>
            <w:pPr>
              <w:spacing w:line="240" w:lineRule="auto"/>
            </w:pPr>
            <w:r/>
            <w:r>
              <w:rPr>
                <w:b w:val="0"/>
                <w:i w:val="0"/>
                <w:sz w:val="16"/>
              </w:rPr>
              <w:t>Anxiety; Quality of life</w:t>
            </w:r>
          </w:p>
        </w:tc>
      </w:tr>
      <w:tr>
        <w:tc>
          <w:tcPr>
            <w:tcW w:type="dxa" w:w="2016"/>
          </w:tcPr>
          <w:p>
            <w:pPr>
              <w:spacing w:line="240" w:lineRule="auto"/>
            </w:pPr>
            <w:r/>
            <w:r>
              <w:rPr>
                <w:b w:val="0"/>
                <w:i w:val="0"/>
                <w:sz w:val="16"/>
              </w:rPr>
              <w:t>Akyol et al. (2013)</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100</w:t>
            </w:r>
          </w:p>
        </w:tc>
        <w:tc>
          <w:tcPr>
            <w:tcW w:type="dxa" w:w="2160"/>
          </w:tcPr>
          <w:p>
            <w:pPr>
              <w:spacing w:line="240" w:lineRule="auto"/>
            </w:pPr>
            <w:r/>
            <w:r>
              <w:rPr>
                <w:b w:val="0"/>
                <w:i w:val="0"/>
                <w:sz w:val="16"/>
              </w:rPr>
              <w:t>Clinical patients and controls</w:t>
            </w:r>
          </w:p>
        </w:tc>
        <w:tc>
          <w:tcPr>
            <w:tcW w:type="dxa" w:w="2160"/>
          </w:tcPr>
          <w:p>
            <w:pPr>
              <w:spacing w:line="240" w:lineRule="auto"/>
            </w:pPr>
            <w:r/>
            <w:r>
              <w:rPr>
                <w:b w:val="0"/>
                <w:i w:val="0"/>
                <w:sz w:val="16"/>
              </w:rPr>
              <w:t>DSM criteria</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Hamaideh et al. (2014)</w:t>
            </w:r>
          </w:p>
        </w:tc>
        <w:tc>
          <w:tcPr>
            <w:tcW w:type="dxa" w:w="1440"/>
          </w:tcPr>
          <w:p>
            <w:pPr>
              <w:spacing w:line="240" w:lineRule="auto"/>
            </w:pPr>
            <w:r/>
            <w:r>
              <w:rPr>
                <w:b w:val="0"/>
                <w:i w:val="0"/>
                <w:sz w:val="16"/>
              </w:rPr>
              <w:t>Jordan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254</w:t>
            </w:r>
          </w:p>
        </w:tc>
        <w:tc>
          <w:tcPr>
            <w:tcW w:type="dxa" w:w="2160"/>
          </w:tcPr>
          <w:p>
            <w:pPr>
              <w:spacing w:line="240" w:lineRule="auto"/>
            </w:pPr>
            <w:r/>
            <w:r>
              <w:rPr>
                <w:b w:val="0"/>
                <w:i w:val="0"/>
                <w:sz w:val="16"/>
              </w:rPr>
              <w:t>University students/staff</w:t>
            </w:r>
          </w:p>
        </w:tc>
        <w:tc>
          <w:tcPr>
            <w:tcW w:type="dxa" w:w="2160"/>
          </w:tcPr>
          <w:p>
            <w:pPr>
              <w:spacing w:line="240" w:lineRule="auto"/>
            </w:pPr>
            <w:r/>
            <w:r>
              <w:rPr>
                <w:b w:val="0"/>
                <w:i w:val="0"/>
                <w:sz w:val="16"/>
              </w:rPr>
              <w:t>DSM-IV-TR research criteria</w:t>
            </w:r>
          </w:p>
        </w:tc>
        <w:tc>
          <w:tcPr>
            <w:tcW w:type="dxa" w:w="2160"/>
          </w:tcPr>
          <w:p>
            <w:pPr>
              <w:spacing w:line="240" w:lineRule="auto"/>
            </w:pPr>
            <w:r/>
            <w:r>
              <w:rPr>
                <w:b w:val="0"/>
                <w:i w:val="0"/>
                <w:sz w:val="16"/>
              </w:rPr>
              <w:t>Distress/stress; Coping/resilience; Academic/occupational functioning</w:t>
            </w:r>
          </w:p>
        </w:tc>
      </w:tr>
      <w:tr>
        <w:tc>
          <w:tcPr>
            <w:tcW w:type="dxa" w:w="2016"/>
          </w:tcPr>
          <w:p>
            <w:pPr>
              <w:spacing w:line="240" w:lineRule="auto"/>
            </w:pPr>
            <w:r/>
            <w:r>
              <w:rPr>
                <w:b w:val="0"/>
                <w:i w:val="0"/>
                <w:sz w:val="16"/>
              </w:rPr>
              <w:t>Ko et al. (2014b)</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142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Psychiatric interview + 2-cycle prospective</w:t>
            </w:r>
          </w:p>
        </w:tc>
        <w:tc>
          <w:tcPr>
            <w:tcW w:type="dxa" w:w="2160"/>
          </w:tcPr>
          <w:p>
            <w:pPr>
              <w:spacing w:line="240" w:lineRule="auto"/>
            </w:pPr>
            <w:r/>
            <w:r>
              <w:rPr>
                <w:b w:val="0"/>
                <w:i w:val="0"/>
                <w:sz w:val="16"/>
              </w:rPr>
              <w:t>Personality; Depression; Anxiety</w:t>
            </w:r>
          </w:p>
        </w:tc>
      </w:tr>
      <w:tr>
        <w:tc>
          <w:tcPr>
            <w:tcW w:type="dxa" w:w="2016"/>
          </w:tcPr>
          <w:p>
            <w:pPr>
              <w:spacing w:line="240" w:lineRule="auto"/>
            </w:pPr>
            <w:r/>
            <w:r>
              <w:rPr>
                <w:b w:val="0"/>
                <w:i w:val="0"/>
                <w:sz w:val="16"/>
              </w:rPr>
              <w:t>Craner et al. (2014)</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 prospective (two studies)</w:t>
            </w:r>
          </w:p>
        </w:tc>
        <w:tc>
          <w:tcPr>
            <w:tcW w:type="dxa" w:w="864"/>
          </w:tcPr>
          <w:p>
            <w:pPr>
              <w:spacing w:line="240" w:lineRule="auto"/>
            </w:pPr>
            <w:r/>
            <w:r>
              <w:rPr>
                <w:b w:val="0"/>
                <w:i w:val="0"/>
                <w:sz w:val="16"/>
              </w:rPr>
              <w:t>735 / 85</w:t>
            </w:r>
          </w:p>
        </w:tc>
        <w:tc>
          <w:tcPr>
            <w:tcW w:type="dxa" w:w="2160"/>
          </w:tcPr>
          <w:p>
            <w:pPr>
              <w:spacing w:line="240" w:lineRule="auto"/>
            </w:pPr>
            <w:r/>
            <w:r>
              <w:rPr>
                <w:b w:val="0"/>
                <w:i w:val="0"/>
                <w:sz w:val="16"/>
              </w:rPr>
              <w:t>College women</w:t>
            </w:r>
          </w:p>
        </w:tc>
        <w:tc>
          <w:tcPr>
            <w:tcW w:type="dxa" w:w="2160"/>
          </w:tcPr>
          <w:p>
            <w:pPr>
              <w:spacing w:line="240" w:lineRule="auto"/>
            </w:pPr>
            <w:r/>
            <w:r>
              <w:rPr>
                <w:b w:val="0"/>
                <w:i w:val="0"/>
                <w:sz w:val="16"/>
              </w:rPr>
              <w:t>Retrospective screening + 60-day prospective</w:t>
            </w:r>
          </w:p>
        </w:tc>
        <w:tc>
          <w:tcPr>
            <w:tcW w:type="dxa" w:w="2160"/>
          </w:tcPr>
          <w:p>
            <w:pPr>
              <w:spacing w:line="240" w:lineRule="auto"/>
            </w:pPr>
            <w:r/>
            <w:r>
              <w:rPr>
                <w:b w:val="0"/>
                <w:i w:val="0"/>
                <w:sz w:val="16"/>
              </w:rPr>
              <w:t>Mood/emotion regulation; Coping/resilience; Anxiety</w:t>
            </w:r>
          </w:p>
        </w:tc>
      </w:tr>
      <w:tr>
        <w:tc>
          <w:tcPr>
            <w:tcW w:type="dxa" w:w="2016"/>
          </w:tcPr>
          <w:p>
            <w:pPr>
              <w:spacing w:line="240" w:lineRule="auto"/>
            </w:pPr>
            <w:r/>
            <w:r>
              <w:rPr>
                <w:b w:val="0"/>
                <w:i w:val="0"/>
                <w:sz w:val="16"/>
              </w:rPr>
              <w:t>Ko et al. (2014a)</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155</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Psychiatric interview</w:t>
            </w:r>
          </w:p>
        </w:tc>
        <w:tc>
          <w:tcPr>
            <w:tcW w:type="dxa" w:w="2160"/>
          </w:tcPr>
          <w:p>
            <w:pPr>
              <w:spacing w:line="240" w:lineRule="auto"/>
            </w:pPr>
            <w:r/>
            <w:r>
              <w:rPr>
                <w:b w:val="0"/>
                <w:i w:val="0"/>
                <w:sz w:val="16"/>
              </w:rPr>
              <w:t>Psychiatric comorbidity; Distress/stress; Mood/emotion regulation</w:t>
            </w:r>
          </w:p>
        </w:tc>
      </w:tr>
      <w:tr>
        <w:tc>
          <w:tcPr>
            <w:tcW w:type="dxa" w:w="2016"/>
          </w:tcPr>
          <w:p>
            <w:pPr>
              <w:spacing w:line="240" w:lineRule="auto"/>
            </w:pPr>
            <w:r/>
            <w:r>
              <w:rPr>
                <w:b w:val="0"/>
                <w:i w:val="0"/>
                <w:sz w:val="16"/>
              </w:rPr>
              <w:t>Adegoke et al. (2014)</w:t>
            </w:r>
          </w:p>
        </w:tc>
        <w:tc>
          <w:tcPr>
            <w:tcW w:type="dxa" w:w="1440"/>
          </w:tcPr>
          <w:p>
            <w:pPr>
              <w:spacing w:line="240" w:lineRule="auto"/>
            </w:pPr>
            <w:r/>
            <w:r>
              <w:rPr>
                <w:b w:val="0"/>
                <w:i w:val="0"/>
                <w:sz w:val="16"/>
              </w:rPr>
              <w:t>Nigeria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985</w:t>
            </w:r>
          </w:p>
        </w:tc>
        <w:tc>
          <w:tcPr>
            <w:tcW w:type="dxa" w:w="2160"/>
          </w:tcPr>
          <w:p>
            <w:pPr>
              <w:spacing w:line="240" w:lineRule="auto"/>
            </w:pPr>
            <w:r/>
            <w:r>
              <w:rPr>
                <w:b w:val="0"/>
                <w:i w:val="0"/>
                <w:sz w:val="16"/>
              </w:rPr>
              <w:t>Secondary school adolescents</w:t>
            </w:r>
          </w:p>
        </w:tc>
        <w:tc>
          <w:tcPr>
            <w:tcW w:type="dxa" w:w="2160"/>
          </w:tcPr>
          <w:p>
            <w:pPr>
              <w:spacing w:line="240" w:lineRule="auto"/>
            </w:pPr>
            <w:r/>
            <w:r>
              <w:rPr>
                <w:b w:val="0"/>
                <w:i w:val="0"/>
                <w:sz w:val="16"/>
              </w:rPr>
              <w:t>Self-report questionnaire</w:t>
            </w:r>
          </w:p>
        </w:tc>
        <w:tc>
          <w:tcPr>
            <w:tcW w:type="dxa" w:w="2160"/>
          </w:tcPr>
          <w:p>
            <w:pPr>
              <w:spacing w:line="240" w:lineRule="auto"/>
            </w:pPr>
            <w:r/>
            <w:r>
              <w:rPr>
                <w:b w:val="0"/>
                <w:i w:val="0"/>
                <w:sz w:val="16"/>
              </w:rPr>
              <w:t>Distress/stress</w:t>
            </w:r>
          </w:p>
        </w:tc>
      </w:tr>
      <w:tr>
        <w:tc>
          <w:tcPr>
            <w:tcW w:type="dxa" w:w="2016"/>
          </w:tcPr>
          <w:p>
            <w:pPr>
              <w:spacing w:line="240" w:lineRule="auto"/>
            </w:pPr>
            <w:r/>
            <w:r>
              <w:rPr>
                <w:b w:val="0"/>
                <w:i w:val="0"/>
                <w:sz w:val="16"/>
              </w:rPr>
              <w:t>Balık et al. (2015)</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92</w:t>
            </w:r>
          </w:p>
        </w:tc>
        <w:tc>
          <w:tcPr>
            <w:tcW w:type="dxa" w:w="2160"/>
          </w:tcPr>
          <w:p>
            <w:pPr>
              <w:spacing w:line="240" w:lineRule="auto"/>
            </w:pPr>
            <w:r/>
            <w:r>
              <w:rPr>
                <w:b w:val="0"/>
                <w:i w:val="0"/>
                <w:sz w:val="16"/>
              </w:rPr>
              <w:t>Gynaecology outpatients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Depression; Anxiety; Quality of life; Academic/occupational functioning</w:t>
            </w:r>
          </w:p>
        </w:tc>
      </w:tr>
      <w:tr>
        <w:tc>
          <w:tcPr>
            <w:tcW w:type="dxa" w:w="2016"/>
          </w:tcPr>
          <w:p>
            <w:pPr>
              <w:spacing w:line="240" w:lineRule="auto"/>
            </w:pPr>
            <w:r/>
            <w:r>
              <w:rPr>
                <w:b w:val="0"/>
                <w:i w:val="0"/>
                <w:sz w:val="16"/>
              </w:rPr>
              <w:t>Craner et al. (2015)</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Case-control (laboratory stressor)</w:t>
            </w:r>
          </w:p>
        </w:tc>
        <w:tc>
          <w:tcPr>
            <w:tcW w:type="dxa" w:w="864"/>
          </w:tcPr>
          <w:p>
            <w:pPr>
              <w:spacing w:line="240" w:lineRule="auto"/>
            </w:pPr>
            <w:r/>
            <w:r>
              <w:rPr>
                <w:b w:val="0"/>
                <w:i w:val="0"/>
                <w:sz w:val="16"/>
              </w:rPr>
              <w:t>52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Clinical interview + 30-day prospective ratings</w:t>
            </w:r>
          </w:p>
        </w:tc>
        <w:tc>
          <w:tcPr>
            <w:tcW w:type="dxa" w:w="2160"/>
          </w:tcPr>
          <w:p>
            <w:pPr>
              <w:spacing w:line="240" w:lineRule="auto"/>
            </w:pPr>
            <w:r/>
            <w:r>
              <w:rPr>
                <w:b w:val="0"/>
                <w:i w:val="0"/>
                <w:sz w:val="16"/>
              </w:rPr>
              <w:t>Mood/emotion regulation; Coping/resilience</w:t>
            </w:r>
          </w:p>
        </w:tc>
      </w:tr>
      <w:tr>
        <w:tc>
          <w:tcPr>
            <w:tcW w:type="dxa" w:w="2016"/>
          </w:tcPr>
          <w:p>
            <w:pPr>
              <w:spacing w:line="240" w:lineRule="auto"/>
            </w:pPr>
            <w:r/>
            <w:r>
              <w:rPr>
                <w:b w:val="0"/>
                <w:i w:val="0"/>
                <w:sz w:val="16"/>
              </w:rPr>
              <w:t>Petersen et al. (2016)</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36</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 (DSM-5)</w:t>
            </w:r>
          </w:p>
        </w:tc>
        <w:tc>
          <w:tcPr>
            <w:tcW w:type="dxa" w:w="2160"/>
          </w:tcPr>
          <w:p>
            <w:pPr>
              <w:spacing w:line="240" w:lineRule="auto"/>
            </w:pPr>
            <w:r/>
            <w:r>
              <w:rPr>
                <w:b w:val="0"/>
                <w:i w:val="0"/>
                <w:sz w:val="16"/>
              </w:rPr>
              <w:t>Mood/emotion regulation; Interpersonal; Distress/stress</w:t>
            </w:r>
          </w:p>
        </w:tc>
      </w:tr>
      <w:tr>
        <w:tc>
          <w:tcPr>
            <w:tcW w:type="dxa" w:w="2016"/>
          </w:tcPr>
          <w:p>
            <w:pPr>
              <w:spacing w:line="240" w:lineRule="auto"/>
            </w:pPr>
            <w:r/>
            <w:r>
              <w:rPr>
                <w:b w:val="0"/>
                <w:i w:val="0"/>
                <w:sz w:val="16"/>
              </w:rPr>
              <w:t>Craner et al. (2016)</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Prospective daily ratings (30 days)</w:t>
            </w:r>
          </w:p>
        </w:tc>
        <w:tc>
          <w:tcPr>
            <w:tcW w:type="dxa" w:w="864"/>
          </w:tcPr>
          <w:p>
            <w:pPr>
              <w:spacing w:line="240" w:lineRule="auto"/>
            </w:pPr>
            <w:r/>
            <w:r>
              <w:rPr>
                <w:b w:val="0"/>
                <w:i w:val="0"/>
                <w:sz w:val="16"/>
              </w:rPr>
              <w:t>61</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Nobles et al. (2016)</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Cross-sectional (national survey, CPES)</w:t>
            </w:r>
          </w:p>
        </w:tc>
        <w:tc>
          <w:tcPr>
            <w:tcW w:type="dxa" w:w="864"/>
          </w:tcPr>
          <w:p>
            <w:pPr>
              <w:spacing w:line="240" w:lineRule="auto"/>
            </w:pPr>
            <w:r/>
            <w:r>
              <w:rPr>
                <w:b w:val="0"/>
                <w:i w:val="0"/>
                <w:sz w:val="16"/>
              </w:rPr>
              <w:t>8694</w:t>
            </w:r>
          </w:p>
        </w:tc>
        <w:tc>
          <w:tcPr>
            <w:tcW w:type="dxa" w:w="2160"/>
          </w:tcPr>
          <w:p>
            <w:pPr>
              <w:spacing w:line="240" w:lineRule="auto"/>
            </w:pPr>
            <w:r/>
            <w:r>
              <w:rPr>
                <w:b w:val="0"/>
                <w:i w:val="0"/>
                <w:sz w:val="16"/>
              </w:rPr>
              <w:t>Nationally representative sample</w:t>
            </w:r>
          </w:p>
        </w:tc>
        <w:tc>
          <w:tcPr>
            <w:tcW w:type="dxa" w:w="2160"/>
          </w:tcPr>
          <w:p>
            <w:pPr>
              <w:spacing w:line="240" w:lineRule="auto"/>
            </w:pPr>
            <w:r/>
            <w:r>
              <w:rPr>
                <w:b w:val="0"/>
                <w:i w:val="0"/>
                <w:sz w:val="16"/>
              </w:rPr>
              <w:t>Diagnostic interview (DSM-IV)</w:t>
            </w:r>
          </w:p>
        </w:tc>
        <w:tc>
          <w:tcPr>
            <w:tcW w:type="dxa" w:w="2160"/>
          </w:tcPr>
          <w:p>
            <w:pPr>
              <w:spacing w:line="240" w:lineRule="auto"/>
            </w:pPr>
            <w:r/>
            <w:r>
              <w:rPr>
                <w:b w:val="0"/>
                <w:i w:val="0"/>
                <w:sz w:val="16"/>
              </w:rPr>
              <w:t>Psychiatric comorbidity</w:t>
            </w:r>
          </w:p>
        </w:tc>
      </w:tr>
      <w:tr>
        <w:tc>
          <w:tcPr>
            <w:tcW w:type="dxa" w:w="2016"/>
          </w:tcPr>
          <w:p>
            <w:pPr>
              <w:spacing w:line="240" w:lineRule="auto"/>
            </w:pPr>
            <w:r/>
            <w:r>
              <w:rPr>
                <w:b w:val="0"/>
                <w:i w:val="0"/>
                <w:sz w:val="16"/>
              </w:rPr>
              <w:t>Ducasse et al. (2016)</w:t>
            </w:r>
          </w:p>
        </w:tc>
        <w:tc>
          <w:tcPr>
            <w:tcW w:type="dxa" w:w="1440"/>
          </w:tcPr>
          <w:p>
            <w:pPr>
              <w:spacing w:line="240" w:lineRule="auto"/>
            </w:pPr>
            <w:r/>
            <w:r>
              <w:rPr>
                <w:b w:val="0"/>
                <w:i w:val="0"/>
                <w:sz w:val="16"/>
              </w:rPr>
              <w:t>France</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232</w:t>
            </w:r>
          </w:p>
        </w:tc>
        <w:tc>
          <w:tcPr>
            <w:tcW w:type="dxa" w:w="2160"/>
          </w:tcPr>
          <w:p>
            <w:pPr>
              <w:spacing w:line="240" w:lineRule="auto"/>
            </w:pPr>
            <w:r/>
            <w:r>
              <w:rPr>
                <w:b w:val="0"/>
                <w:i w:val="0"/>
                <w:sz w:val="16"/>
              </w:rPr>
              <w:t>Hospitalised suicide attempters</w:t>
            </w:r>
          </w:p>
        </w:tc>
        <w:tc>
          <w:tcPr>
            <w:tcW w:type="dxa" w:w="2160"/>
          </w:tcPr>
          <w:p>
            <w:pPr>
              <w:spacing w:line="240" w:lineRule="auto"/>
            </w:pPr>
            <w:r/>
            <w:r>
              <w:rPr>
                <w:b w:val="0"/>
                <w:i w:val="0"/>
                <w:sz w:val="16"/>
              </w:rPr>
              <w:t>Algorithm from shortened PAF</w:t>
            </w:r>
          </w:p>
        </w:tc>
        <w:tc>
          <w:tcPr>
            <w:tcW w:type="dxa" w:w="2160"/>
          </w:tcPr>
          <w:p>
            <w:pPr>
              <w:spacing w:line="240" w:lineRule="auto"/>
            </w:pPr>
            <w:r/>
            <w:r>
              <w:rPr>
                <w:b w:val="0"/>
                <w:i w:val="0"/>
                <w:sz w:val="16"/>
              </w:rPr>
              <w:t>Personality; Suicidality/self-harm; Mood/emotion regulation</w:t>
            </w:r>
          </w:p>
        </w:tc>
      </w:tr>
      <w:tr>
        <w:tc>
          <w:tcPr>
            <w:tcW w:type="dxa" w:w="2016"/>
          </w:tcPr>
          <w:p>
            <w:pPr>
              <w:spacing w:line="240" w:lineRule="auto"/>
            </w:pPr>
            <w:r/>
            <w:r>
              <w:rPr>
                <w:b w:val="0"/>
                <w:i w:val="0"/>
                <w:sz w:val="16"/>
              </w:rPr>
              <w:t>Reuveni et al. (2016)</w:t>
            </w:r>
          </w:p>
        </w:tc>
        <w:tc>
          <w:tcPr>
            <w:tcW w:type="dxa" w:w="1440"/>
          </w:tcPr>
          <w:p>
            <w:pPr>
              <w:spacing w:line="240" w:lineRule="auto"/>
            </w:pPr>
            <w:r/>
            <w:r>
              <w:rPr>
                <w:b w:val="0"/>
                <w:i w:val="0"/>
                <w:sz w:val="16"/>
              </w:rPr>
              <w:t>Israel</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648</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Schmalenberger et al. (2017)</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Prospective daily ratings</w:t>
            </w:r>
          </w:p>
        </w:tc>
        <w:tc>
          <w:tcPr>
            <w:tcW w:type="dxa" w:w="864"/>
          </w:tcPr>
          <w:p>
            <w:pPr>
              <w:spacing w:line="240" w:lineRule="auto"/>
            </w:pPr>
            <w:r/>
            <w:r>
              <w:rPr>
                <w:b w:val="0"/>
                <w:i w:val="0"/>
                <w:sz w:val="16"/>
              </w:rPr>
              <w:t>267</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(DRSP)</w:t>
            </w:r>
          </w:p>
        </w:tc>
        <w:tc>
          <w:tcPr>
            <w:tcW w:type="dxa" w:w="2160"/>
          </w:tcPr>
          <w:p>
            <w:pPr>
              <w:spacing w:line="240" w:lineRule="auto"/>
            </w:pPr>
            <w:r/>
            <w:r>
              <w:rPr>
                <w:b w:val="0"/>
                <w:i w:val="0"/>
                <w:sz w:val="16"/>
              </w:rPr>
              <w:t>Academic/occupational functioning; Interpersonal</w:t>
            </w:r>
          </w:p>
        </w:tc>
      </w:tr>
      <w:tr>
        <w:tc>
          <w:tcPr>
            <w:tcW w:type="dxa" w:w="2016"/>
          </w:tcPr>
          <w:p>
            <w:pPr>
              <w:spacing w:line="240" w:lineRule="auto"/>
            </w:pPr>
            <w:r/>
            <w:r>
              <w:rPr>
                <w:b w:val="0"/>
                <w:i w:val="0"/>
                <w:sz w:val="16"/>
              </w:rPr>
              <w:t>Alemu et al. (2017)</w:t>
            </w:r>
          </w:p>
        </w:tc>
        <w:tc>
          <w:tcPr>
            <w:tcW w:type="dxa" w:w="1440"/>
          </w:tcPr>
          <w:p>
            <w:pPr>
              <w:spacing w:line="240" w:lineRule="auto"/>
            </w:pPr>
            <w:r/>
            <w:r>
              <w:rPr>
                <w:b w:val="0"/>
                <w:i w:val="0"/>
                <w:sz w:val="16"/>
              </w:rPr>
              <w:t>Ethiopia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529</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DSM-based criteria</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Yamada &amp; Kamagata (2017)</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Chart review</w:t>
            </w:r>
          </w:p>
        </w:tc>
        <w:tc>
          <w:tcPr>
            <w:tcW w:type="dxa" w:w="864"/>
          </w:tcPr>
          <w:p>
            <w:pPr>
              <w:spacing w:line="240" w:lineRule="auto"/>
            </w:pPr>
            <w:r/>
            <w:r>
              <w:rPr>
                <w:b w:val="0"/>
                <w:i w:val="0"/>
                <w:sz w:val="16"/>
              </w:rPr>
              <w:t>66</w:t>
            </w:r>
          </w:p>
        </w:tc>
        <w:tc>
          <w:tcPr>
            <w:tcW w:type="dxa" w:w="2160"/>
          </w:tcPr>
          <w:p>
            <w:pPr>
              <w:spacing w:line="240" w:lineRule="auto"/>
            </w:pPr>
            <w:r/>
            <w:r>
              <w:rPr>
                <w:b w:val="0"/>
                <w:i w:val="0"/>
                <w:sz w:val="16"/>
              </w:rPr>
              <w:t>Untreated clinical patients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Quality of life</w:t>
            </w:r>
          </w:p>
        </w:tc>
      </w:tr>
      <w:tr>
        <w:tc>
          <w:tcPr>
            <w:tcW w:type="dxa" w:w="2016"/>
          </w:tcPr>
          <w:p>
            <w:pPr>
              <w:spacing w:line="240" w:lineRule="auto"/>
            </w:pPr>
            <w:r/>
            <w:r>
              <w:rPr>
                <w:b w:val="0"/>
                <w:i w:val="0"/>
                <w:sz w:val="16"/>
              </w:rPr>
              <w:t>Slyepchenko et al. (2017)</w:t>
            </w:r>
          </w:p>
        </w:tc>
        <w:tc>
          <w:tcPr>
            <w:tcW w:type="dxa" w:w="1440"/>
          </w:tcPr>
          <w:p>
            <w:pPr>
              <w:spacing w:line="240" w:lineRule="auto"/>
            </w:pPr>
            <w:r/>
            <w:r>
              <w:rPr>
                <w:b w:val="0"/>
                <w:i w:val="0"/>
                <w:sz w:val="16"/>
              </w:rPr>
              <w:t>United States</w:t>
            </w:r>
          </w:p>
        </w:tc>
        <w:tc>
          <w:tcPr>
            <w:tcW w:type="dxa" w:w="2160"/>
          </w:tcPr>
          <w:p>
            <w:pPr>
              <w:spacing w:line="240" w:lineRule="auto"/>
            </w:pPr>
            <w:r/>
            <w:r>
              <w:rPr>
                <w:b w:val="0"/>
                <w:i w:val="0"/>
                <w:sz w:val="16"/>
              </w:rPr>
              <w:t>Secondary analysis (STEP-BD cohort)</w:t>
            </w:r>
          </w:p>
        </w:tc>
        <w:tc>
          <w:tcPr>
            <w:tcW w:type="dxa" w:w="864"/>
          </w:tcPr>
          <w:p>
            <w:pPr>
              <w:spacing w:line="240" w:lineRule="auto"/>
            </w:pPr>
            <w:r/>
            <w:r>
              <w:rPr>
                <w:b w:val="0"/>
                <w:i w:val="0"/>
                <w:sz w:val="16"/>
              </w:rPr>
              <w:t>1099</w:t>
            </w:r>
          </w:p>
        </w:tc>
        <w:tc>
          <w:tcPr>
            <w:tcW w:type="dxa" w:w="2160"/>
          </w:tcPr>
          <w:p>
            <w:pPr>
              <w:spacing w:line="240" w:lineRule="auto"/>
            </w:pPr>
            <w:r/>
            <w:r>
              <w:rPr>
                <w:b w:val="0"/>
                <w:i w:val="0"/>
                <w:sz w:val="16"/>
              </w:rPr>
              <w:t>Women with bipolar disorder</w:t>
            </w:r>
          </w:p>
        </w:tc>
        <w:tc>
          <w:tcPr>
            <w:tcW w:type="dxa" w:w="2160"/>
          </w:tcPr>
          <w:p>
            <w:pPr>
              <w:spacing w:line="240" w:lineRule="auto"/>
            </w:pPr>
            <w:r/>
            <w:r>
              <w:rPr>
                <w:b w:val="0"/>
                <w:i w:val="0"/>
                <w:sz w:val="16"/>
              </w:rPr>
              <w:t>DSM-5 criteria (self-report questionnaire)</w:t>
            </w:r>
          </w:p>
        </w:tc>
        <w:tc>
          <w:tcPr>
            <w:tcW w:type="dxa" w:w="2160"/>
          </w:tcPr>
          <w:p>
            <w:pPr>
              <w:spacing w:line="240" w:lineRule="auto"/>
            </w:pPr>
            <w:r/>
            <w:r>
              <w:rPr>
                <w:b w:val="0"/>
                <w:i w:val="0"/>
                <w:sz w:val="16"/>
              </w:rPr>
              <w:t>Psychiatric comorbidity; Depression</w:t>
            </w:r>
          </w:p>
        </w:tc>
      </w:tr>
      <w:tr>
        <w:tc>
          <w:tcPr>
            <w:tcW w:type="dxa" w:w="2016"/>
          </w:tcPr>
          <w:p>
            <w:pPr>
              <w:spacing w:line="240" w:lineRule="auto"/>
            </w:pPr>
            <w:r/>
            <w:r>
              <w:rPr>
                <w:b w:val="0"/>
                <w:i w:val="0"/>
                <w:sz w:val="16"/>
              </w:rPr>
              <w:t>Shams-Alizadeh et al. (2018)</w:t>
            </w:r>
          </w:p>
        </w:tc>
        <w:tc>
          <w:tcPr>
            <w:tcW w:type="dxa" w:w="1440"/>
          </w:tcPr>
          <w:p>
            <w:pPr>
              <w:spacing w:line="240" w:lineRule="auto"/>
            </w:pPr>
            <w:r/>
            <w:r>
              <w:rPr>
                <w:b w:val="0"/>
                <w:i w:val="0"/>
                <w:sz w:val="16"/>
              </w:rPr>
              <w:t>Iran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240</w:t>
            </w:r>
          </w:p>
        </w:tc>
        <w:tc>
          <w:tcPr>
            <w:tcW w:type="dxa" w:w="2160"/>
          </w:tcPr>
          <w:p>
            <w:pPr>
              <w:spacing w:line="240" w:lineRule="auto"/>
            </w:pPr>
            <w:r/>
            <w:r>
              <w:rPr>
                <w:b w:val="0"/>
                <w:i w:val="0"/>
                <w:sz w:val="16"/>
              </w:rPr>
              <w:t>Hospitalised suicide attempters and controls</w:t>
            </w:r>
          </w:p>
        </w:tc>
        <w:tc>
          <w:tcPr>
            <w:tcW w:type="dxa" w:w="2160"/>
          </w:tcPr>
          <w:p>
            <w:pPr>
              <w:spacing w:line="240" w:lineRule="auto"/>
            </w:pPr>
            <w:r/>
            <w:r>
              <w:rPr>
                <w:b w:val="0"/>
                <w:i w:val="0"/>
                <w:sz w:val="16"/>
              </w:rPr>
              <w:t>Psychiatric interview (DSM-5)</w:t>
            </w:r>
          </w:p>
        </w:tc>
        <w:tc>
          <w:tcPr>
            <w:tcW w:type="dxa" w:w="2160"/>
          </w:tcPr>
          <w:p>
            <w:pPr>
              <w:spacing w:line="240" w:lineRule="auto"/>
            </w:pPr>
            <w:r/>
            <w:r>
              <w:rPr>
                <w:b w:val="0"/>
                <w:i w:val="0"/>
                <w:sz w:val="16"/>
              </w:rPr>
              <w:t>Suicidality/self-harm</w:t>
            </w:r>
          </w:p>
        </w:tc>
      </w:tr>
      <w:tr>
        <w:tc>
          <w:tcPr>
            <w:tcW w:type="dxa" w:w="2016"/>
          </w:tcPr>
          <w:p>
            <w:pPr>
              <w:spacing w:line="240" w:lineRule="auto"/>
            </w:pPr>
            <w:r/>
            <w:r>
              <w:rPr>
                <w:b w:val="0"/>
                <w:i w:val="0"/>
                <w:sz w:val="16"/>
              </w:rPr>
              <w:t>Hussein Shehadeh &amp; Hamdan-Mansour (2018)</w:t>
            </w:r>
          </w:p>
        </w:tc>
        <w:tc>
          <w:tcPr>
            <w:tcW w:type="dxa" w:w="1440"/>
          </w:tcPr>
          <w:p>
            <w:pPr>
              <w:spacing w:line="240" w:lineRule="auto"/>
            </w:pPr>
            <w:r/>
            <w:r>
              <w:rPr>
                <w:b w:val="0"/>
                <w:i w:val="0"/>
                <w:sz w:val="16"/>
              </w:rPr>
              <w:t>Jordan</w:t>
            </w:r>
          </w:p>
        </w:tc>
        <w:tc>
          <w:tcPr>
            <w:tcW w:type="dxa" w:w="2160"/>
          </w:tcPr>
          <w:p>
            <w:pPr>
              <w:spacing w:line="240" w:lineRule="auto"/>
            </w:pPr>
            <w:r/>
            <w:r>
              <w:rPr>
                <w:b w:val="0"/>
                <w:i w:val="0"/>
                <w:sz w:val="16"/>
              </w:rPr>
              <w:t>Prospective-correlational</w:t>
            </w:r>
          </w:p>
        </w:tc>
        <w:tc>
          <w:tcPr>
            <w:tcW w:type="dxa" w:w="864"/>
          </w:tcPr>
          <w:p>
            <w:pPr>
              <w:spacing w:line="240" w:lineRule="auto"/>
            </w:pPr>
            <w:r/>
            <w:r>
              <w:rPr>
                <w:b w:val="0"/>
                <w:i w:val="0"/>
                <w:sz w:val="16"/>
              </w:rPr>
              <w:t>858</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Daily symptom records</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Yen et al. (2018)</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196</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Psychiatric interview + 3-cycle prospective</w:t>
            </w:r>
          </w:p>
        </w:tc>
        <w:tc>
          <w:tcPr>
            <w:tcW w:type="dxa" w:w="2160"/>
          </w:tcPr>
          <w:p>
            <w:pPr>
              <w:spacing w:line="240" w:lineRule="auto"/>
            </w:pPr>
            <w:r/>
            <w:r>
              <w:rPr>
                <w:b w:val="0"/>
                <w:i w:val="0"/>
                <w:sz w:val="16"/>
              </w:rPr>
              <w:t>Mood/emotion regulation; Depression; Anxiety; Distress/stress</w:t>
            </w:r>
          </w:p>
        </w:tc>
      </w:tr>
      <w:tr>
        <w:tc>
          <w:tcPr>
            <w:tcW w:type="dxa" w:w="2016"/>
          </w:tcPr>
          <w:p>
            <w:pPr>
              <w:spacing w:line="240" w:lineRule="auto"/>
            </w:pPr>
            <w:r/>
            <w:r>
              <w:rPr>
                <w:b w:val="0"/>
                <w:i w:val="0"/>
                <w:sz w:val="16"/>
              </w:rPr>
              <w:t>de Carvalho et al. (2018)</w:t>
            </w:r>
          </w:p>
        </w:tc>
        <w:tc>
          <w:tcPr>
            <w:tcW w:type="dxa" w:w="1440"/>
          </w:tcPr>
          <w:p>
            <w:pPr>
              <w:spacing w:line="240" w:lineRule="auto"/>
            </w:pPr>
            <w:r/>
            <w:r>
              <w:rPr>
                <w:b w:val="0"/>
                <w:i w:val="0"/>
                <w:sz w:val="16"/>
              </w:rPr>
              <w:t>Brazil</w:t>
            </w:r>
          </w:p>
        </w:tc>
        <w:tc>
          <w:tcPr>
            <w:tcW w:type="dxa" w:w="2160"/>
          </w:tcPr>
          <w:p>
            <w:pPr>
              <w:spacing w:line="240" w:lineRule="auto"/>
            </w:pPr>
            <w:r/>
            <w:r>
              <w:rPr>
                <w:b w:val="0"/>
                <w:i w:val="0"/>
                <w:sz w:val="16"/>
              </w:rPr>
              <w:t>Cross-sectional (population-based)</w:t>
            </w:r>
          </w:p>
        </w:tc>
        <w:tc>
          <w:tcPr>
            <w:tcW w:type="dxa" w:w="864"/>
          </w:tcPr>
          <w:p>
            <w:pPr>
              <w:spacing w:line="240" w:lineRule="auto"/>
            </w:pPr>
            <w:r/>
            <w:r>
              <w:rPr>
                <w:b w:val="0"/>
                <w:i w:val="0"/>
                <w:sz w:val="16"/>
              </w:rPr>
              <w:t>727</w:t>
            </w:r>
          </w:p>
        </w:tc>
        <w:tc>
          <w:tcPr>
            <w:tcW w:type="dxa" w:w="2160"/>
          </w:tcPr>
          <w:p>
            <w:pPr>
              <w:spacing w:line="240" w:lineRule="auto"/>
            </w:pPr>
            <w:r/>
            <w:r>
              <w:rPr>
                <w:b w:val="0"/>
                <w:i w:val="0"/>
                <w:sz w:val="16"/>
              </w:rPr>
              <w:t>Young adult community women</w:t>
            </w:r>
          </w:p>
        </w:tc>
        <w:tc>
          <w:tcPr>
            <w:tcW w:type="dxa" w:w="2160"/>
          </w:tcPr>
          <w:p>
            <w:pPr>
              <w:spacing w:line="240" w:lineRule="auto"/>
            </w:pPr>
            <w:r/>
            <w:r>
              <w:rPr>
                <w:b w:val="0"/>
                <w:i w:val="0"/>
                <w:sz w:val="16"/>
              </w:rPr>
              <w:t>Diagnostic interview (MINI-Plus)</w:t>
            </w:r>
          </w:p>
        </w:tc>
        <w:tc>
          <w:tcPr>
            <w:tcW w:type="dxa" w:w="2160"/>
          </w:tcPr>
          <w:p>
            <w:pPr>
              <w:spacing w:line="240" w:lineRule="auto"/>
            </w:pPr>
            <w:r/>
            <w:r>
              <w:rPr>
                <w:b w:val="0"/>
                <w:i w:val="0"/>
                <w:sz w:val="16"/>
              </w:rPr>
              <w:t>Psychiatric comorbidity; Suicidality/self-harm; Depression; Anxiety</w:t>
            </w:r>
          </w:p>
        </w:tc>
      </w:tr>
      <w:tr>
        <w:tc>
          <w:tcPr>
            <w:tcW w:type="dxa" w:w="2016"/>
          </w:tcPr>
          <w:p>
            <w:pPr>
              <w:spacing w:line="240" w:lineRule="auto"/>
            </w:pPr>
            <w:r/>
            <w:r>
              <w:rPr>
                <w:b w:val="0"/>
                <w:i w:val="0"/>
                <w:sz w:val="16"/>
              </w:rPr>
              <w:t>Izadi-Mazidi &amp; Amiri (2019)</w:t>
            </w:r>
          </w:p>
        </w:tc>
        <w:tc>
          <w:tcPr>
            <w:tcW w:type="dxa" w:w="1440"/>
          </w:tcPr>
          <w:p>
            <w:pPr>
              <w:spacing w:line="240" w:lineRule="auto"/>
            </w:pPr>
            <w:r/>
            <w:r>
              <w:rPr>
                <w:b w:val="0"/>
                <w:i w:val="0"/>
                <w:sz w:val="16"/>
              </w:rPr>
              <w:t>Iran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210</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Personality</w:t>
            </w:r>
          </w:p>
        </w:tc>
      </w:tr>
      <w:tr>
        <w:tc>
          <w:tcPr>
            <w:tcW w:type="dxa" w:w="2016"/>
          </w:tcPr>
          <w:p>
            <w:pPr>
              <w:spacing w:line="240" w:lineRule="auto"/>
            </w:pPr>
            <w:r/>
            <w:r>
              <w:rPr>
                <w:b w:val="0"/>
                <w:i w:val="0"/>
                <w:sz w:val="16"/>
              </w:rPr>
              <w:t>Fernández et al. (2019)</w:t>
            </w:r>
          </w:p>
        </w:tc>
        <w:tc>
          <w:tcPr>
            <w:tcW w:type="dxa" w:w="1440"/>
          </w:tcPr>
          <w:p>
            <w:pPr>
              <w:spacing w:line="240" w:lineRule="auto"/>
            </w:pPr>
            <w:r/>
            <w:r>
              <w:rPr>
                <w:b w:val="0"/>
                <w:i w:val="0"/>
                <w:sz w:val="16"/>
              </w:rPr>
              <w:t>Spain</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264</w:t>
            </w:r>
          </w:p>
        </w:tc>
        <w:tc>
          <w:tcPr>
            <w:tcW w:type="dxa" w:w="2160"/>
          </w:tcPr>
          <w:p>
            <w:pPr>
              <w:spacing w:line="240" w:lineRule="auto"/>
            </w:pPr>
            <w:r/>
            <w:r>
              <w:rPr>
                <w:b w:val="0"/>
                <w:i w:val="0"/>
                <w:sz w:val="16"/>
              </w:rPr>
              <w:t>Hospital and family-planning clinic attendees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Distress/stress; Personality; Coping/resilience</w:t>
            </w:r>
          </w:p>
        </w:tc>
      </w:tr>
      <w:tr>
        <w:tc>
          <w:tcPr>
            <w:tcW w:type="dxa" w:w="2016"/>
          </w:tcPr>
          <w:p>
            <w:pPr>
              <w:spacing w:line="240" w:lineRule="auto"/>
            </w:pPr>
            <w:r/>
            <w:r>
              <w:rPr>
                <w:b w:val="0"/>
                <w:i w:val="0"/>
                <w:sz w:val="16"/>
              </w:rPr>
              <w:t>Beddig et al. (2019)</w:t>
            </w:r>
          </w:p>
        </w:tc>
        <w:tc>
          <w:tcPr>
            <w:tcW w:type="dxa" w:w="1440"/>
          </w:tcPr>
          <w:p>
            <w:pPr>
              <w:spacing w:line="240" w:lineRule="auto"/>
            </w:pPr>
            <w:r/>
            <w:r>
              <w:rPr>
                <w:b w:val="0"/>
                <w:i w:val="0"/>
                <w:sz w:val="16"/>
              </w:rPr>
              <w:t>Germany</w:t>
            </w:r>
          </w:p>
        </w:tc>
        <w:tc>
          <w:tcPr>
            <w:tcW w:type="dxa" w:w="2160"/>
          </w:tcPr>
          <w:p>
            <w:pPr>
              <w:spacing w:line="240" w:lineRule="auto"/>
            </w:pPr>
            <w:r/>
            <w:r>
              <w:rPr>
                <w:b w:val="0"/>
                <w:i w:val="0"/>
                <w:sz w:val="16"/>
              </w:rPr>
              <w:t>Ambulatory assessment (EMA)</w:t>
            </w:r>
          </w:p>
        </w:tc>
        <w:tc>
          <w:tcPr>
            <w:tcW w:type="dxa" w:w="864"/>
          </w:tcPr>
          <w:p>
            <w:pPr>
              <w:spacing w:line="240" w:lineRule="auto"/>
            </w:pPr>
            <w:r/>
            <w:r>
              <w:rPr>
                <w:b w:val="0"/>
                <w:i w:val="0"/>
                <w:sz w:val="16"/>
              </w:rPr>
              <w:t>122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Distress/stress; Mood/emotion regulation</w:t>
            </w:r>
          </w:p>
        </w:tc>
      </w:tr>
      <w:tr>
        <w:tc>
          <w:tcPr>
            <w:tcW w:type="dxa" w:w="2016"/>
          </w:tcPr>
          <w:p>
            <w:pPr>
              <w:spacing w:line="240" w:lineRule="auto"/>
            </w:pPr>
            <w:r/>
            <w:r>
              <w:rPr>
                <w:b w:val="0"/>
                <w:i w:val="0"/>
                <w:sz w:val="16"/>
              </w:rPr>
              <w:t>Śliwerski &amp; Bielawska-Batorowicz (2019)</w:t>
            </w:r>
          </w:p>
        </w:tc>
        <w:tc>
          <w:tcPr>
            <w:tcW w:type="dxa" w:w="1440"/>
          </w:tcPr>
          <w:p>
            <w:pPr>
              <w:spacing w:line="240" w:lineRule="auto"/>
            </w:pPr>
            <w:r/>
            <w:r>
              <w:rPr>
                <w:b w:val="0"/>
                <w:i w:val="0"/>
                <w:sz w:val="16"/>
              </w:rPr>
              <w:t>Poland</w:t>
            </w:r>
          </w:p>
        </w:tc>
        <w:tc>
          <w:tcPr>
            <w:tcW w:type="dxa" w:w="2160"/>
          </w:tcPr>
          <w:p>
            <w:pPr>
              <w:spacing w:line="240" w:lineRule="auto"/>
            </w:pPr>
            <w:r/>
            <w:r>
              <w:rPr>
                <w:b w:val="0"/>
                <w:i w:val="0"/>
                <w:sz w:val="16"/>
              </w:rPr>
              <w:t>Experimental cross-sectional</w:t>
            </w:r>
          </w:p>
        </w:tc>
        <w:tc>
          <w:tcPr>
            <w:tcW w:type="dxa" w:w="864"/>
          </w:tcPr>
          <w:p>
            <w:pPr>
              <w:spacing w:line="240" w:lineRule="auto"/>
            </w:pPr>
            <w:r/>
            <w:r>
              <w:rPr>
                <w:b w:val="0"/>
                <w:i w:val="0"/>
                <w:sz w:val="16"/>
              </w:rPr>
              <w:t>293</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Mood/emotion regulation; Depression</w:t>
            </w:r>
          </w:p>
        </w:tc>
      </w:tr>
      <w:tr>
        <w:tc>
          <w:tcPr>
            <w:tcW w:type="dxa" w:w="2016"/>
          </w:tcPr>
          <w:p>
            <w:pPr>
              <w:spacing w:line="240" w:lineRule="auto"/>
            </w:pPr>
            <w:r/>
            <w:r>
              <w:rPr>
                <w:b w:val="0"/>
                <w:i w:val="0"/>
                <w:sz w:val="16"/>
              </w:rPr>
              <w:t>Rezaei &amp; Sajjad (2019)</w:t>
            </w:r>
          </w:p>
        </w:tc>
        <w:tc>
          <w:tcPr>
            <w:tcW w:type="dxa" w:w="1440"/>
          </w:tcPr>
          <w:p>
            <w:pPr>
              <w:spacing w:line="240" w:lineRule="auto"/>
            </w:pPr>
            <w:r/>
            <w:r>
              <w:rPr>
                <w:b w:val="0"/>
                <w:i w:val="0"/>
                <w:sz w:val="16"/>
              </w:rPr>
              <w:t>Iran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475</w:t>
            </w:r>
          </w:p>
        </w:tc>
        <w:tc>
          <w:tcPr>
            <w:tcW w:type="dxa" w:w="2160"/>
          </w:tcPr>
          <w:p>
            <w:pPr>
              <w:spacing w:line="240" w:lineRule="auto"/>
            </w:pPr>
            <w:r/>
            <w:r>
              <w:rPr>
                <w:b w:val="0"/>
                <w:i w:val="0"/>
                <w:sz w:val="16"/>
              </w:rPr>
              <w:t>High school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Mood/emotion regulation; Depression</w:t>
            </w:r>
          </w:p>
        </w:tc>
      </w:tr>
      <w:tr>
        <w:tc>
          <w:tcPr>
            <w:tcW w:type="dxa" w:w="2016"/>
          </w:tcPr>
          <w:p>
            <w:pPr>
              <w:spacing w:line="240" w:lineRule="auto"/>
            </w:pPr>
            <w:r/>
            <w:r>
              <w:rPr>
                <w:b w:val="0"/>
                <w:i w:val="0"/>
                <w:sz w:val="16"/>
              </w:rPr>
              <w:t>Beddig et al. (2020)</w:t>
            </w:r>
          </w:p>
        </w:tc>
        <w:tc>
          <w:tcPr>
            <w:tcW w:type="dxa" w:w="1440"/>
          </w:tcPr>
          <w:p>
            <w:pPr>
              <w:spacing w:line="240" w:lineRule="auto"/>
            </w:pPr>
            <w:r/>
            <w:r>
              <w:rPr>
                <w:b w:val="0"/>
                <w:i w:val="0"/>
                <w:sz w:val="16"/>
              </w:rPr>
              <w:t>Germany</w:t>
            </w:r>
          </w:p>
        </w:tc>
        <w:tc>
          <w:tcPr>
            <w:tcW w:type="dxa" w:w="2160"/>
          </w:tcPr>
          <w:p>
            <w:pPr>
              <w:spacing w:line="240" w:lineRule="auto"/>
            </w:pPr>
            <w:r/>
            <w:r>
              <w:rPr>
                <w:b w:val="0"/>
                <w:i w:val="0"/>
                <w:sz w:val="16"/>
              </w:rPr>
              <w:t>Ambulatory assessment (EMA)</w:t>
            </w:r>
          </w:p>
        </w:tc>
        <w:tc>
          <w:tcPr>
            <w:tcW w:type="dxa" w:w="864"/>
          </w:tcPr>
          <w:p>
            <w:pPr>
              <w:spacing w:line="240" w:lineRule="auto"/>
            </w:pPr>
            <w:r/>
            <w:r>
              <w:rPr>
                <w:b w:val="0"/>
                <w:i w:val="0"/>
                <w:sz w:val="16"/>
              </w:rPr>
              <w:t>122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Osborn et al. (2020)</w:t>
            </w:r>
          </w:p>
        </w:tc>
        <w:tc>
          <w:tcPr>
            <w:tcW w:type="dxa" w:w="1440"/>
          </w:tcPr>
          <w:p>
            <w:pPr>
              <w:spacing w:line="240" w:lineRule="auto"/>
            </w:pPr>
            <w:r/>
            <w:r>
              <w:rPr>
                <w:b w:val="0"/>
                <w:i w:val="0"/>
                <w:sz w:val="16"/>
              </w:rPr>
              <w:t>United Kingdom</w:t>
            </w:r>
          </w:p>
        </w:tc>
        <w:tc>
          <w:tcPr>
            <w:tcW w:type="dxa" w:w="2160"/>
          </w:tcPr>
          <w:p>
            <w:pPr>
              <w:spacing w:line="240" w:lineRule="auto"/>
            </w:pPr>
            <w:r/>
            <w:r>
              <w:rPr>
                <w:b w:val="0"/>
                <w:i w:val="0"/>
                <w:sz w:val="16"/>
              </w:rPr>
              <w:t>Qualitative (interviews)</w:t>
            </w:r>
          </w:p>
        </w:tc>
        <w:tc>
          <w:tcPr>
            <w:tcW w:type="dxa" w:w="864"/>
          </w:tcPr>
          <w:p>
            <w:pPr>
              <w:spacing w:line="240" w:lineRule="auto"/>
            </w:pPr>
            <w:r/>
            <w:r>
              <w:rPr>
                <w:b w:val="0"/>
                <w:i w:val="0"/>
                <w:sz w:val="16"/>
              </w:rPr>
              <w:t>17</w:t>
            </w:r>
          </w:p>
        </w:tc>
        <w:tc>
          <w:tcPr>
            <w:tcW w:type="dxa" w:w="2160"/>
          </w:tcPr>
          <w:p>
            <w:pPr>
              <w:spacing w:line="240" w:lineRule="auto"/>
            </w:pPr>
            <w:r/>
            <w:r>
              <w:rPr>
                <w:b w:val="0"/>
                <w:i w:val="0"/>
                <w:sz w:val="16"/>
              </w:rPr>
              <w:t>Clinically diagnosed women</w:t>
            </w:r>
          </w:p>
        </w:tc>
        <w:tc>
          <w:tcPr>
            <w:tcW w:type="dxa" w:w="2160"/>
          </w:tcPr>
          <w:p>
            <w:pPr>
              <w:spacing w:line="240" w:lineRule="auto"/>
            </w:pPr>
            <w:r/>
            <w:r>
              <w:rPr>
                <w:b w:val="0"/>
                <w:i w:val="0"/>
                <w:sz w:val="16"/>
              </w:rPr>
              <w:t>Specialist diagnosis + PSST</w:t>
            </w:r>
          </w:p>
        </w:tc>
        <w:tc>
          <w:tcPr>
            <w:tcW w:type="dxa" w:w="2160"/>
          </w:tcPr>
          <w:p>
            <w:pPr>
              <w:spacing w:line="240" w:lineRule="auto"/>
            </w:pPr>
            <w:r/>
            <w:r>
              <w:rPr>
                <w:b w:val="0"/>
                <w:i w:val="0"/>
                <w:sz w:val="16"/>
              </w:rPr>
              <w:t>Lived experience/help-seeking; Distress/stress</w:t>
            </w:r>
          </w:p>
        </w:tc>
      </w:tr>
      <w:tr>
        <w:tc>
          <w:tcPr>
            <w:tcW w:type="dxa" w:w="2016"/>
          </w:tcPr>
          <w:p>
            <w:pPr>
              <w:spacing w:line="240" w:lineRule="auto"/>
            </w:pPr>
            <w:r/>
            <w:r>
              <w:rPr>
                <w:b w:val="0"/>
                <w:i w:val="0"/>
                <w:sz w:val="16"/>
              </w:rPr>
              <w:t>Joyce et al. (2021)</w:t>
            </w:r>
          </w:p>
        </w:tc>
        <w:tc>
          <w:tcPr>
            <w:tcW w:type="dxa" w:w="1440"/>
          </w:tcPr>
          <w:p>
            <w:pPr>
              <w:spacing w:line="240" w:lineRule="auto"/>
            </w:pPr>
            <w:r/>
            <w:r>
              <w:rPr>
                <w:b w:val="0"/>
                <w:i w:val="0"/>
                <w:sz w:val="16"/>
              </w:rPr>
              <w:t>Canada</w:t>
            </w:r>
          </w:p>
        </w:tc>
        <w:tc>
          <w:tcPr>
            <w:tcW w:type="dxa" w:w="2160"/>
          </w:tcPr>
          <w:p>
            <w:pPr>
              <w:spacing w:line="240" w:lineRule="auto"/>
            </w:pPr>
            <w:r/>
            <w:r>
              <w:rPr>
                <w:b w:val="0"/>
                <w:i w:val="0"/>
                <w:sz w:val="16"/>
              </w:rPr>
              <w:t>Daily diary (32 days)</w:t>
            </w:r>
          </w:p>
        </w:tc>
        <w:tc>
          <w:tcPr>
            <w:tcW w:type="dxa" w:w="864"/>
          </w:tcPr>
          <w:p>
            <w:pPr>
              <w:spacing w:line="240" w:lineRule="auto"/>
            </w:pPr>
            <w:r/>
            <w:r>
              <w:rPr>
                <w:b w:val="0"/>
                <w:i w:val="0"/>
                <w:sz w:val="16"/>
              </w:rPr>
              <w:t>69</w:t>
            </w:r>
          </w:p>
        </w:tc>
        <w:tc>
          <w:tcPr>
            <w:tcW w:type="dxa" w:w="2160"/>
          </w:tcPr>
          <w:p>
            <w:pPr>
              <w:spacing w:line="240" w:lineRule="auto"/>
            </w:pPr>
            <w:r/>
            <w:r>
              <w:rPr>
                <w:b w:val="0"/>
                <w:i w:val="0"/>
                <w:sz w:val="16"/>
              </w:rPr>
              <w:t>Female cannabis users</w:t>
            </w:r>
          </w:p>
        </w:tc>
        <w:tc>
          <w:tcPr>
            <w:tcW w:type="dxa" w:w="2160"/>
          </w:tcPr>
          <w:p>
            <w:pPr>
              <w:spacing w:line="240" w:lineRule="auto"/>
            </w:pPr>
            <w:r/>
            <w:r>
              <w:rPr>
                <w:b w:val="0"/>
                <w:i w:val="0"/>
                <w:sz w:val="16"/>
              </w:rPr>
              <w:t>Clinical interview + prospective mood</w:t>
            </w:r>
          </w:p>
        </w:tc>
        <w:tc>
          <w:tcPr>
            <w:tcW w:type="dxa" w:w="2160"/>
          </w:tcPr>
          <w:p>
            <w:pPr>
              <w:spacing w:line="240" w:lineRule="auto"/>
            </w:pPr>
            <w:r/>
            <w:r>
              <w:rPr>
                <w:b w:val="0"/>
                <w:i w:val="0"/>
                <w:sz w:val="16"/>
              </w:rPr>
              <w:t>Depression; Coping/resilience; Psychiatric comorbidity</w:t>
            </w:r>
          </w:p>
        </w:tc>
      </w:tr>
      <w:tr>
        <w:tc>
          <w:tcPr>
            <w:tcW w:type="dxa" w:w="2016"/>
          </w:tcPr>
          <w:p>
            <w:pPr>
              <w:spacing w:line="240" w:lineRule="auto"/>
            </w:pPr>
            <w:r/>
            <w:r>
              <w:rPr>
                <w:b w:val="0"/>
                <w:i w:val="0"/>
                <w:sz w:val="16"/>
              </w:rPr>
              <w:t>Dorani et al. (2021)</w:t>
            </w:r>
          </w:p>
        </w:tc>
        <w:tc>
          <w:tcPr>
            <w:tcW w:type="dxa" w:w="1440"/>
          </w:tcPr>
          <w:p>
            <w:pPr>
              <w:spacing w:line="240" w:lineRule="auto"/>
            </w:pPr>
            <w:r/>
            <w:r>
              <w:rPr>
                <w:b w:val="0"/>
                <w:i w:val="0"/>
                <w:sz w:val="16"/>
              </w:rPr>
              <w:t>Netherlands</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209</w:t>
            </w:r>
          </w:p>
        </w:tc>
        <w:tc>
          <w:tcPr>
            <w:tcW w:type="dxa" w:w="2160"/>
          </w:tcPr>
          <w:p>
            <w:pPr>
              <w:spacing w:line="240" w:lineRule="auto"/>
            </w:pPr>
            <w:r/>
            <w:r>
              <w:rPr>
                <w:b w:val="0"/>
                <w:i w:val="0"/>
                <w:sz w:val="16"/>
              </w:rPr>
              <w:t>Adult ADHD outpatients</w:t>
            </w:r>
          </w:p>
        </w:tc>
        <w:tc>
          <w:tcPr>
            <w:tcW w:type="dxa" w:w="2160"/>
          </w:tcPr>
          <w:p>
            <w:pPr>
              <w:spacing w:line="240" w:lineRule="auto"/>
            </w:pPr>
            <w:r/>
            <w:r>
              <w:rPr>
                <w:b w:val="0"/>
                <w:i w:val="0"/>
                <w:sz w:val="16"/>
              </w:rPr>
              <w:t>Diagnostic interview (MINI-Plus)</w:t>
            </w:r>
          </w:p>
        </w:tc>
        <w:tc>
          <w:tcPr>
            <w:tcW w:type="dxa" w:w="2160"/>
          </w:tcPr>
          <w:p>
            <w:pPr>
              <w:spacing w:line="240" w:lineRule="auto"/>
            </w:pPr>
            <w:r/>
            <w:r>
              <w:rPr>
                <w:b w:val="0"/>
                <w:i w:val="0"/>
                <w:sz w:val="16"/>
              </w:rPr>
              <w:t>Psychiatric comorbidity</w:t>
            </w:r>
          </w:p>
        </w:tc>
      </w:tr>
      <w:tr>
        <w:tc>
          <w:tcPr>
            <w:tcW w:type="dxa" w:w="2016"/>
          </w:tcPr>
          <w:p>
            <w:pPr>
              <w:spacing w:line="240" w:lineRule="auto"/>
            </w:pPr>
            <w:r/>
            <w:r>
              <w:rPr>
                <w:b w:val="0"/>
                <w:i w:val="0"/>
                <w:sz w:val="16"/>
              </w:rPr>
              <w:t>Yang et al. (2021)</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Population registry cohort + sibling analysis</w:t>
            </w:r>
          </w:p>
        </w:tc>
        <w:tc>
          <w:tcPr>
            <w:tcW w:type="dxa" w:w="864"/>
          </w:tcPr>
          <w:p>
            <w:pPr>
              <w:spacing w:line="240" w:lineRule="auto"/>
            </w:pPr>
            <w:r/>
            <w:r>
              <w:rPr>
                <w:b w:val="0"/>
                <w:i w:val="0"/>
                <w:sz w:val="16"/>
              </w:rPr>
              <w:t>1472379</w:t>
            </w:r>
          </w:p>
        </w:tc>
        <w:tc>
          <w:tcPr>
            <w:tcW w:type="dxa" w:w="2160"/>
          </w:tcPr>
          <w:p>
            <w:pPr>
              <w:spacing w:line="240" w:lineRule="auto"/>
            </w:pPr>
            <w:r/>
            <w:r>
              <w:rPr>
                <w:b w:val="0"/>
                <w:i w:val="0"/>
                <w:sz w:val="16"/>
              </w:rPr>
              <w:t>National population</w:t>
            </w:r>
          </w:p>
        </w:tc>
        <w:tc>
          <w:tcPr>
            <w:tcW w:type="dxa" w:w="2160"/>
          </w:tcPr>
          <w:p>
            <w:pPr>
              <w:spacing w:line="240" w:lineRule="auto"/>
            </w:pPr>
            <w:r/>
            <w:r>
              <w:rPr>
                <w:b w:val="0"/>
                <w:i w:val="0"/>
                <w:sz w:val="16"/>
              </w:rPr>
              <w:t>Clinical indication (registry)</w:t>
            </w:r>
          </w:p>
        </w:tc>
        <w:tc>
          <w:tcPr>
            <w:tcW w:type="dxa" w:w="2160"/>
          </w:tcPr>
          <w:p>
            <w:pPr>
              <w:spacing w:line="240" w:lineRule="auto"/>
            </w:pPr>
            <w:r/>
            <w:r>
              <w:rPr>
                <w:b w:val="0"/>
                <w:i w:val="0"/>
                <w:sz w:val="16"/>
              </w:rPr>
              <w:t>Suicidality/self-harm</w:t>
            </w:r>
          </w:p>
        </w:tc>
      </w:tr>
      <w:tr>
        <w:tc>
          <w:tcPr>
            <w:tcW w:type="dxa" w:w="2016"/>
          </w:tcPr>
          <w:p>
            <w:pPr>
              <w:spacing w:line="240" w:lineRule="auto"/>
            </w:pPr>
            <w:r/>
            <w:r>
              <w:rPr>
                <w:b w:val="0"/>
                <w:i w:val="0"/>
                <w:sz w:val="16"/>
              </w:rPr>
              <w:t>Younes et al. (2021)</w:t>
            </w:r>
          </w:p>
        </w:tc>
        <w:tc>
          <w:tcPr>
            <w:tcW w:type="dxa" w:w="1440"/>
          </w:tcPr>
          <w:p>
            <w:pPr>
              <w:spacing w:line="240" w:lineRule="auto"/>
            </w:pPr>
            <w:r/>
            <w:r>
              <w:rPr>
                <w:b w:val="0"/>
                <w:i w:val="0"/>
                <w:sz w:val="16"/>
              </w:rPr>
              <w:t>Lebanon</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NR</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Self-report PMDD measure</w:t>
            </w:r>
          </w:p>
        </w:tc>
        <w:tc>
          <w:tcPr>
            <w:tcW w:type="dxa" w:w="2160"/>
          </w:tcPr>
          <w:p>
            <w:pPr>
              <w:spacing w:line="240" w:lineRule="auto"/>
            </w:pPr>
            <w:r/>
            <w:r>
              <w:rPr>
                <w:b w:val="0"/>
                <w:i w:val="0"/>
                <w:sz w:val="16"/>
              </w:rPr>
              <w:t>Trauma/adversity; Depression; Distress/stress</w:t>
            </w:r>
          </w:p>
        </w:tc>
      </w:tr>
      <w:tr>
        <w:tc>
          <w:tcPr>
            <w:tcW w:type="dxa" w:w="2016"/>
          </w:tcPr>
          <w:p>
            <w:pPr>
              <w:spacing w:line="240" w:lineRule="auto"/>
            </w:pPr>
            <w:r/>
            <w:r>
              <w:rPr>
                <w:b w:val="0"/>
                <w:i w:val="0"/>
                <w:sz w:val="16"/>
              </w:rPr>
              <w:t>Chan et al. (2021)</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383</w:t>
            </w:r>
          </w:p>
        </w:tc>
        <w:tc>
          <w:tcPr>
            <w:tcW w:type="dxa" w:w="2160"/>
          </w:tcPr>
          <w:p>
            <w:pPr>
              <w:spacing w:line="240" w:lineRule="auto"/>
            </w:pPr>
            <w:r/>
            <w:r>
              <w:rPr>
                <w:b w:val="0"/>
                <w:i w:val="0"/>
                <w:sz w:val="16"/>
              </w:rPr>
              <w:t>Outpatients with mood disorders</w:t>
            </w:r>
          </w:p>
        </w:tc>
        <w:tc>
          <w:tcPr>
            <w:tcW w:type="dxa" w:w="2160"/>
          </w:tcPr>
          <w:p>
            <w:pPr>
              <w:spacing w:line="240" w:lineRule="auto"/>
            </w:pPr>
            <w:r/>
            <w:r>
              <w:rPr>
                <w:b w:val="0"/>
                <w:i w:val="0"/>
                <w:sz w:val="16"/>
              </w:rPr>
              <w:t>Diagnostic interview (SADS-L)</w:t>
            </w:r>
          </w:p>
        </w:tc>
        <w:tc>
          <w:tcPr>
            <w:tcW w:type="dxa" w:w="2160"/>
          </w:tcPr>
          <w:p>
            <w:pPr>
              <w:spacing w:line="240" w:lineRule="auto"/>
            </w:pPr>
            <w:r/>
            <w:r>
              <w:rPr>
                <w:b w:val="0"/>
                <w:i w:val="0"/>
                <w:sz w:val="16"/>
              </w:rPr>
              <w:t>Suicidality/self-harm; Psychiatric comorbidity</w:t>
            </w:r>
          </w:p>
        </w:tc>
      </w:tr>
      <w:tr>
        <w:tc>
          <w:tcPr>
            <w:tcW w:type="dxa" w:w="2016"/>
          </w:tcPr>
          <w:p>
            <w:pPr>
              <w:spacing w:line="240" w:lineRule="auto"/>
            </w:pPr>
            <w:r/>
            <w:r>
              <w:rPr>
                <w:b w:val="0"/>
                <w:i w:val="0"/>
                <w:sz w:val="16"/>
              </w:rPr>
              <w:t>Kappen et al. (2022)</w:t>
            </w:r>
          </w:p>
        </w:tc>
        <w:tc>
          <w:tcPr>
            <w:tcW w:type="dxa" w:w="1440"/>
          </w:tcPr>
          <w:p>
            <w:pPr>
              <w:spacing w:line="240" w:lineRule="auto"/>
            </w:pPr>
            <w:r/>
            <w:r>
              <w:rPr>
                <w:b w:val="0"/>
                <w:i w:val="0"/>
                <w:sz w:val="16"/>
              </w:rPr>
              <w:t>Belgium</w:t>
            </w:r>
          </w:p>
        </w:tc>
        <w:tc>
          <w:tcPr>
            <w:tcW w:type="dxa" w:w="2160"/>
          </w:tcPr>
          <w:p>
            <w:pPr>
              <w:spacing w:line="240" w:lineRule="auto"/>
            </w:pPr>
            <w:r/>
            <w:r>
              <w:rPr>
                <w:b w:val="0"/>
                <w:i w:val="0"/>
                <w:sz w:val="16"/>
              </w:rPr>
              <w:t>Cross-sectional + two-phase follow-up</w:t>
            </w:r>
          </w:p>
        </w:tc>
        <w:tc>
          <w:tcPr>
            <w:tcW w:type="dxa" w:w="864"/>
          </w:tcPr>
          <w:p>
            <w:pPr>
              <w:spacing w:line="240" w:lineRule="auto"/>
            </w:pPr>
            <w:r/>
            <w:r>
              <w:rPr>
                <w:b w:val="0"/>
                <w:i w:val="0"/>
                <w:sz w:val="16"/>
              </w:rPr>
              <w:t>380</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Depression; Anxiety; Distress/stress; Mood/emotion regulation</w:t>
            </w:r>
          </w:p>
        </w:tc>
      </w:tr>
      <w:tr>
        <w:tc>
          <w:tcPr>
            <w:tcW w:type="dxa" w:w="2016"/>
          </w:tcPr>
          <w:p>
            <w:pPr>
              <w:spacing w:line="240" w:lineRule="auto"/>
            </w:pPr>
            <w:r/>
            <w:r>
              <w:rPr>
                <w:b w:val="0"/>
                <w:i w:val="0"/>
                <w:sz w:val="16"/>
              </w:rPr>
              <w:t>Pekçetin et al. (2022)</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70</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DSM-5 criteria</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Eisenlohr-Moul et al. (2022)</w:t>
            </w:r>
          </w:p>
        </w:tc>
        <w:tc>
          <w:tcPr>
            <w:tcW w:type="dxa" w:w="1440"/>
          </w:tcPr>
          <w:p>
            <w:pPr>
              <w:spacing w:line="240" w:lineRule="auto"/>
            </w:pPr>
            <w:r/>
            <w:r>
              <w:rPr>
                <w:b w:val="0"/>
                <w:i w:val="0"/>
                <w:sz w:val="16"/>
              </w:rPr>
              <w:t>Online (international)</w:t>
            </w:r>
          </w:p>
        </w:tc>
        <w:tc>
          <w:tcPr>
            <w:tcW w:type="dxa" w:w="2160"/>
          </w:tcPr>
          <w:p>
            <w:pPr>
              <w:spacing w:line="240" w:lineRule="auto"/>
            </w:pPr>
            <w:r/>
            <w:r>
              <w:rPr>
                <w:b w:val="0"/>
                <w:i w:val="0"/>
                <w:sz w:val="16"/>
              </w:rPr>
              <w:t>Cross-sectional (global online survey)</w:t>
            </w:r>
          </w:p>
        </w:tc>
        <w:tc>
          <w:tcPr>
            <w:tcW w:type="dxa" w:w="864"/>
          </w:tcPr>
          <w:p>
            <w:pPr>
              <w:spacing w:line="240" w:lineRule="auto"/>
            </w:pPr>
            <w:r/>
            <w:r>
              <w:rPr>
                <w:b w:val="0"/>
                <w:i w:val="0"/>
                <w:sz w:val="16"/>
              </w:rPr>
              <w:t>599</w:t>
            </w:r>
          </w:p>
        </w:tc>
        <w:tc>
          <w:tcPr>
            <w:tcW w:type="dxa" w:w="2160"/>
          </w:tcPr>
          <w:p>
            <w:pPr>
              <w:spacing w:line="240" w:lineRule="auto"/>
            </w:pPr>
            <w:r/>
            <w:r>
              <w:rPr>
                <w:b w:val="0"/>
                <w:i w:val="0"/>
                <w:sz w:val="16"/>
              </w:rPr>
              <w:t>People with prospectively diagnosed PMDD</w:t>
            </w:r>
          </w:p>
        </w:tc>
        <w:tc>
          <w:tcPr>
            <w:tcW w:type="dxa" w:w="2160"/>
          </w:tcPr>
          <w:p>
            <w:pPr>
              <w:spacing w:line="240" w:lineRule="auto"/>
            </w:pPr>
            <w:r/>
            <w:r>
              <w:rPr>
                <w:b w:val="0"/>
                <w:i w:val="0"/>
                <w:sz w:val="16"/>
              </w:rPr>
              <w:t>Self-reported prospective diagnosis</w:t>
            </w:r>
          </w:p>
        </w:tc>
        <w:tc>
          <w:tcPr>
            <w:tcW w:type="dxa" w:w="2160"/>
          </w:tcPr>
          <w:p>
            <w:pPr>
              <w:spacing w:line="240" w:lineRule="auto"/>
            </w:pPr>
            <w:r/>
            <w:r>
              <w:rPr>
                <w:b w:val="0"/>
                <w:i w:val="0"/>
                <w:sz w:val="16"/>
              </w:rPr>
              <w:t>Suicidality/self-harm; Psychiatric comorbidity</w:t>
            </w:r>
          </w:p>
        </w:tc>
      </w:tr>
      <w:tr>
        <w:tc>
          <w:tcPr>
            <w:tcW w:type="dxa" w:w="2016"/>
          </w:tcPr>
          <w:p>
            <w:pPr>
              <w:spacing w:line="240" w:lineRule="auto"/>
            </w:pPr>
            <w:r/>
            <w:r>
              <w:rPr>
                <w:b w:val="0"/>
                <w:i w:val="0"/>
                <w:sz w:val="16"/>
              </w:rPr>
              <w:t>Wikman et al. (2022)</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Cross-sectional (trial baseline)</w:t>
            </w:r>
          </w:p>
        </w:tc>
        <w:tc>
          <w:tcPr>
            <w:tcW w:type="dxa" w:w="864"/>
          </w:tcPr>
          <w:p>
            <w:pPr>
              <w:spacing w:line="240" w:lineRule="auto"/>
            </w:pPr>
            <w:r/>
            <w:r>
              <w:rPr>
                <w:b w:val="0"/>
                <w:i w:val="0"/>
                <w:sz w:val="16"/>
              </w:rPr>
              <w:t>110</w:t>
            </w:r>
          </w:p>
        </w:tc>
        <w:tc>
          <w:tcPr>
            <w:tcW w:type="dxa" w:w="2160"/>
          </w:tcPr>
          <w:p>
            <w:pPr>
              <w:spacing w:line="240" w:lineRule="auto"/>
            </w:pPr>
            <w:r/>
            <w:r>
              <w:rPr>
                <w:b w:val="0"/>
                <w:i w:val="0"/>
                <w:sz w:val="16"/>
              </w:rPr>
              <w:t>Clinically confirmed PMDD</w:t>
            </w:r>
          </w:p>
        </w:tc>
        <w:tc>
          <w:tcPr>
            <w:tcW w:type="dxa" w:w="2160"/>
          </w:tcPr>
          <w:p>
            <w:pPr>
              <w:spacing w:line="240" w:lineRule="auto"/>
            </w:pPr>
            <w:r/>
            <w:r>
              <w:rPr>
                <w:b w:val="0"/>
                <w:i w:val="0"/>
                <w:sz w:val="16"/>
              </w:rPr>
              <w:t>Prospective daily ratings (DSM-5)</w:t>
            </w:r>
          </w:p>
        </w:tc>
        <w:tc>
          <w:tcPr>
            <w:tcW w:type="dxa" w:w="2160"/>
          </w:tcPr>
          <w:p>
            <w:pPr>
              <w:spacing w:line="240" w:lineRule="auto"/>
            </w:pPr>
            <w:r/>
            <w:r>
              <w:rPr>
                <w:b w:val="0"/>
                <w:i w:val="0"/>
                <w:sz w:val="16"/>
              </w:rPr>
              <w:t>Suicidality/self-harm; Depression</w:t>
            </w:r>
          </w:p>
        </w:tc>
      </w:tr>
      <w:tr>
        <w:tc>
          <w:tcPr>
            <w:tcW w:type="dxa" w:w="2016"/>
          </w:tcPr>
          <w:p>
            <w:pPr>
              <w:spacing w:line="240" w:lineRule="auto"/>
            </w:pPr>
            <w:r/>
            <w:r>
              <w:rPr>
                <w:b w:val="0"/>
                <w:i w:val="0"/>
                <w:sz w:val="16"/>
              </w:rPr>
              <w:t>Kulkarni et al. (2022)</w:t>
            </w:r>
          </w:p>
        </w:tc>
        <w:tc>
          <w:tcPr>
            <w:tcW w:type="dxa" w:w="1440"/>
          </w:tcPr>
          <w:p>
            <w:pPr>
              <w:spacing w:line="240" w:lineRule="auto"/>
            </w:pPr>
            <w:r/>
            <w:r>
              <w:rPr>
                <w:b w:val="0"/>
                <w:i w:val="0"/>
                <w:sz w:val="16"/>
              </w:rPr>
              <w:t>Australia</w:t>
            </w:r>
          </w:p>
        </w:tc>
        <w:tc>
          <w:tcPr>
            <w:tcW w:type="dxa" w:w="2160"/>
          </w:tcPr>
          <w:p>
            <w:pPr>
              <w:spacing w:line="240" w:lineRule="auto"/>
            </w:pPr>
            <w:r/>
            <w:r>
              <w:rPr>
                <w:b w:val="0"/>
                <w:i w:val="0"/>
                <w:sz w:val="16"/>
              </w:rPr>
              <w:t>Retrospective clinical database</w:t>
            </w:r>
          </w:p>
        </w:tc>
        <w:tc>
          <w:tcPr>
            <w:tcW w:type="dxa" w:w="864"/>
          </w:tcPr>
          <w:p>
            <w:pPr>
              <w:spacing w:line="240" w:lineRule="auto"/>
            </w:pPr>
            <w:r/>
            <w:r>
              <w:rPr>
                <w:b w:val="0"/>
                <w:i w:val="0"/>
                <w:sz w:val="16"/>
              </w:rPr>
              <w:t>100</w:t>
            </w:r>
          </w:p>
        </w:tc>
        <w:tc>
          <w:tcPr>
            <w:tcW w:type="dxa" w:w="2160"/>
          </w:tcPr>
          <w:p>
            <w:pPr>
              <w:spacing w:line="240" w:lineRule="auto"/>
            </w:pPr>
            <w:r/>
            <w:r>
              <w:rPr>
                <w:b w:val="0"/>
                <w:i w:val="0"/>
                <w:sz w:val="16"/>
              </w:rPr>
              <w:t>Specialist clinic patients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Trauma/adversity</w:t>
            </w:r>
          </w:p>
        </w:tc>
      </w:tr>
      <w:tr>
        <w:tc>
          <w:tcPr>
            <w:tcW w:type="dxa" w:w="2016"/>
          </w:tcPr>
          <w:p>
            <w:pPr>
              <w:spacing w:line="240" w:lineRule="auto"/>
            </w:pPr>
            <w:r/>
            <w:r>
              <w:rPr>
                <w:b w:val="0"/>
                <w:i w:val="0"/>
                <w:sz w:val="16"/>
              </w:rPr>
              <w:t>Groenman et al. (2022)</w:t>
            </w:r>
          </w:p>
        </w:tc>
        <w:tc>
          <w:tcPr>
            <w:tcW w:type="dxa" w:w="1440"/>
          </w:tcPr>
          <w:p>
            <w:pPr>
              <w:spacing w:line="240" w:lineRule="auto"/>
            </w:pPr>
            <w:r/>
            <w:r>
              <w:rPr>
                <w:b w:val="0"/>
                <w:i w:val="0"/>
                <w:sz w:val="16"/>
              </w:rPr>
              <w:t>Netherlands</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70</w:t>
            </w:r>
          </w:p>
        </w:tc>
        <w:tc>
          <w:tcPr>
            <w:tcW w:type="dxa" w:w="2160"/>
          </w:tcPr>
          <w:p>
            <w:pPr>
              <w:spacing w:line="240" w:lineRule="auto"/>
            </w:pPr>
            <w:r/>
            <w:r>
              <w:rPr>
                <w:b w:val="0"/>
                <w:i w:val="0"/>
                <w:sz w:val="16"/>
              </w:rPr>
              <w:t>Autistic and non-autistic women</w:t>
            </w:r>
          </w:p>
        </w:tc>
        <w:tc>
          <w:tcPr>
            <w:tcW w:type="dxa" w:w="2160"/>
          </w:tcPr>
          <w:p>
            <w:pPr>
              <w:spacing w:line="240" w:lineRule="auto"/>
            </w:pPr>
            <w:r/>
            <w:r>
              <w:rPr>
                <w:b w:val="0"/>
                <w:i w:val="0"/>
                <w:sz w:val="16"/>
              </w:rPr>
              <w:t>Diagnostic assessment</w:t>
            </w:r>
          </w:p>
        </w:tc>
        <w:tc>
          <w:tcPr>
            <w:tcW w:type="dxa" w:w="2160"/>
          </w:tcPr>
          <w:p>
            <w:pPr>
              <w:spacing w:line="240" w:lineRule="auto"/>
            </w:pPr>
            <w:r/>
            <w:r>
              <w:rPr>
                <w:b w:val="0"/>
                <w:i w:val="0"/>
                <w:sz w:val="16"/>
              </w:rPr>
              <w:t>Psychiatric comorbidity</w:t>
            </w:r>
          </w:p>
        </w:tc>
      </w:tr>
      <w:tr>
        <w:tc>
          <w:tcPr>
            <w:tcW w:type="dxa" w:w="2016"/>
          </w:tcPr>
          <w:p>
            <w:pPr>
              <w:spacing w:line="240" w:lineRule="auto"/>
            </w:pPr>
            <w:r/>
            <w:r>
              <w:rPr>
                <w:b w:val="0"/>
                <w:i w:val="0"/>
                <w:sz w:val="16"/>
              </w:rPr>
              <w:t>Yang et al. (2022)</w:t>
            </w:r>
          </w:p>
        </w:tc>
        <w:tc>
          <w:tcPr>
            <w:tcW w:type="dxa" w:w="1440"/>
          </w:tcPr>
          <w:p>
            <w:pPr>
              <w:spacing w:line="240" w:lineRule="auto"/>
            </w:pPr>
            <w:r/>
            <w:r>
              <w:rPr>
                <w:b w:val="0"/>
                <w:i w:val="0"/>
                <w:sz w:val="16"/>
              </w:rPr>
              <w:t>Iceland</w:t>
            </w:r>
          </w:p>
        </w:tc>
        <w:tc>
          <w:tcPr>
            <w:tcW w:type="dxa" w:w="2160"/>
          </w:tcPr>
          <w:p>
            <w:pPr>
              <w:spacing w:line="240" w:lineRule="auto"/>
            </w:pPr>
            <w:r/>
            <w:r>
              <w:rPr>
                <w:b w:val="0"/>
                <w:i w:val="0"/>
                <w:sz w:val="16"/>
              </w:rPr>
              <w:t>Cross-sectional (SAGA cohort)</w:t>
            </w:r>
          </w:p>
        </w:tc>
        <w:tc>
          <w:tcPr>
            <w:tcW w:type="dxa" w:w="864"/>
          </w:tcPr>
          <w:p>
            <w:pPr>
              <w:spacing w:line="240" w:lineRule="auto"/>
            </w:pPr>
            <w:r/>
            <w:r>
              <w:rPr>
                <w:b w:val="0"/>
                <w:i w:val="0"/>
                <w:sz w:val="16"/>
              </w:rPr>
              <w:t>11973</w:t>
            </w:r>
          </w:p>
        </w:tc>
        <w:tc>
          <w:tcPr>
            <w:tcW w:type="dxa" w:w="2160"/>
          </w:tcPr>
          <w:p>
            <w:pPr>
              <w:spacing w:line="240" w:lineRule="auto"/>
            </w:pPr>
            <w:r/>
            <w:r>
              <w:rPr>
                <w:b w:val="0"/>
                <w:i w:val="0"/>
                <w:sz w:val="16"/>
              </w:rPr>
              <w:t>Population-based cohort</w:t>
            </w:r>
          </w:p>
        </w:tc>
        <w:tc>
          <w:tcPr>
            <w:tcW w:type="dxa" w:w="2160"/>
          </w:tcPr>
          <w:p>
            <w:pPr>
              <w:spacing w:line="240" w:lineRule="auto"/>
            </w:pPr>
            <w:r/>
            <w:r>
              <w:rPr>
                <w:b w:val="0"/>
                <w:i w:val="0"/>
                <w:sz w:val="16"/>
              </w:rPr>
              <w:t>Modified PSST</w:t>
            </w:r>
          </w:p>
        </w:tc>
        <w:tc>
          <w:tcPr>
            <w:tcW w:type="dxa" w:w="2160"/>
          </w:tcPr>
          <w:p>
            <w:pPr>
              <w:spacing w:line="240" w:lineRule="auto"/>
            </w:pPr>
            <w:r/>
            <w:r>
              <w:rPr>
                <w:b w:val="0"/>
                <w:i w:val="0"/>
                <w:sz w:val="16"/>
              </w:rPr>
              <w:t>Trauma/adversity</w:t>
            </w:r>
          </w:p>
        </w:tc>
      </w:tr>
      <w:tr>
        <w:tc>
          <w:tcPr>
            <w:tcW w:type="dxa" w:w="2016"/>
          </w:tcPr>
          <w:p>
            <w:pPr>
              <w:spacing w:line="240" w:lineRule="auto"/>
            </w:pPr>
            <w:r/>
            <w:r>
              <w:rPr>
                <w:b w:val="0"/>
                <w:i w:val="0"/>
                <w:sz w:val="16"/>
              </w:rPr>
              <w:t>Hantsoo et al. (2022)</w:t>
            </w:r>
          </w:p>
        </w:tc>
        <w:tc>
          <w:tcPr>
            <w:tcW w:type="dxa" w:w="1440"/>
          </w:tcPr>
          <w:p>
            <w:pPr>
              <w:spacing w:line="240" w:lineRule="auto"/>
            </w:pPr>
            <w:r/>
            <w:r>
              <w:rPr>
                <w:b w:val="0"/>
                <w:i w:val="0"/>
                <w:sz w:val="16"/>
              </w:rPr>
              <w:t>Online (international)</w:t>
            </w:r>
          </w:p>
        </w:tc>
        <w:tc>
          <w:tcPr>
            <w:tcW w:type="dxa" w:w="2160"/>
          </w:tcPr>
          <w:p>
            <w:pPr>
              <w:spacing w:line="240" w:lineRule="auto"/>
            </w:pPr>
            <w:r/>
            <w:r>
              <w:rPr>
                <w:b w:val="0"/>
                <w:i w:val="0"/>
                <w:sz w:val="16"/>
              </w:rPr>
              <w:t>Cross-sectional (IAPMD global survey)</w:t>
            </w:r>
          </w:p>
        </w:tc>
        <w:tc>
          <w:tcPr>
            <w:tcW w:type="dxa" w:w="864"/>
          </w:tcPr>
          <w:p>
            <w:pPr>
              <w:spacing w:line="240" w:lineRule="auto"/>
            </w:pPr>
            <w:r/>
            <w:r>
              <w:rPr>
                <w:b w:val="0"/>
                <w:i w:val="0"/>
                <w:sz w:val="16"/>
              </w:rPr>
              <w:t>2512</w:t>
            </w:r>
          </w:p>
        </w:tc>
        <w:tc>
          <w:tcPr>
            <w:tcW w:type="dxa" w:w="2160"/>
          </w:tcPr>
          <w:p>
            <w:pPr>
              <w:spacing w:line="240" w:lineRule="auto"/>
            </w:pPr>
            <w:r/>
            <w:r>
              <w:rPr>
                <w:b w:val="0"/>
                <w:i w:val="0"/>
                <w:sz w:val="16"/>
              </w:rPr>
              <w:t>Patients seeking care for PMDD</w:t>
            </w:r>
          </w:p>
        </w:tc>
        <w:tc>
          <w:tcPr>
            <w:tcW w:type="dxa" w:w="2160"/>
          </w:tcPr>
          <w:p>
            <w:pPr>
              <w:spacing w:line="240" w:lineRule="auto"/>
            </w:pPr>
            <w:r/>
            <w:r>
              <w:rPr>
                <w:b w:val="0"/>
                <w:i w:val="0"/>
                <w:sz w:val="16"/>
              </w:rPr>
              <w:t>Self-reported symptoms/diagnosis</w:t>
            </w:r>
          </w:p>
        </w:tc>
        <w:tc>
          <w:tcPr>
            <w:tcW w:type="dxa" w:w="2160"/>
          </w:tcPr>
          <w:p>
            <w:pPr>
              <w:spacing w:line="240" w:lineRule="auto"/>
            </w:pPr>
            <w:r/>
            <w:r>
              <w:rPr>
                <w:b w:val="0"/>
                <w:i w:val="0"/>
                <w:sz w:val="16"/>
              </w:rPr>
              <w:t>Lived experience/help-seeking</w:t>
            </w:r>
          </w:p>
        </w:tc>
      </w:tr>
      <w:tr>
        <w:tc>
          <w:tcPr>
            <w:tcW w:type="dxa" w:w="2016"/>
          </w:tcPr>
          <w:p>
            <w:pPr>
              <w:spacing w:line="240" w:lineRule="auto"/>
            </w:pPr>
            <w:r/>
            <w:r>
              <w:rPr>
                <w:b w:val="0"/>
                <w:i w:val="0"/>
                <w:sz w:val="16"/>
              </w:rPr>
              <w:t>Ekmekçi Ertek et al. (2023)</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408</w:t>
            </w:r>
          </w:p>
        </w:tc>
        <w:tc>
          <w:tcPr>
            <w:tcW w:type="dxa" w:w="2160"/>
          </w:tcPr>
          <w:p>
            <w:pPr>
              <w:spacing w:line="240" w:lineRule="auto"/>
            </w:pPr>
            <w:r/>
            <w:r>
              <w:rPr>
                <w:b w:val="0"/>
                <w:i w:val="0"/>
                <w:sz w:val="16"/>
              </w:rPr>
              <w:t>Healthy women</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Personality; Suicidality/self-harm; Psychiatric comorbidity</w:t>
            </w:r>
          </w:p>
        </w:tc>
      </w:tr>
      <w:tr>
        <w:tc>
          <w:tcPr>
            <w:tcW w:type="dxa" w:w="2016"/>
          </w:tcPr>
          <w:p>
            <w:pPr>
              <w:spacing w:line="240" w:lineRule="auto"/>
            </w:pPr>
            <w:r/>
            <w:r>
              <w:rPr>
                <w:b w:val="0"/>
                <w:i w:val="0"/>
                <w:sz w:val="16"/>
              </w:rPr>
              <w:t>Winslow et al. (2023)</w:t>
            </w:r>
          </w:p>
        </w:tc>
        <w:tc>
          <w:tcPr>
            <w:tcW w:type="dxa" w:w="1440"/>
          </w:tcPr>
          <w:p>
            <w:pPr>
              <w:spacing w:line="240" w:lineRule="auto"/>
            </w:pPr>
            <w:r/>
            <w:r>
              <w:rPr>
                <w:b w:val="0"/>
                <w:i w:val="0"/>
                <w:sz w:val="16"/>
              </w:rPr>
              <w:t>Online (international)</w:t>
            </w:r>
          </w:p>
        </w:tc>
        <w:tc>
          <w:tcPr>
            <w:tcW w:type="dxa" w:w="2160"/>
          </w:tcPr>
          <w:p>
            <w:pPr>
              <w:spacing w:line="240" w:lineRule="auto"/>
            </w:pPr>
            <w:r/>
            <w:r>
              <w:rPr>
                <w:b w:val="0"/>
                <w:i w:val="0"/>
                <w:sz w:val="16"/>
              </w:rPr>
              <w:t>Qualitative (thematic analysis of forum posts)</w:t>
            </w:r>
          </w:p>
        </w:tc>
        <w:tc>
          <w:tcPr>
            <w:tcW w:type="dxa" w:w="864"/>
          </w:tcPr>
          <w:p>
            <w:pPr>
              <w:spacing w:line="240" w:lineRule="auto"/>
            </w:pPr>
            <w:r/>
            <w:r>
              <w:rPr>
                <w:b w:val="0"/>
                <w:i w:val="0"/>
                <w:sz w:val="16"/>
              </w:rPr>
              <w:t>NR (top posts)</w:t>
            </w:r>
          </w:p>
        </w:tc>
        <w:tc>
          <w:tcPr>
            <w:tcW w:type="dxa" w:w="2160"/>
          </w:tcPr>
          <w:p>
            <w:pPr>
              <w:spacing w:line="240" w:lineRule="auto"/>
            </w:pPr>
            <w:r/>
            <w:r>
              <w:rPr>
                <w:b w:val="0"/>
                <w:i w:val="0"/>
                <w:sz w:val="16"/>
              </w:rPr>
              <w:t>Online PMDD community (r/PMDD)</w:t>
            </w:r>
          </w:p>
        </w:tc>
        <w:tc>
          <w:tcPr>
            <w:tcW w:type="dxa" w:w="2160"/>
          </w:tcPr>
          <w:p>
            <w:pPr>
              <w:spacing w:line="240" w:lineRule="auto"/>
            </w:pPr>
            <w:r/>
            <w:r>
              <w:rPr>
                <w:b w:val="0"/>
                <w:i w:val="0"/>
                <w:sz w:val="16"/>
              </w:rPr>
              <w:t>Self-identified</w:t>
            </w:r>
          </w:p>
        </w:tc>
        <w:tc>
          <w:tcPr>
            <w:tcW w:type="dxa" w:w="2160"/>
          </w:tcPr>
          <w:p>
            <w:pPr>
              <w:spacing w:line="240" w:lineRule="auto"/>
            </w:pPr>
            <w:r/>
            <w:r>
              <w:rPr>
                <w:b w:val="0"/>
                <w:i w:val="0"/>
                <w:sz w:val="16"/>
              </w:rPr>
              <w:t>Coping/resilience; Lived experience/help-seeking; Interpersonal</w:t>
            </w:r>
          </w:p>
        </w:tc>
      </w:tr>
      <w:tr>
        <w:tc>
          <w:tcPr>
            <w:tcW w:type="dxa" w:w="2016"/>
          </w:tcPr>
          <w:p>
            <w:pPr>
              <w:spacing w:line="240" w:lineRule="auto"/>
            </w:pPr>
            <w:r/>
            <w:r>
              <w:rPr>
                <w:b w:val="0"/>
                <w:i w:val="0"/>
                <w:sz w:val="16"/>
              </w:rPr>
              <w:t>Senín-Calderón et al. (2023)</w:t>
            </w:r>
          </w:p>
        </w:tc>
        <w:tc>
          <w:tcPr>
            <w:tcW w:type="dxa" w:w="1440"/>
          </w:tcPr>
          <w:p>
            <w:pPr>
              <w:spacing w:line="240" w:lineRule="auto"/>
            </w:pPr>
            <w:r/>
            <w:r>
              <w:rPr>
                <w:b w:val="0"/>
                <w:i w:val="0"/>
                <w:sz w:val="16"/>
              </w:rPr>
              <w:t>Spain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105</w:t>
            </w:r>
          </w:p>
        </w:tc>
        <w:tc>
          <w:tcPr>
            <w:tcW w:type="dxa" w:w="2160"/>
          </w:tcPr>
          <w:p>
            <w:pPr>
              <w:spacing w:line="240" w:lineRule="auto"/>
            </w:pPr>
            <w:r/>
            <w:r>
              <w:rPr>
                <w:b w:val="0"/>
                <w:i w:val="0"/>
                <w:sz w:val="16"/>
              </w:rPr>
              <w:t>General population and MDD patients</w:t>
            </w:r>
          </w:p>
        </w:tc>
        <w:tc>
          <w:tcPr>
            <w:tcW w:type="dxa" w:w="2160"/>
          </w:tcPr>
          <w:p>
            <w:pPr>
              <w:spacing w:line="240" w:lineRule="auto"/>
            </w:pPr>
            <w:r/>
            <w:r>
              <w:rPr>
                <w:b w:val="0"/>
                <w:i w:val="0"/>
                <w:sz w:val="16"/>
              </w:rPr>
              <w:t>Semi-structured interview (DSM-5)</w:t>
            </w:r>
          </w:p>
        </w:tc>
        <w:tc>
          <w:tcPr>
            <w:tcW w:type="dxa" w:w="2160"/>
          </w:tcPr>
          <w:p>
            <w:pPr>
              <w:spacing w:line="240" w:lineRule="auto"/>
            </w:pPr>
            <w:r/>
            <w:r>
              <w:rPr>
                <w:b w:val="0"/>
                <w:i w:val="0"/>
                <w:sz w:val="16"/>
              </w:rPr>
              <w:t>Depression; Academic/occupational functioning; Interpersonal</w:t>
            </w:r>
          </w:p>
        </w:tc>
      </w:tr>
      <w:tr>
        <w:tc>
          <w:tcPr>
            <w:tcW w:type="dxa" w:w="2016"/>
          </w:tcPr>
          <w:p>
            <w:pPr>
              <w:spacing w:line="240" w:lineRule="auto"/>
            </w:pPr>
            <w:r/>
            <w:r>
              <w:rPr>
                <w:b w:val="0"/>
                <w:i w:val="0"/>
                <w:sz w:val="16"/>
              </w:rPr>
              <w:t>Li et al. (2023)</w:t>
            </w:r>
          </w:p>
        </w:tc>
        <w:tc>
          <w:tcPr>
            <w:tcW w:type="dxa" w:w="1440"/>
          </w:tcPr>
          <w:p>
            <w:pPr>
              <w:spacing w:line="240" w:lineRule="auto"/>
            </w:pPr>
            <w:r/>
            <w:r>
              <w:rPr>
                <w:b w:val="0"/>
                <w:i w:val="0"/>
                <w:sz w:val="16"/>
              </w:rPr>
              <w:t>Taiwan</w:t>
            </w:r>
          </w:p>
        </w:tc>
        <w:tc>
          <w:tcPr>
            <w:tcW w:type="dxa" w:w="2160"/>
          </w:tcPr>
          <w:p>
            <w:pPr>
              <w:spacing w:line="240" w:lineRule="auto"/>
            </w:pPr>
            <w:r/>
            <w:r>
              <w:rPr>
                <w:b w:val="0"/>
                <w:i w:val="0"/>
                <w:sz w:val="16"/>
              </w:rPr>
              <w:t>Nationwide registry cohort</w:t>
            </w:r>
          </w:p>
        </w:tc>
        <w:tc>
          <w:tcPr>
            <w:tcW w:type="dxa" w:w="864"/>
          </w:tcPr>
          <w:p>
            <w:pPr>
              <w:spacing w:line="240" w:lineRule="auto"/>
            </w:pPr>
            <w:r/>
            <w:r>
              <w:rPr>
                <w:b w:val="0"/>
                <w:i w:val="0"/>
                <w:sz w:val="16"/>
              </w:rPr>
              <w:t>41110</w:t>
            </w:r>
          </w:p>
        </w:tc>
        <w:tc>
          <w:tcPr>
            <w:tcW w:type="dxa" w:w="2160"/>
          </w:tcPr>
          <w:p>
            <w:pPr>
              <w:spacing w:line="240" w:lineRule="auto"/>
            </w:pPr>
            <w:r/>
            <w:r>
              <w:rPr>
                <w:b w:val="0"/>
                <w:i w:val="0"/>
                <w:sz w:val="16"/>
              </w:rPr>
              <w:t>National insurance database</w:t>
            </w:r>
          </w:p>
        </w:tc>
        <w:tc>
          <w:tcPr>
            <w:tcW w:type="dxa" w:w="2160"/>
          </w:tcPr>
          <w:p>
            <w:pPr>
              <w:spacing w:line="240" w:lineRule="auto"/>
            </w:pPr>
            <w:r/>
            <w:r>
              <w:rPr>
                <w:b w:val="0"/>
                <w:i w:val="0"/>
                <w:sz w:val="16"/>
              </w:rPr>
              <w:t>Clinical diagnosis (registry)</w:t>
            </w:r>
          </w:p>
        </w:tc>
        <w:tc>
          <w:tcPr>
            <w:tcW w:type="dxa" w:w="2160"/>
          </w:tcPr>
          <w:p>
            <w:pPr>
              <w:spacing w:line="240" w:lineRule="auto"/>
            </w:pPr>
            <w:r/>
            <w:r>
              <w:rPr>
                <w:b w:val="0"/>
                <w:i w:val="0"/>
                <w:sz w:val="16"/>
              </w:rPr>
              <w:t>Depression; Psychiatric comorbidity</w:t>
            </w:r>
          </w:p>
        </w:tc>
      </w:tr>
      <w:tr>
        <w:tc>
          <w:tcPr>
            <w:tcW w:type="dxa" w:w="2016"/>
          </w:tcPr>
          <w:p>
            <w:pPr>
              <w:spacing w:line="240" w:lineRule="auto"/>
            </w:pPr>
            <w:r/>
            <w:r>
              <w:rPr>
                <w:b w:val="0"/>
                <w:i w:val="0"/>
                <w:sz w:val="16"/>
              </w:rPr>
              <w:t>Akyuz Cim &amp; Cim (2023)</w:t>
            </w:r>
          </w:p>
        </w:tc>
        <w:tc>
          <w:tcPr>
            <w:tcW w:type="dxa" w:w="1440"/>
          </w:tcPr>
          <w:p>
            <w:pPr>
              <w:spacing w:line="240" w:lineRule="auto"/>
            </w:pPr>
            <w:r/>
            <w:r>
              <w:rPr>
                <w:b w:val="0"/>
                <w:i w:val="0"/>
                <w:sz w:val="16"/>
              </w:rPr>
              <w:t>Türkiye</w:t>
            </w:r>
          </w:p>
        </w:tc>
        <w:tc>
          <w:tcPr>
            <w:tcW w:type="dxa" w:w="2160"/>
          </w:tcPr>
          <w:p>
            <w:pPr>
              <w:spacing w:line="240" w:lineRule="auto"/>
            </w:pPr>
            <w:r/>
            <w:r>
              <w:rPr>
                <w:b w:val="0"/>
                <w:i w:val="0"/>
                <w:sz w:val="16"/>
              </w:rPr>
              <w:t>Case-control</w:t>
            </w:r>
          </w:p>
        </w:tc>
        <w:tc>
          <w:tcPr>
            <w:tcW w:type="dxa" w:w="864"/>
          </w:tcPr>
          <w:p>
            <w:pPr>
              <w:spacing w:line="240" w:lineRule="auto"/>
            </w:pPr>
            <w:r/>
            <w:r>
              <w:rPr>
                <w:b w:val="0"/>
                <w:i w:val="0"/>
                <w:sz w:val="16"/>
              </w:rPr>
              <w:t>62</w:t>
            </w:r>
          </w:p>
        </w:tc>
        <w:tc>
          <w:tcPr>
            <w:tcW w:type="dxa" w:w="2160"/>
          </w:tcPr>
          <w:p>
            <w:pPr>
              <w:spacing w:line="240" w:lineRule="auto"/>
            </w:pPr>
            <w:r/>
            <w:r>
              <w:rPr>
                <w:b w:val="0"/>
                <w:i w:val="0"/>
                <w:sz w:val="16"/>
              </w:rPr>
              <w:t>Psychiatric outpatients</w:t>
            </w:r>
          </w:p>
        </w:tc>
        <w:tc>
          <w:tcPr>
            <w:tcW w:type="dxa" w:w="2160"/>
          </w:tcPr>
          <w:p>
            <w:pPr>
              <w:spacing w:line="240" w:lineRule="auto"/>
            </w:pPr>
            <w:r/>
            <w:r>
              <w:rPr>
                <w:b w:val="0"/>
                <w:i w:val="0"/>
                <w:sz w:val="16"/>
              </w:rPr>
              <w:t>Clinical diagnosis</w:t>
            </w:r>
          </w:p>
        </w:tc>
        <w:tc>
          <w:tcPr>
            <w:tcW w:type="dxa" w:w="2160"/>
          </w:tcPr>
          <w:p>
            <w:pPr>
              <w:spacing w:line="240" w:lineRule="auto"/>
            </w:pPr>
            <w:r/>
            <w:r>
              <w:rPr>
                <w:b w:val="0"/>
                <w:i w:val="0"/>
                <w:sz w:val="16"/>
              </w:rPr>
              <w:t>Depression</w:t>
            </w:r>
          </w:p>
        </w:tc>
      </w:tr>
      <w:tr>
        <w:tc>
          <w:tcPr>
            <w:tcW w:type="dxa" w:w="2016"/>
          </w:tcPr>
          <w:p>
            <w:pPr>
              <w:spacing w:line="240" w:lineRule="auto"/>
            </w:pPr>
            <w:r/>
            <w:r>
              <w:rPr>
                <w:b w:val="0"/>
                <w:i w:val="0"/>
                <w:sz w:val="16"/>
              </w:rPr>
              <w:t>Nayman et al. (2023)</w:t>
            </w:r>
          </w:p>
        </w:tc>
        <w:tc>
          <w:tcPr>
            <w:tcW w:type="dxa" w:w="1440"/>
          </w:tcPr>
          <w:p>
            <w:pPr>
              <w:spacing w:line="240" w:lineRule="auto"/>
            </w:pPr>
            <w:r/>
            <w:r>
              <w:rPr>
                <w:b w:val="0"/>
                <w:i w:val="0"/>
                <w:sz w:val="16"/>
              </w:rPr>
              <w:t>Germany</w:t>
            </w:r>
          </w:p>
        </w:tc>
        <w:tc>
          <w:tcPr>
            <w:tcW w:type="dxa" w:w="2160"/>
          </w:tcPr>
          <w:p>
            <w:pPr>
              <w:spacing w:line="240" w:lineRule="auto"/>
            </w:pPr>
            <w:r/>
            <w:r>
              <w:rPr>
                <w:b w:val="0"/>
                <w:i w:val="0"/>
                <w:sz w:val="16"/>
              </w:rPr>
              <w:t>Ambulatory assessment (EMA)</w:t>
            </w:r>
          </w:p>
        </w:tc>
        <w:tc>
          <w:tcPr>
            <w:tcW w:type="dxa" w:w="864"/>
          </w:tcPr>
          <w:p>
            <w:pPr>
              <w:spacing w:line="240" w:lineRule="auto"/>
            </w:pPr>
            <w:r/>
            <w:r>
              <w:rPr>
                <w:b w:val="0"/>
                <w:i w:val="0"/>
                <w:sz w:val="16"/>
              </w:rPr>
              <w:t>122</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Mood/emotion regulation; Depression</w:t>
            </w:r>
          </w:p>
        </w:tc>
      </w:tr>
      <w:tr>
        <w:tc>
          <w:tcPr>
            <w:tcW w:type="dxa" w:w="2016"/>
          </w:tcPr>
          <w:p>
            <w:pPr>
              <w:spacing w:line="240" w:lineRule="auto"/>
            </w:pPr>
            <w:r/>
            <w:r>
              <w:rPr>
                <w:b w:val="0"/>
                <w:i w:val="0"/>
                <w:sz w:val="16"/>
              </w:rPr>
              <w:t>Ihara et al. (2024)</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212</w:t>
            </w:r>
          </w:p>
        </w:tc>
        <w:tc>
          <w:tcPr>
            <w:tcW w:type="dxa" w:w="2160"/>
          </w:tcPr>
          <w:p>
            <w:pPr>
              <w:spacing w:line="240" w:lineRule="auto"/>
            </w:pPr>
            <w:r/>
            <w:r>
              <w:rPr>
                <w:b w:val="0"/>
                <w:i w:val="0"/>
                <w:sz w:val="16"/>
              </w:rPr>
              <w:t>Pregnant women</w:t>
            </w:r>
          </w:p>
        </w:tc>
        <w:tc>
          <w:tcPr>
            <w:tcW w:type="dxa" w:w="2160"/>
          </w:tcPr>
          <w:p>
            <w:pPr>
              <w:spacing w:line="240" w:lineRule="auto"/>
            </w:pPr>
            <w:r/>
            <w:r>
              <w:rPr>
                <w:b w:val="0"/>
                <w:i w:val="0"/>
                <w:sz w:val="16"/>
              </w:rPr>
              <w:t>PMDD scale</w:t>
            </w:r>
          </w:p>
        </w:tc>
        <w:tc>
          <w:tcPr>
            <w:tcW w:type="dxa" w:w="2160"/>
          </w:tcPr>
          <w:p>
            <w:pPr>
              <w:spacing w:line="240" w:lineRule="auto"/>
            </w:pPr>
            <w:r/>
            <w:r>
              <w:rPr>
                <w:b w:val="0"/>
                <w:i w:val="0"/>
                <w:sz w:val="16"/>
              </w:rPr>
              <w:t>Depression</w:t>
            </w:r>
          </w:p>
        </w:tc>
      </w:tr>
      <w:tr>
        <w:tc>
          <w:tcPr>
            <w:tcW w:type="dxa" w:w="2016"/>
          </w:tcPr>
          <w:p>
            <w:pPr>
              <w:spacing w:line="240" w:lineRule="auto"/>
            </w:pPr>
            <w:r/>
            <w:r>
              <w:rPr>
                <w:b w:val="0"/>
                <w:i w:val="0"/>
                <w:sz w:val="16"/>
              </w:rPr>
              <w:t>Lee et al. (2024)</w:t>
            </w:r>
          </w:p>
        </w:tc>
        <w:tc>
          <w:tcPr>
            <w:tcW w:type="dxa" w:w="1440"/>
          </w:tcPr>
          <w:p>
            <w:pPr>
              <w:spacing w:line="240" w:lineRule="auto"/>
            </w:pPr>
            <w:r/>
            <w:r>
              <w:rPr>
                <w:b w:val="0"/>
                <w:i w:val="0"/>
                <w:sz w:val="16"/>
              </w:rPr>
              <w:t>China (Hong Kong)</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541</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Screening tool (high-risk PMDD)</w:t>
            </w:r>
          </w:p>
        </w:tc>
        <w:tc>
          <w:tcPr>
            <w:tcW w:type="dxa" w:w="2160"/>
          </w:tcPr>
          <w:p>
            <w:pPr>
              <w:spacing w:line="240" w:lineRule="auto"/>
            </w:pPr>
            <w:r/>
            <w:r>
              <w:rPr>
                <w:b w:val="0"/>
                <w:i w:val="0"/>
                <w:sz w:val="16"/>
              </w:rPr>
              <w:t>Depression; Anxiety; Interpersonal; Coping/resilience</w:t>
            </w:r>
          </w:p>
        </w:tc>
      </w:tr>
      <w:tr>
        <w:tc>
          <w:tcPr>
            <w:tcW w:type="dxa" w:w="2016"/>
          </w:tcPr>
          <w:p>
            <w:pPr>
              <w:spacing w:line="240" w:lineRule="auto"/>
            </w:pPr>
            <w:r/>
            <w:r>
              <w:rPr>
                <w:b w:val="0"/>
                <w:i w:val="0"/>
                <w:sz w:val="16"/>
              </w:rPr>
              <w:t>Nayman et al. (2024)</w:t>
            </w:r>
          </w:p>
        </w:tc>
        <w:tc>
          <w:tcPr>
            <w:tcW w:type="dxa" w:w="1440"/>
          </w:tcPr>
          <w:p>
            <w:pPr>
              <w:spacing w:line="240" w:lineRule="auto"/>
            </w:pPr>
            <w:r/>
            <w:r>
              <w:rPr>
                <w:b w:val="0"/>
                <w:i w:val="0"/>
                <w:sz w:val="16"/>
              </w:rPr>
              <w:t>Germany</w:t>
            </w:r>
          </w:p>
        </w:tc>
        <w:tc>
          <w:tcPr>
            <w:tcW w:type="dxa" w:w="2160"/>
          </w:tcPr>
          <w:p>
            <w:pPr>
              <w:spacing w:line="240" w:lineRule="auto"/>
            </w:pPr>
            <w:r/>
            <w:r>
              <w:rPr>
                <w:b w:val="0"/>
                <w:i w:val="0"/>
                <w:sz w:val="16"/>
              </w:rPr>
              <w:t>Ambulatory assessment (EMA)</w:t>
            </w:r>
          </w:p>
        </w:tc>
        <w:tc>
          <w:tcPr>
            <w:tcW w:type="dxa" w:w="864"/>
          </w:tcPr>
          <w:p>
            <w:pPr>
              <w:spacing w:line="240" w:lineRule="auto"/>
            </w:pPr>
            <w:r/>
            <w:r>
              <w:rPr>
                <w:b w:val="0"/>
                <w:i w:val="0"/>
                <w:sz w:val="16"/>
              </w:rPr>
              <w:t>120</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Prospective daily ratings</w:t>
            </w:r>
          </w:p>
        </w:tc>
        <w:tc>
          <w:tcPr>
            <w:tcW w:type="dxa" w:w="2160"/>
          </w:tcPr>
          <w:p>
            <w:pPr>
              <w:spacing w:line="240" w:lineRule="auto"/>
            </w:pPr>
            <w:r/>
            <w:r>
              <w:rPr>
                <w:b w:val="0"/>
                <w:i w:val="0"/>
                <w:sz w:val="16"/>
              </w:rPr>
              <w:t>Mood/emotion regulation</w:t>
            </w:r>
          </w:p>
        </w:tc>
      </w:tr>
      <w:tr>
        <w:tc>
          <w:tcPr>
            <w:tcW w:type="dxa" w:w="2016"/>
          </w:tcPr>
          <w:p>
            <w:pPr>
              <w:spacing w:line="240" w:lineRule="auto"/>
            </w:pPr>
            <w:r/>
            <w:r>
              <w:rPr>
                <w:b w:val="0"/>
                <w:i w:val="0"/>
                <w:sz w:val="16"/>
              </w:rPr>
              <w:t>Westermark et al. (2024)</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Prospective cohort (registry-linked)</w:t>
            </w:r>
          </w:p>
        </w:tc>
        <w:tc>
          <w:tcPr>
            <w:tcW w:type="dxa" w:w="864"/>
          </w:tcPr>
          <w:p>
            <w:pPr>
              <w:spacing w:line="240" w:lineRule="auto"/>
            </w:pPr>
            <w:r/>
            <w:r>
              <w:rPr>
                <w:b w:val="0"/>
                <w:i w:val="0"/>
                <w:sz w:val="16"/>
              </w:rPr>
              <w:t>15606</w:t>
            </w:r>
          </w:p>
        </w:tc>
        <w:tc>
          <w:tcPr>
            <w:tcW w:type="dxa" w:w="2160"/>
          </w:tcPr>
          <w:p>
            <w:pPr>
              <w:spacing w:line="240" w:lineRule="auto"/>
            </w:pPr>
            <w:r/>
            <w:r>
              <w:rPr>
                <w:b w:val="0"/>
                <w:i w:val="0"/>
                <w:sz w:val="16"/>
              </w:rPr>
              <w:t>Population-based cohort</w:t>
            </w:r>
          </w:p>
        </w:tc>
        <w:tc>
          <w:tcPr>
            <w:tcW w:type="dxa" w:w="2160"/>
          </w:tcPr>
          <w:p>
            <w:pPr>
              <w:spacing w:line="240" w:lineRule="auto"/>
            </w:pPr>
            <w:r/>
            <w:r>
              <w:rPr>
                <w:b w:val="0"/>
                <w:i w:val="0"/>
                <w:sz w:val="16"/>
              </w:rPr>
              <w:t>Modified PSST</w:t>
            </w:r>
          </w:p>
        </w:tc>
        <w:tc>
          <w:tcPr>
            <w:tcW w:type="dxa" w:w="2160"/>
          </w:tcPr>
          <w:p>
            <w:pPr>
              <w:spacing w:line="240" w:lineRule="auto"/>
            </w:pPr>
            <w:r/>
            <w:r>
              <w:rPr>
                <w:b w:val="0"/>
                <w:i w:val="0"/>
                <w:sz w:val="16"/>
              </w:rPr>
              <w:t>Interpersonal</w:t>
            </w:r>
          </w:p>
        </w:tc>
      </w:tr>
      <w:tr>
        <w:tc>
          <w:tcPr>
            <w:tcW w:type="dxa" w:w="2016"/>
          </w:tcPr>
          <w:p>
            <w:pPr>
              <w:spacing w:line="240" w:lineRule="auto"/>
            </w:pPr>
            <w:r/>
            <w:r>
              <w:rPr>
                <w:b w:val="0"/>
                <w:i w:val="0"/>
                <w:sz w:val="16"/>
              </w:rPr>
              <w:t>Kibralew et al. (2024)</w:t>
            </w:r>
          </w:p>
        </w:tc>
        <w:tc>
          <w:tcPr>
            <w:tcW w:type="dxa" w:w="1440"/>
          </w:tcPr>
          <w:p>
            <w:pPr>
              <w:spacing w:line="240" w:lineRule="auto"/>
            </w:pPr>
            <w:r/>
            <w:r>
              <w:rPr>
                <w:b w:val="0"/>
                <w:i w:val="0"/>
                <w:sz w:val="16"/>
              </w:rPr>
              <w:t>Ethiopia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548</w:t>
            </w:r>
          </w:p>
        </w:tc>
        <w:tc>
          <w:tcPr>
            <w:tcW w:type="dxa" w:w="2160"/>
          </w:tcPr>
          <w:p>
            <w:pPr>
              <w:spacing w:line="240" w:lineRule="auto"/>
            </w:pPr>
            <w:r/>
            <w:r>
              <w:rPr>
                <w:b w:val="0"/>
                <w:i w:val="0"/>
                <w:sz w:val="16"/>
              </w:rPr>
              <w:t>High school students</w:t>
            </w:r>
          </w:p>
        </w:tc>
        <w:tc>
          <w:tcPr>
            <w:tcW w:type="dxa" w:w="2160"/>
          </w:tcPr>
          <w:p>
            <w:pPr>
              <w:spacing w:line="240" w:lineRule="auto"/>
            </w:pPr>
            <w:r/>
            <w:r>
              <w:rPr>
                <w:b w:val="0"/>
                <w:i w:val="0"/>
                <w:sz w:val="16"/>
              </w:rPr>
              <w:t>DSM-5 criteria</w:t>
            </w:r>
          </w:p>
        </w:tc>
        <w:tc>
          <w:tcPr>
            <w:tcW w:type="dxa" w:w="2160"/>
          </w:tcPr>
          <w:p>
            <w:pPr>
              <w:spacing w:line="240" w:lineRule="auto"/>
            </w:pPr>
            <w:r/>
            <w:r>
              <w:rPr>
                <w:b w:val="0"/>
                <w:i w:val="0"/>
                <w:sz w:val="16"/>
              </w:rPr>
              <w:t>Depression; Distress/stress</w:t>
            </w:r>
          </w:p>
        </w:tc>
      </w:tr>
      <w:tr>
        <w:tc>
          <w:tcPr>
            <w:tcW w:type="dxa" w:w="2016"/>
          </w:tcPr>
          <w:p>
            <w:pPr>
              <w:spacing w:line="240" w:lineRule="auto"/>
            </w:pPr>
            <w:r/>
            <w:r>
              <w:rPr>
                <w:b w:val="0"/>
                <w:i w:val="0"/>
                <w:sz w:val="16"/>
              </w:rPr>
              <w:t>Liang et al. (2024)</w:t>
            </w:r>
          </w:p>
        </w:tc>
        <w:tc>
          <w:tcPr>
            <w:tcW w:type="dxa" w:w="1440"/>
          </w:tcPr>
          <w:p>
            <w:pPr>
              <w:spacing w:line="240" w:lineRule="auto"/>
            </w:pPr>
            <w:r/>
            <w:r>
              <w:rPr>
                <w:b w:val="0"/>
                <w:i w:val="0"/>
                <w:sz w:val="16"/>
              </w:rPr>
              <w:t>China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262</w:t>
            </w:r>
          </w:p>
        </w:tc>
        <w:tc>
          <w:tcPr>
            <w:tcW w:type="dxa" w:w="2160"/>
          </w:tcPr>
          <w:p>
            <w:pPr>
              <w:spacing w:line="240" w:lineRule="auto"/>
            </w:pPr>
            <w:r/>
            <w:r>
              <w:rPr>
                <w:b w:val="0"/>
                <w:i w:val="0"/>
                <w:sz w:val="16"/>
              </w:rPr>
              <w:t>Women with bipolar disorder</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Psychiatric comorbidity; Depression</w:t>
            </w:r>
          </w:p>
        </w:tc>
      </w:tr>
      <w:tr>
        <w:tc>
          <w:tcPr>
            <w:tcW w:type="dxa" w:w="2016"/>
          </w:tcPr>
          <w:p>
            <w:pPr>
              <w:spacing w:line="240" w:lineRule="auto"/>
            </w:pPr>
            <w:r/>
            <w:r>
              <w:rPr>
                <w:b w:val="0"/>
                <w:i w:val="0"/>
                <w:sz w:val="16"/>
              </w:rPr>
              <w:t>Schleimann-Jensen et al. (2025)</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Longitudinal cohorts (two)</w:t>
            </w:r>
          </w:p>
        </w:tc>
        <w:tc>
          <w:tcPr>
            <w:tcW w:type="dxa" w:w="864"/>
          </w:tcPr>
          <w:p>
            <w:pPr>
              <w:spacing w:line="240" w:lineRule="auto"/>
            </w:pPr>
            <w:r/>
            <w:r>
              <w:rPr>
                <w:b w:val="0"/>
                <w:i w:val="0"/>
                <w:sz w:val="16"/>
              </w:rPr>
              <w:t>NR</w:t>
            </w:r>
          </w:p>
        </w:tc>
        <w:tc>
          <w:tcPr>
            <w:tcW w:type="dxa" w:w="2160"/>
          </w:tcPr>
          <w:p>
            <w:pPr>
              <w:spacing w:line="240" w:lineRule="auto"/>
            </w:pPr>
            <w:r/>
            <w:r>
              <w:rPr>
                <w:b w:val="0"/>
                <w:i w:val="0"/>
                <w:sz w:val="16"/>
              </w:rPr>
              <w:t>Pregnant/postpartum women</w:t>
            </w:r>
          </w:p>
        </w:tc>
        <w:tc>
          <w:tcPr>
            <w:tcW w:type="dxa" w:w="2160"/>
          </w:tcPr>
          <w:p>
            <w:pPr>
              <w:spacing w:line="240" w:lineRule="auto"/>
            </w:pPr>
            <w:r/>
            <w:r>
              <w:rPr>
                <w:b w:val="0"/>
                <w:i w:val="0"/>
                <w:sz w:val="16"/>
              </w:rPr>
              <w:t>Retrospective self-report</w:t>
            </w:r>
          </w:p>
        </w:tc>
        <w:tc>
          <w:tcPr>
            <w:tcW w:type="dxa" w:w="2160"/>
          </w:tcPr>
          <w:p>
            <w:pPr>
              <w:spacing w:line="240" w:lineRule="auto"/>
            </w:pPr>
            <w:r/>
            <w:r>
              <w:rPr>
                <w:b w:val="0"/>
                <w:i w:val="0"/>
                <w:sz w:val="16"/>
              </w:rPr>
              <w:t>Depression; Anxiety</w:t>
            </w:r>
          </w:p>
        </w:tc>
      </w:tr>
      <w:tr>
        <w:tc>
          <w:tcPr>
            <w:tcW w:type="dxa" w:w="2016"/>
          </w:tcPr>
          <w:p>
            <w:pPr>
              <w:spacing w:line="240" w:lineRule="auto"/>
            </w:pPr>
            <w:r/>
            <w:r>
              <w:rPr>
                <w:b w:val="0"/>
                <w:i w:val="0"/>
                <w:sz w:val="16"/>
              </w:rPr>
              <w:t>Hodgetts &amp; Kinghorn (2025)</w:t>
            </w:r>
          </w:p>
        </w:tc>
        <w:tc>
          <w:tcPr>
            <w:tcW w:type="dxa" w:w="1440"/>
          </w:tcPr>
          <w:p>
            <w:pPr>
              <w:spacing w:line="240" w:lineRule="auto"/>
            </w:pPr>
            <w:r/>
            <w:r>
              <w:rPr>
                <w:b w:val="0"/>
                <w:i w:val="0"/>
                <w:sz w:val="16"/>
              </w:rPr>
              <w:t>United Kingdom</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403 / 151</w:t>
            </w:r>
          </w:p>
        </w:tc>
        <w:tc>
          <w:tcPr>
            <w:tcW w:type="dxa" w:w="2160"/>
          </w:tcPr>
          <w:p>
            <w:pPr>
              <w:spacing w:line="240" w:lineRule="auto"/>
            </w:pPr>
            <w:r/>
            <w:r>
              <w:rPr>
                <w:b w:val="0"/>
                <w:i w:val="0"/>
                <w:sz w:val="16"/>
              </w:rPr>
              <w:t>People with PMDD, partners, controls</w:t>
            </w:r>
          </w:p>
        </w:tc>
        <w:tc>
          <w:tcPr>
            <w:tcW w:type="dxa" w:w="2160"/>
          </w:tcPr>
          <w:p>
            <w:pPr>
              <w:spacing w:line="240" w:lineRule="auto"/>
            </w:pPr>
            <w:r/>
            <w:r>
              <w:rPr>
                <w:b w:val="0"/>
                <w:i w:val="0"/>
                <w:sz w:val="16"/>
              </w:rPr>
              <w:t>Self-reported diagnosis</w:t>
            </w:r>
          </w:p>
        </w:tc>
        <w:tc>
          <w:tcPr>
            <w:tcW w:type="dxa" w:w="2160"/>
          </w:tcPr>
          <w:p>
            <w:pPr>
              <w:spacing w:line="240" w:lineRule="auto"/>
            </w:pPr>
            <w:r/>
            <w:r>
              <w:rPr>
                <w:b w:val="0"/>
                <w:i w:val="0"/>
                <w:sz w:val="16"/>
              </w:rPr>
              <w:t>Quality of life; Interpersonal</w:t>
            </w:r>
          </w:p>
        </w:tc>
      </w:tr>
      <w:tr>
        <w:tc>
          <w:tcPr>
            <w:tcW w:type="dxa" w:w="2016"/>
          </w:tcPr>
          <w:p>
            <w:pPr>
              <w:spacing w:line="240" w:lineRule="auto"/>
            </w:pPr>
            <w:r/>
            <w:r>
              <w:rPr>
                <w:b w:val="0"/>
                <w:i w:val="0"/>
                <w:sz w:val="16"/>
              </w:rPr>
              <w:t>Broughton et al. (2025)</w:t>
            </w:r>
          </w:p>
        </w:tc>
        <w:tc>
          <w:tcPr>
            <w:tcW w:type="dxa" w:w="1440"/>
          </w:tcPr>
          <w:p>
            <w:pPr>
              <w:spacing w:line="240" w:lineRule="auto"/>
            </w:pPr>
            <w:r/>
            <w:r>
              <w:rPr>
                <w:b w:val="0"/>
                <w:i w:val="0"/>
                <w:sz w:val="16"/>
              </w:rPr>
              <w:t>NR (online panel)</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715</w:t>
            </w:r>
          </w:p>
        </w:tc>
        <w:tc>
          <w:tcPr>
            <w:tcW w:type="dxa" w:w="2160"/>
          </w:tcPr>
          <w:p>
            <w:pPr>
              <w:spacing w:line="240" w:lineRule="auto"/>
            </w:pPr>
            <w:r/>
            <w:r>
              <w:rPr>
                <w:b w:val="0"/>
                <w:i w:val="0"/>
                <w:sz w:val="16"/>
              </w:rPr>
              <w:t>Young adults (18-34)</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Psychiatric comorbidity; Depression; Anxiety</w:t>
            </w:r>
          </w:p>
        </w:tc>
      </w:tr>
      <w:tr>
        <w:tc>
          <w:tcPr>
            <w:tcW w:type="dxa" w:w="2016"/>
          </w:tcPr>
          <w:p>
            <w:pPr>
              <w:spacing w:line="240" w:lineRule="auto"/>
            </w:pPr>
            <w:r/>
            <w:r>
              <w:rPr>
                <w:b w:val="0"/>
                <w:i w:val="0"/>
                <w:sz w:val="16"/>
              </w:rPr>
              <w:t>Torabi et al. (2025)</w:t>
            </w:r>
          </w:p>
        </w:tc>
        <w:tc>
          <w:tcPr>
            <w:tcW w:type="dxa" w:w="1440"/>
          </w:tcPr>
          <w:p>
            <w:pPr>
              <w:spacing w:line="240" w:lineRule="auto"/>
            </w:pPr>
            <w:r/>
            <w:r>
              <w:rPr>
                <w:b w:val="0"/>
                <w:i w:val="0"/>
                <w:sz w:val="16"/>
              </w:rPr>
              <w:t>NR</w:t>
            </w:r>
          </w:p>
        </w:tc>
        <w:tc>
          <w:tcPr>
            <w:tcW w:type="dxa" w:w="2160"/>
          </w:tcPr>
          <w:p>
            <w:pPr>
              <w:spacing w:line="240" w:lineRule="auto"/>
            </w:pPr>
            <w:r/>
            <w:r>
              <w:rPr>
                <w:b w:val="0"/>
                <w:i w:val="0"/>
                <w:sz w:val="16"/>
              </w:rPr>
              <w:t>Cross-sectional (phase comparison)</w:t>
            </w:r>
          </w:p>
        </w:tc>
        <w:tc>
          <w:tcPr>
            <w:tcW w:type="dxa" w:w="864"/>
          </w:tcPr>
          <w:p>
            <w:pPr>
              <w:spacing w:line="240" w:lineRule="auto"/>
            </w:pPr>
            <w:r/>
            <w:r>
              <w:rPr>
                <w:b w:val="0"/>
                <w:i w:val="0"/>
                <w:sz w:val="16"/>
              </w:rPr>
              <w:t>150</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Clinical interview + screening tool</w:t>
            </w:r>
          </w:p>
        </w:tc>
        <w:tc>
          <w:tcPr>
            <w:tcW w:type="dxa" w:w="2160"/>
          </w:tcPr>
          <w:p>
            <w:pPr>
              <w:spacing w:line="240" w:lineRule="auto"/>
            </w:pPr>
            <w:r/>
            <w:r>
              <w:rPr>
                <w:b w:val="0"/>
                <w:i w:val="0"/>
                <w:sz w:val="16"/>
              </w:rPr>
              <w:t>Anxiety; Mood/emotion regulation; Distress/stress</w:t>
            </w:r>
          </w:p>
        </w:tc>
      </w:tr>
      <w:tr>
        <w:tc>
          <w:tcPr>
            <w:tcW w:type="dxa" w:w="2016"/>
          </w:tcPr>
          <w:p>
            <w:pPr>
              <w:spacing w:line="240" w:lineRule="auto"/>
            </w:pPr>
            <w:r/>
            <w:r>
              <w:rPr>
                <w:b w:val="0"/>
                <w:i w:val="0"/>
                <w:sz w:val="16"/>
              </w:rPr>
              <w:t>Antosz-Rekucka &amp; Prochwicz (2025)</w:t>
            </w:r>
          </w:p>
        </w:tc>
        <w:tc>
          <w:tcPr>
            <w:tcW w:type="dxa" w:w="1440"/>
          </w:tcPr>
          <w:p>
            <w:pPr>
              <w:spacing w:line="240" w:lineRule="auto"/>
            </w:pPr>
            <w:r/>
            <w:r>
              <w:rPr>
                <w:b w:val="0"/>
                <w:i w:val="0"/>
                <w:sz w:val="16"/>
              </w:rPr>
              <w:t>Poland</w:t>
            </w:r>
          </w:p>
        </w:tc>
        <w:tc>
          <w:tcPr>
            <w:tcW w:type="dxa" w:w="2160"/>
          </w:tcPr>
          <w:p>
            <w:pPr>
              <w:spacing w:line="240" w:lineRule="auto"/>
            </w:pPr>
            <w:r/>
            <w:r>
              <w:rPr>
                <w:b w:val="0"/>
                <w:i w:val="0"/>
                <w:sz w:val="16"/>
              </w:rPr>
              <w:t>Cross-sectional + prospective</w:t>
            </w:r>
          </w:p>
        </w:tc>
        <w:tc>
          <w:tcPr>
            <w:tcW w:type="dxa" w:w="864"/>
          </w:tcPr>
          <w:p>
            <w:pPr>
              <w:spacing w:line="240" w:lineRule="auto"/>
            </w:pPr>
            <w:r/>
            <w:r>
              <w:rPr>
                <w:b w:val="0"/>
                <w:i w:val="0"/>
                <w:sz w:val="16"/>
              </w:rPr>
              <w:t>228 / 90</w:t>
            </w:r>
          </w:p>
        </w:tc>
        <w:tc>
          <w:tcPr>
            <w:tcW w:type="dxa" w:w="2160"/>
          </w:tcPr>
          <w:p>
            <w:pPr>
              <w:spacing w:line="240" w:lineRule="auto"/>
            </w:pPr>
            <w:r/>
            <w:r>
              <w:rPr>
                <w:b w:val="0"/>
                <w:i w:val="0"/>
                <w:sz w:val="16"/>
              </w:rPr>
              <w:t>Community women</w:t>
            </w:r>
          </w:p>
        </w:tc>
        <w:tc>
          <w:tcPr>
            <w:tcW w:type="dxa" w:w="2160"/>
          </w:tcPr>
          <w:p>
            <w:pPr>
              <w:spacing w:line="240" w:lineRule="auto"/>
            </w:pPr>
            <w:r/>
            <w:r>
              <w:rPr>
                <w:b w:val="0"/>
                <w:i w:val="0"/>
                <w:sz w:val="16"/>
              </w:rPr>
              <w:t>Retrospective + prospective diagnosis</w:t>
            </w:r>
          </w:p>
        </w:tc>
        <w:tc>
          <w:tcPr>
            <w:tcW w:type="dxa" w:w="2160"/>
          </w:tcPr>
          <w:p>
            <w:pPr>
              <w:spacing w:line="240" w:lineRule="auto"/>
            </w:pPr>
            <w:r/>
            <w:r>
              <w:rPr>
                <w:b w:val="0"/>
                <w:i w:val="0"/>
                <w:sz w:val="16"/>
              </w:rPr>
              <w:t>Trauma/adversity; Distress/stress; Depression</w:t>
            </w:r>
          </w:p>
        </w:tc>
      </w:tr>
      <w:tr>
        <w:tc>
          <w:tcPr>
            <w:tcW w:type="dxa" w:w="2016"/>
          </w:tcPr>
          <w:p>
            <w:pPr>
              <w:spacing w:line="240" w:lineRule="auto"/>
            </w:pPr>
            <w:r/>
            <w:r>
              <w:rPr>
                <w:b w:val="0"/>
                <w:i w:val="0"/>
                <w:sz w:val="16"/>
              </w:rPr>
              <w:t>Innab et al. (2025)</w:t>
            </w:r>
          </w:p>
        </w:tc>
        <w:tc>
          <w:tcPr>
            <w:tcW w:type="dxa" w:w="1440"/>
          </w:tcPr>
          <w:p>
            <w:pPr>
              <w:spacing w:line="240" w:lineRule="auto"/>
            </w:pPr>
            <w:r/>
            <w:r>
              <w:rPr>
                <w:b w:val="0"/>
                <w:i w:val="0"/>
                <w:sz w:val="16"/>
              </w:rPr>
              <w:t>Saudi Arabia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144</w:t>
            </w:r>
          </w:p>
        </w:tc>
        <w:tc>
          <w:tcPr>
            <w:tcW w:type="dxa" w:w="2160"/>
          </w:tcPr>
          <w:p>
            <w:pPr>
              <w:spacing w:line="240" w:lineRule="auto"/>
            </w:pPr>
            <w:r/>
            <w:r>
              <w:rPr>
                <w:b w:val="0"/>
                <w:i w:val="0"/>
                <w:sz w:val="16"/>
              </w:rPr>
              <w:t>Nursing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Distress/stress</w:t>
            </w:r>
          </w:p>
        </w:tc>
      </w:tr>
      <w:tr>
        <w:tc>
          <w:tcPr>
            <w:tcW w:type="dxa" w:w="2016"/>
          </w:tcPr>
          <w:p>
            <w:pPr>
              <w:spacing w:line="240" w:lineRule="auto"/>
            </w:pPr>
            <w:r/>
            <w:r>
              <w:rPr>
                <w:b w:val="0"/>
                <w:i w:val="0"/>
                <w:sz w:val="16"/>
              </w:rPr>
              <w:t>Kondo et al. (2025)</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Retrospective chart review</w:t>
            </w:r>
          </w:p>
        </w:tc>
        <w:tc>
          <w:tcPr>
            <w:tcW w:type="dxa" w:w="864"/>
          </w:tcPr>
          <w:p>
            <w:pPr>
              <w:spacing w:line="240" w:lineRule="auto"/>
            </w:pPr>
            <w:r/>
            <w:r>
              <w:rPr>
                <w:b w:val="0"/>
                <w:i w:val="0"/>
                <w:sz w:val="16"/>
              </w:rPr>
              <w:t>290</w:t>
            </w:r>
          </w:p>
        </w:tc>
        <w:tc>
          <w:tcPr>
            <w:tcW w:type="dxa" w:w="2160"/>
          </w:tcPr>
          <w:p>
            <w:pPr>
              <w:spacing w:line="240" w:lineRule="auto"/>
            </w:pPr>
            <w:r/>
            <w:r>
              <w:rPr>
                <w:b w:val="0"/>
                <w:i w:val="0"/>
                <w:sz w:val="16"/>
              </w:rPr>
              <w:t>Adolescent clinical patients</w:t>
            </w:r>
          </w:p>
        </w:tc>
        <w:tc>
          <w:tcPr>
            <w:tcW w:type="dxa" w:w="2160"/>
          </w:tcPr>
          <w:p>
            <w:pPr>
              <w:spacing w:line="240" w:lineRule="auto"/>
            </w:pPr>
            <w:r/>
            <w:r>
              <w:rPr>
                <w:b w:val="0"/>
                <w:i w:val="0"/>
                <w:sz w:val="16"/>
              </w:rPr>
              <w:t>PMDD assessment scale</w:t>
            </w:r>
          </w:p>
        </w:tc>
        <w:tc>
          <w:tcPr>
            <w:tcW w:type="dxa" w:w="2160"/>
          </w:tcPr>
          <w:p>
            <w:pPr>
              <w:spacing w:line="240" w:lineRule="auto"/>
            </w:pPr>
            <w:r/>
            <w:r>
              <w:rPr>
                <w:b w:val="0"/>
                <w:i w:val="0"/>
                <w:sz w:val="16"/>
              </w:rPr>
              <w:t>Psychiatric comorbidity; Depression</w:t>
            </w:r>
          </w:p>
        </w:tc>
      </w:tr>
      <w:tr>
        <w:tc>
          <w:tcPr>
            <w:tcW w:type="dxa" w:w="2016"/>
          </w:tcPr>
          <w:p>
            <w:pPr>
              <w:spacing w:line="240" w:lineRule="auto"/>
            </w:pPr>
            <w:r/>
            <w:r>
              <w:rPr>
                <w:b w:val="0"/>
                <w:i w:val="0"/>
                <w:sz w:val="16"/>
              </w:rPr>
              <w:t>Wang et al. (2025)</w:t>
            </w:r>
          </w:p>
        </w:tc>
        <w:tc>
          <w:tcPr>
            <w:tcW w:type="dxa" w:w="1440"/>
          </w:tcPr>
          <w:p>
            <w:pPr>
              <w:spacing w:line="240" w:lineRule="auto"/>
            </w:pPr>
            <w:r/>
            <w:r>
              <w:rPr>
                <w:b w:val="0"/>
                <w:i w:val="0"/>
                <w:sz w:val="16"/>
              </w:rPr>
              <w:t>Sweden</w:t>
            </w:r>
          </w:p>
        </w:tc>
        <w:tc>
          <w:tcPr>
            <w:tcW w:type="dxa" w:w="2160"/>
          </w:tcPr>
          <w:p>
            <w:pPr>
              <w:spacing w:line="240" w:lineRule="auto"/>
            </w:pPr>
            <w:r/>
            <w:r>
              <w:rPr>
                <w:b w:val="0"/>
                <w:i w:val="0"/>
                <w:sz w:val="16"/>
              </w:rPr>
              <w:t>Cross-sectional + prospective (LifeGene cohort)</w:t>
            </w:r>
          </w:p>
        </w:tc>
        <w:tc>
          <w:tcPr>
            <w:tcW w:type="dxa" w:w="864"/>
          </w:tcPr>
          <w:p>
            <w:pPr>
              <w:spacing w:line="240" w:lineRule="auto"/>
            </w:pPr>
            <w:r/>
            <w:r>
              <w:rPr>
                <w:b w:val="0"/>
                <w:i w:val="0"/>
                <w:sz w:val="16"/>
              </w:rPr>
              <w:t>17284</w:t>
            </w:r>
          </w:p>
        </w:tc>
        <w:tc>
          <w:tcPr>
            <w:tcW w:type="dxa" w:w="2160"/>
          </w:tcPr>
          <w:p>
            <w:pPr>
              <w:spacing w:line="240" w:lineRule="auto"/>
            </w:pPr>
            <w:r/>
            <w:r>
              <w:rPr>
                <w:b w:val="0"/>
                <w:i w:val="0"/>
                <w:sz w:val="16"/>
              </w:rPr>
              <w:t>Population-based cohort</w:t>
            </w:r>
          </w:p>
        </w:tc>
        <w:tc>
          <w:tcPr>
            <w:tcW w:type="dxa" w:w="2160"/>
          </w:tcPr>
          <w:p>
            <w:pPr>
              <w:spacing w:line="240" w:lineRule="auto"/>
            </w:pPr>
            <w:r/>
            <w:r>
              <w:rPr>
                <w:b w:val="0"/>
                <w:i w:val="0"/>
                <w:sz w:val="16"/>
              </w:rPr>
              <w:t>Modified PSST + registry diagnoses</w:t>
            </w:r>
          </w:p>
        </w:tc>
        <w:tc>
          <w:tcPr>
            <w:tcW w:type="dxa" w:w="2160"/>
          </w:tcPr>
          <w:p>
            <w:pPr>
              <w:spacing w:line="240" w:lineRule="auto"/>
            </w:pPr>
            <w:r/>
            <w:r>
              <w:rPr>
                <w:b w:val="0"/>
                <w:i w:val="0"/>
                <w:sz w:val="16"/>
              </w:rPr>
              <w:t>Quality of life</w:t>
            </w:r>
          </w:p>
        </w:tc>
      </w:tr>
      <w:tr>
        <w:tc>
          <w:tcPr>
            <w:tcW w:type="dxa" w:w="2016"/>
          </w:tcPr>
          <w:p>
            <w:pPr>
              <w:spacing w:line="240" w:lineRule="auto"/>
            </w:pPr>
            <w:r/>
            <w:r>
              <w:rPr>
                <w:b w:val="0"/>
                <w:i w:val="0"/>
                <w:sz w:val="16"/>
              </w:rPr>
              <w:t>Habib et al. (2025)</w:t>
            </w:r>
          </w:p>
        </w:tc>
        <w:tc>
          <w:tcPr>
            <w:tcW w:type="dxa" w:w="1440"/>
          </w:tcPr>
          <w:p>
            <w:pPr>
              <w:spacing w:line="240" w:lineRule="auto"/>
            </w:pPr>
            <w:r/>
            <w:r>
              <w:rPr>
                <w:b w:val="0"/>
                <w:i w:val="0"/>
                <w:sz w:val="16"/>
              </w:rPr>
              <w:t>Canada</w:t>
            </w:r>
          </w:p>
        </w:tc>
        <w:tc>
          <w:tcPr>
            <w:tcW w:type="dxa" w:w="2160"/>
          </w:tcPr>
          <w:p>
            <w:pPr>
              <w:spacing w:line="240" w:lineRule="auto"/>
            </w:pPr>
            <w:r/>
            <w:r>
              <w:rPr>
                <w:b w:val="0"/>
                <w:i w:val="0"/>
                <w:sz w:val="16"/>
              </w:rPr>
              <w:t>Qualitative (interviews)</w:t>
            </w:r>
          </w:p>
        </w:tc>
        <w:tc>
          <w:tcPr>
            <w:tcW w:type="dxa" w:w="864"/>
          </w:tcPr>
          <w:p>
            <w:pPr>
              <w:spacing w:line="240" w:lineRule="auto"/>
            </w:pPr>
            <w:r/>
            <w:r>
              <w:rPr>
                <w:b w:val="0"/>
                <w:i w:val="0"/>
                <w:sz w:val="16"/>
              </w:rPr>
              <w:t>10</w:t>
            </w:r>
          </w:p>
        </w:tc>
        <w:tc>
          <w:tcPr>
            <w:tcW w:type="dxa" w:w="2160"/>
          </w:tcPr>
          <w:p>
            <w:pPr>
              <w:spacing w:line="240" w:lineRule="auto"/>
            </w:pPr>
            <w:r/>
            <w:r>
              <w:rPr>
                <w:b w:val="0"/>
                <w:i w:val="0"/>
                <w:sz w:val="16"/>
              </w:rPr>
              <w:t>People living with PMDD</w:t>
            </w:r>
          </w:p>
        </w:tc>
        <w:tc>
          <w:tcPr>
            <w:tcW w:type="dxa" w:w="2160"/>
          </w:tcPr>
          <w:p>
            <w:pPr>
              <w:spacing w:line="240" w:lineRule="auto"/>
            </w:pPr>
            <w:r/>
            <w:r>
              <w:rPr>
                <w:b w:val="0"/>
                <w:i w:val="0"/>
                <w:sz w:val="16"/>
              </w:rPr>
              <w:t>Self-identified/diagnosed</w:t>
            </w:r>
          </w:p>
        </w:tc>
        <w:tc>
          <w:tcPr>
            <w:tcW w:type="dxa" w:w="2160"/>
          </w:tcPr>
          <w:p>
            <w:pPr>
              <w:spacing w:line="240" w:lineRule="auto"/>
            </w:pPr>
            <w:r/>
            <w:r>
              <w:rPr>
                <w:b w:val="0"/>
                <w:i w:val="0"/>
                <w:sz w:val="16"/>
              </w:rPr>
              <w:t>Lived experience/help-seeking; Suicidality/self-harm</w:t>
            </w:r>
          </w:p>
        </w:tc>
      </w:tr>
      <w:tr>
        <w:tc>
          <w:tcPr>
            <w:tcW w:type="dxa" w:w="2016"/>
          </w:tcPr>
          <w:p>
            <w:pPr>
              <w:spacing w:line="240" w:lineRule="auto"/>
            </w:pPr>
            <w:r/>
            <w:r>
              <w:rPr>
                <w:b w:val="0"/>
                <w:i w:val="0"/>
                <w:sz w:val="16"/>
              </w:rPr>
              <w:t>Chenji et al. (2025)</w:t>
            </w:r>
          </w:p>
        </w:tc>
        <w:tc>
          <w:tcPr>
            <w:tcW w:type="dxa" w:w="1440"/>
          </w:tcPr>
          <w:p>
            <w:pPr>
              <w:spacing w:line="240" w:lineRule="auto"/>
            </w:pPr>
            <w:r/>
            <w:r>
              <w:rPr>
                <w:b w:val="0"/>
                <w:i w:val="0"/>
                <w:sz w:val="16"/>
              </w:rPr>
              <w:t>Online (international)</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308</w:t>
            </w:r>
          </w:p>
        </w:tc>
        <w:tc>
          <w:tcPr>
            <w:tcW w:type="dxa" w:w="2160"/>
          </w:tcPr>
          <w:p>
            <w:pPr>
              <w:spacing w:line="240" w:lineRule="auto"/>
            </w:pPr>
            <w:r/>
            <w:r>
              <w:rPr>
                <w:b w:val="0"/>
                <w:i w:val="0"/>
                <w:sz w:val="16"/>
              </w:rPr>
              <w:t>PMDD patients (IAPMD followers)</w:t>
            </w:r>
          </w:p>
        </w:tc>
        <w:tc>
          <w:tcPr>
            <w:tcW w:type="dxa" w:w="2160"/>
          </w:tcPr>
          <w:p>
            <w:pPr>
              <w:spacing w:line="240" w:lineRule="auto"/>
            </w:pPr>
            <w:r/>
            <w:r>
              <w:rPr>
                <w:b w:val="0"/>
                <w:i w:val="0"/>
                <w:sz w:val="16"/>
              </w:rPr>
              <w:t>Self-reported diagnosis</w:t>
            </w:r>
          </w:p>
        </w:tc>
        <w:tc>
          <w:tcPr>
            <w:tcW w:type="dxa" w:w="2160"/>
          </w:tcPr>
          <w:p>
            <w:pPr>
              <w:spacing w:line="240" w:lineRule="auto"/>
            </w:pPr>
            <w:r/>
            <w:r>
              <w:rPr>
                <w:b w:val="0"/>
                <w:i w:val="0"/>
                <w:sz w:val="16"/>
              </w:rPr>
              <w:t>Lived experience/help-seeking; Suicidality/self-harm; Interpersonal</w:t>
            </w:r>
          </w:p>
        </w:tc>
      </w:tr>
      <w:tr>
        <w:tc>
          <w:tcPr>
            <w:tcW w:type="dxa" w:w="2016"/>
          </w:tcPr>
          <w:p>
            <w:pPr>
              <w:spacing w:line="240" w:lineRule="auto"/>
            </w:pPr>
            <w:r/>
            <w:r>
              <w:rPr>
                <w:b w:val="0"/>
                <w:i w:val="0"/>
                <w:sz w:val="16"/>
              </w:rPr>
              <w:t>Maeda et al. (2025)</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Cross-sectional (nationwide online survey)</w:t>
            </w:r>
          </w:p>
        </w:tc>
        <w:tc>
          <w:tcPr>
            <w:tcW w:type="dxa" w:w="864"/>
          </w:tcPr>
          <w:p>
            <w:pPr>
              <w:spacing w:line="240" w:lineRule="auto"/>
            </w:pPr>
            <w:r/>
            <w:r>
              <w:rPr>
                <w:b w:val="0"/>
                <w:i w:val="0"/>
                <w:sz w:val="16"/>
              </w:rPr>
              <w:t>4818</w:t>
            </w:r>
          </w:p>
        </w:tc>
        <w:tc>
          <w:tcPr>
            <w:tcW w:type="dxa" w:w="2160"/>
          </w:tcPr>
          <w:p>
            <w:pPr>
              <w:spacing w:line="240" w:lineRule="auto"/>
            </w:pPr>
            <w:r/>
            <w:r>
              <w:rPr>
                <w:b w:val="0"/>
                <w:i w:val="0"/>
                <w:sz w:val="16"/>
              </w:rPr>
              <w:t>General workforce</w:t>
            </w:r>
          </w:p>
        </w:tc>
        <w:tc>
          <w:tcPr>
            <w:tcW w:type="dxa" w:w="2160"/>
          </w:tcPr>
          <w:p>
            <w:pPr>
              <w:spacing w:line="240" w:lineRule="auto"/>
            </w:pPr>
            <w:r/>
            <w:r>
              <w:rPr>
                <w:b w:val="0"/>
                <w:i w:val="0"/>
                <w:sz w:val="16"/>
              </w:rPr>
              <w:t>Self-report screening</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Bardan-Inchaustegui et al. (2025)</w:t>
            </w:r>
          </w:p>
        </w:tc>
        <w:tc>
          <w:tcPr>
            <w:tcW w:type="dxa" w:w="1440"/>
          </w:tcPr>
          <w:p>
            <w:pPr>
              <w:spacing w:line="240" w:lineRule="auto"/>
            </w:pPr>
            <w:r/>
            <w:r>
              <w:rPr>
                <w:b w:val="0"/>
                <w:i w:val="0"/>
                <w:sz w:val="16"/>
              </w:rPr>
              <w:t>Mexico</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134</w:t>
            </w:r>
          </w:p>
        </w:tc>
        <w:tc>
          <w:tcPr>
            <w:tcW w:type="dxa" w:w="2160"/>
          </w:tcPr>
          <w:p>
            <w:pPr>
              <w:spacing w:line="240" w:lineRule="auto"/>
            </w:pPr>
            <w:r/>
            <w:r>
              <w:rPr>
                <w:b w:val="0"/>
                <w:i w:val="0"/>
                <w:sz w:val="16"/>
              </w:rPr>
              <w:t>Women with rheumatoid arthritis and controls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Academic/occupational functioning</w:t>
            </w:r>
          </w:p>
        </w:tc>
      </w:tr>
      <w:tr>
        <w:tc>
          <w:tcPr>
            <w:tcW w:type="dxa" w:w="2016"/>
          </w:tcPr>
          <w:p>
            <w:pPr>
              <w:spacing w:line="240" w:lineRule="auto"/>
            </w:pPr>
            <w:r/>
            <w:r>
              <w:rPr>
                <w:b w:val="0"/>
                <w:i w:val="0"/>
                <w:sz w:val="16"/>
              </w:rPr>
              <w:t>Liao et al. (2025)</w:t>
            </w:r>
          </w:p>
        </w:tc>
        <w:tc>
          <w:tcPr>
            <w:tcW w:type="dxa" w:w="1440"/>
          </w:tcPr>
          <w:p>
            <w:pPr>
              <w:spacing w:line="240" w:lineRule="auto"/>
            </w:pPr>
            <w:r/>
            <w:r>
              <w:rPr>
                <w:b w:val="0"/>
                <w:i w:val="0"/>
                <w:sz w:val="16"/>
              </w:rPr>
              <w:t>China</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10042</w:t>
            </w:r>
          </w:p>
        </w:tc>
        <w:tc>
          <w:tcPr>
            <w:tcW w:type="dxa" w:w="2160"/>
          </w:tcPr>
          <w:p>
            <w:pPr>
              <w:spacing w:line="240" w:lineRule="auto"/>
            </w:pPr>
            <w:r/>
            <w:r>
              <w:rPr>
                <w:b w:val="0"/>
                <w:i w:val="0"/>
                <w:sz w:val="16"/>
              </w:rPr>
              <w:t>School adolescents</w:t>
            </w:r>
          </w:p>
        </w:tc>
        <w:tc>
          <w:tcPr>
            <w:tcW w:type="dxa" w:w="2160"/>
          </w:tcPr>
          <w:p>
            <w:pPr>
              <w:spacing w:line="240" w:lineRule="auto"/>
            </w:pPr>
            <w:r/>
            <w:r>
              <w:rPr>
                <w:b w:val="0"/>
                <w:i w:val="0"/>
                <w:sz w:val="16"/>
              </w:rPr>
              <w:t>Modified C-PEX questionnaire (screening)</w:t>
            </w:r>
          </w:p>
        </w:tc>
        <w:tc>
          <w:tcPr>
            <w:tcW w:type="dxa" w:w="2160"/>
          </w:tcPr>
          <w:p>
            <w:pPr>
              <w:spacing w:line="240" w:lineRule="auto"/>
            </w:pPr>
            <w:r/>
            <w:r>
              <w:rPr>
                <w:b w:val="0"/>
                <w:i w:val="0"/>
                <w:sz w:val="16"/>
              </w:rPr>
              <w:t>Trauma/adversity; Psychiatric comorbidity</w:t>
            </w:r>
          </w:p>
        </w:tc>
      </w:tr>
      <w:tr>
        <w:tc>
          <w:tcPr>
            <w:tcW w:type="dxa" w:w="2016"/>
          </w:tcPr>
          <w:p>
            <w:pPr>
              <w:spacing w:line="240" w:lineRule="auto"/>
            </w:pPr>
            <w:r/>
            <w:r>
              <w:rPr>
                <w:b w:val="0"/>
                <w:i w:val="0"/>
                <w:sz w:val="16"/>
              </w:rPr>
              <w:t>Roy et al. (2025)</w:t>
            </w:r>
          </w:p>
        </w:tc>
        <w:tc>
          <w:tcPr>
            <w:tcW w:type="dxa" w:w="1440"/>
          </w:tcPr>
          <w:p>
            <w:pPr>
              <w:spacing w:line="240" w:lineRule="auto"/>
            </w:pPr>
            <w:r/>
            <w:r>
              <w:rPr>
                <w:b w:val="0"/>
                <w:i w:val="0"/>
                <w:sz w:val="16"/>
              </w:rPr>
              <w:t>Bangladesh</w:t>
            </w:r>
          </w:p>
        </w:tc>
        <w:tc>
          <w:tcPr>
            <w:tcW w:type="dxa" w:w="2160"/>
          </w:tcPr>
          <w:p>
            <w:pPr>
              <w:spacing w:line="240" w:lineRule="auto"/>
            </w:pPr>
            <w:r/>
            <w:r>
              <w:rPr>
                <w:b w:val="0"/>
                <w:i w:val="0"/>
                <w:sz w:val="16"/>
              </w:rPr>
              <w:t>Cross-sectional</w:t>
            </w:r>
          </w:p>
        </w:tc>
        <w:tc>
          <w:tcPr>
            <w:tcW w:type="dxa" w:w="864"/>
          </w:tcPr>
          <w:p>
            <w:pPr>
              <w:spacing w:line="240" w:lineRule="auto"/>
            </w:pPr>
            <w:r/>
            <w:r>
              <w:rPr>
                <w:b w:val="0"/>
                <w:i w:val="0"/>
                <w:sz w:val="16"/>
              </w:rPr>
              <w:t>516</w:t>
            </w:r>
          </w:p>
        </w:tc>
        <w:tc>
          <w:tcPr>
            <w:tcW w:type="dxa" w:w="2160"/>
          </w:tcPr>
          <w:p>
            <w:pPr>
              <w:spacing w:line="240" w:lineRule="auto"/>
            </w:pPr>
            <w:r/>
            <w:r>
              <w:rPr>
                <w:b w:val="0"/>
                <w:i w:val="0"/>
                <w:sz w:val="16"/>
              </w:rPr>
              <w:t>University students</w:t>
            </w:r>
          </w:p>
        </w:tc>
        <w:tc>
          <w:tcPr>
            <w:tcW w:type="dxa" w:w="2160"/>
          </w:tcPr>
          <w:p>
            <w:pPr>
              <w:spacing w:line="240" w:lineRule="auto"/>
            </w:pPr>
            <w:r/>
            <w:r>
              <w:rPr>
                <w:b w:val="0"/>
                <w:i w:val="0"/>
                <w:sz w:val="16"/>
              </w:rPr>
              <w:t>Screening tool (PSST)</w:t>
            </w:r>
          </w:p>
        </w:tc>
        <w:tc>
          <w:tcPr>
            <w:tcW w:type="dxa" w:w="2160"/>
          </w:tcPr>
          <w:p>
            <w:pPr>
              <w:spacing w:line="240" w:lineRule="auto"/>
            </w:pPr>
            <w:r/>
            <w:r>
              <w:rPr>
                <w:b w:val="0"/>
                <w:i w:val="0"/>
                <w:sz w:val="16"/>
              </w:rPr>
              <w:t>Suicidality/self-harm; Depression; Anxiety; Distress/stress</w:t>
            </w:r>
          </w:p>
        </w:tc>
      </w:tr>
      <w:tr>
        <w:tc>
          <w:tcPr>
            <w:tcW w:type="dxa" w:w="2016"/>
          </w:tcPr>
          <w:p>
            <w:pPr>
              <w:spacing w:line="240" w:lineRule="auto"/>
            </w:pPr>
            <w:r/>
            <w:r>
              <w:rPr>
                <w:b w:val="0"/>
                <w:i w:val="0"/>
                <w:sz w:val="16"/>
              </w:rPr>
              <w:t>Kanamori et al. (2025)</w:t>
            </w:r>
          </w:p>
        </w:tc>
        <w:tc>
          <w:tcPr>
            <w:tcW w:type="dxa" w:w="1440"/>
          </w:tcPr>
          <w:p>
            <w:pPr>
              <w:spacing w:line="240" w:lineRule="auto"/>
            </w:pPr>
            <w:r/>
            <w:r>
              <w:rPr>
                <w:b w:val="0"/>
                <w:i w:val="0"/>
                <w:sz w:val="16"/>
              </w:rPr>
              <w:t>Japan</w:t>
            </w:r>
          </w:p>
        </w:tc>
        <w:tc>
          <w:tcPr>
            <w:tcW w:type="dxa" w:w="2160"/>
          </w:tcPr>
          <w:p>
            <w:pPr>
              <w:spacing w:line="240" w:lineRule="auto"/>
            </w:pPr>
            <w:r/>
            <w:r>
              <w:rPr>
                <w:b w:val="0"/>
                <w:i w:val="0"/>
                <w:sz w:val="16"/>
              </w:rPr>
              <w:t>Cross-sectional (online survey)</w:t>
            </w:r>
          </w:p>
        </w:tc>
        <w:tc>
          <w:tcPr>
            <w:tcW w:type="dxa" w:w="864"/>
          </w:tcPr>
          <w:p>
            <w:pPr>
              <w:spacing w:line="240" w:lineRule="auto"/>
            </w:pPr>
            <w:r/>
            <w:r>
              <w:rPr>
                <w:b w:val="0"/>
                <w:i w:val="0"/>
                <w:sz w:val="16"/>
              </w:rPr>
              <w:t>2000</w:t>
            </w:r>
          </w:p>
        </w:tc>
        <w:tc>
          <w:tcPr>
            <w:tcW w:type="dxa" w:w="2160"/>
          </w:tcPr>
          <w:p>
            <w:pPr>
              <w:spacing w:line="240" w:lineRule="auto"/>
            </w:pPr>
            <w:r/>
            <w:r>
              <w:rPr>
                <w:b w:val="0"/>
                <w:i w:val="0"/>
                <w:sz w:val="16"/>
              </w:rPr>
              <w:t>Full-time working women</w:t>
            </w:r>
          </w:p>
        </w:tc>
        <w:tc>
          <w:tcPr>
            <w:tcW w:type="dxa" w:w="2160"/>
          </w:tcPr>
          <w:p>
            <w:pPr>
              <w:spacing w:line="240" w:lineRule="auto"/>
            </w:pPr>
            <w:r/>
            <w:r>
              <w:rPr>
                <w:b w:val="0"/>
                <w:i w:val="0"/>
                <w:sz w:val="16"/>
              </w:rPr>
              <w:t>PMDD scale</w:t>
            </w:r>
          </w:p>
        </w:tc>
        <w:tc>
          <w:tcPr>
            <w:tcW w:type="dxa" w:w="2160"/>
          </w:tcPr>
          <w:p>
            <w:pPr>
              <w:spacing w:line="240" w:lineRule="auto"/>
            </w:pPr>
            <w:r/>
            <w:r>
              <w:rPr>
                <w:b w:val="0"/>
                <w:i w:val="0"/>
                <w:sz w:val="16"/>
              </w:rPr>
              <w:t>Trauma/adversity</w:t>
            </w:r>
          </w:p>
        </w:tc>
      </w:tr>
    </w:tbl>
    <w:p>
      <w:r>
        <w:rPr>
          <w:b w:val="0"/>
          <w:i w:val="0"/>
          <w:sz w:val="20"/>
        </w:rPr>
        <w:t>Note. NR = not reported in the abstract. Country was taken from the abstract or study setting. Full screening decisions for all 1,801 records are in the Supplementary File (Excel).</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