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Burnout and Wearable-Derived Sleep and Recovery Among Women in Work and Study</w:t>
      </w:r>
    </w:p>
    <w:p>
      <w:pPr/>
      <w:r>
        <w:t xml:space="preserve">Oct 2, 2026</w:t>
      </w:r>
      <w:r>
        <w:t xml:space="preserve"> · </w:t>
      </w:r>
      <w:r>
        <w:t xml:space="preserve">@Nimi</w:t>
      </w:r>
    </w:p>
    <w:p>
      <w:pPr>
        <w:pStyle w:val="Heading2"/>
      </w:pPr>
      <w:r>
        <w:t xml:space="preserve">Background and gap</w:t>
      </w:r>
    </w:p>
    <w:p>
      <w:pPr/>
      <w:r>
        <w:t xml:space="preserve">Burnout and poor sleep predict each other over time, and burnout, especially exhaustion, is linked to lower heart rate variability (HRV). Women report more exhaustion than men. But the evidence rests on self-reported sleep, short lab heart recordings and healthcare workers, and it ignores the menstrual cycle, which shifts HRV by a similar amount. Consumer wearables now record nightly sleep, HRV and resting heart rate for millions of women. No study has used this data to test burnout in women, compare students with working women, or ask whether burnout reduces recovery during breaks.</w:t>
      </w:r>
    </w:p>
    <w:p>
      <w:pPr>
        <w:pStyle w:val="Heading2"/>
      </w:pPr>
      <w:r>
        <w:t xml:space="preserve">Aims and hypotheses</w:t>
      </w:r>
    </w:p>
    <w:p>
      <w:pPr>
        <w:pStyle w:val="ListParagraph"/>
        <w:numPr>
          <w:ilvl w:val="0"/>
          <w:numId w:val="2"/>
        </w:numPr>
      </w:pPr>
      <w:r>
        <w:rPr>
          <w:b/>
        </w:rPr>
        <w:t xml:space="preserve">Aim 1:</w:t>
      </w:r>
      <w:r>
        <w:t xml:space="preserve"> test whether burnout is linked to sleep and physiological recovery in women.</w:t>
      </w:r>
    </w:p>
    <w:p>
      <w:pPr>
        <w:pStyle w:val="ListParagraph"/>
        <w:numPr>
          <w:ilvl w:val="1"/>
          <w:numId w:val="3"/>
        </w:numPr>
      </w:pPr>
      <w:r>
        <w:t xml:space="preserve">H1: Higher exhaustion is linked to lower overnight RMSSD, higher resting heart rate, and shorter, more irregular sleep.</w:t>
      </w:r>
    </w:p>
    <w:p>
      <w:pPr>
        <w:pStyle w:val="ListParagraph"/>
        <w:numPr>
          <w:ilvl w:val="0"/>
          <w:numId w:val="2"/>
        </w:numPr>
      </w:pPr>
      <w:r>
        <w:rPr>
          <w:b/>
        </w:rPr>
        <w:t xml:space="preserve">Aim 2:</w:t>
      </w:r>
      <w:r>
        <w:t xml:space="preserve"> compare these links between students and working women.</w:t>
      </w:r>
    </w:p>
    <w:p>
      <w:pPr>
        <w:pStyle w:val="ListParagraph"/>
        <w:numPr>
          <w:ilvl w:val="1"/>
          <w:numId w:val="4"/>
        </w:numPr>
      </w:pPr>
      <w:r>
        <w:t xml:space="preserve">H2: The links differ between the two groups (no direction predicted; exploratory).</w:t>
      </w:r>
    </w:p>
    <w:p>
      <w:pPr>
        <w:pStyle w:val="ListParagraph"/>
        <w:numPr>
          <w:ilvl w:val="0"/>
          <w:numId w:val="2"/>
        </w:numPr>
      </w:pPr>
      <w:r>
        <w:rPr>
          <w:b/>
        </w:rPr>
        <w:t xml:space="preserve">Aim 3:</w:t>
      </w:r>
      <w:r>
        <w:t xml:space="preserve"> test whether burnout reduces recovery during breaks.</w:t>
      </w:r>
    </w:p>
    <w:p>
      <w:pPr>
        <w:pStyle w:val="ListParagraph"/>
        <w:numPr>
          <w:ilvl w:val="1"/>
          <w:numId w:val="5"/>
        </w:numPr>
      </w:pPr>
      <w:r>
        <w:t xml:space="preserve">H3: Women with higher burnout show a smaller rise in HRV and sleep during breaks than during term time or workweeks.</w:t>
      </w:r>
    </w:p>
    <w:p>
      <w:pPr>
        <w:pStyle w:val="Heading2"/>
      </w:pPr>
      <w:r>
        <w:t xml:space="preserve">Design, participants and measures</w:t>
      </w:r>
    </w:p>
    <w:p>
      <w:pPr/>
      <w:r>
        <w:rPr>
          <w:b/>
        </w:rPr>
        <w:t xml:space="preserve">Design:</w:t>
      </w:r>
      <w:r>
        <w:t xml:space="preserve"> observational study combining one online survey with participants' existing wearable data for the past 90 days, chosen to include at least one break (semester break, holiday or leave).</w:t>
      </w:r>
    </w:p>
    <w:p>
      <w:pPr/>
      <w:r>
        <w:rPr>
          <w:b/>
        </w:rPr>
        <w:t xml:space="preserve">Participants:</w:t>
      </w:r>
      <w:r>
        <w:t xml:space="preserve"> about 200 women aged 18 and over (target 100 students, 100 working women) who have worn a consumer wearable at least 5 nights a week for 3 months. Recruited through university mailing lists, student groups, social media and workplaces. Exclusions: pregnancy, current night-shift work, and conditions or medications that strongly affect heart rate (e.g., beta-blockers).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w:t>
            </w:r>
          </w:p>
        </w:tc>
        <w:tc>
          <w:tcPr>
            <w:tcW w:w="3120" w:type="dxa"/>
            <w:shd w:val="clear" w:color="auto" w:fill="F2F2F2"/>
          </w:tcPr>
          <w:p>
            <w:pPr/>
            <w:r>
              <w:t xml:space="preserve">Tool</w:t>
            </w:r>
          </w:p>
        </w:tc>
        <w:tc>
          <w:tcPr>
            <w:tcW w:w="3120" w:type="dxa"/>
            <w:shd w:val="clear" w:color="auto" w:fill="F2F2F2"/>
          </w:tcPr>
          <w:p>
            <w:pPr/>
            <w:r>
              <w:t xml:space="preserve">Role</w:t>
            </w:r>
          </w:p>
        </w:tc>
      </w:tr>
      <w:tr>
        <w:tc>
          <w:tcPr>
            <w:tcW w:w="3120" w:type="dxa"/>
          </w:tcPr>
          <w:p>
            <w:pPr/>
            <w:r>
              <w:t xml:space="preserve">Burnout</w:t>
            </w:r>
          </w:p>
        </w:tc>
        <w:tc>
          <w:tcPr>
            <w:tcW w:w="3120" w:type="dxa"/>
          </w:tcPr>
          <w:p>
            <w:pPr/>
            <w:r>
              <w:t xml:space="preserve">Copenhagen Burnout Inventory, personal burnout scale (same items for students and workers)</w:t>
            </w:r>
          </w:p>
        </w:tc>
        <w:tc>
          <w:tcPr>
            <w:tcW w:w="3120" w:type="dxa"/>
          </w:tcPr>
          <w:p>
            <w:pPr/>
            <w:r>
              <w:t xml:space="preserve">Main exposure</w:t>
            </w:r>
          </w:p>
        </w:tc>
      </w:tr>
      <w:tr>
        <w:tc>
          <w:tcPr>
            <w:tcW w:w="3120" w:type="dxa"/>
          </w:tcPr>
          <w:p>
            <w:pPr/>
            <w:r>
              <w:t xml:space="preserve">Work- or study-related burnout</w:t>
            </w:r>
          </w:p>
        </w:tc>
        <w:tc>
          <w:tcPr>
            <w:tcW w:w="3120" w:type="dxa"/>
          </w:tcPr>
          <w:p>
            <w:pPr/>
            <w:r>
              <w:t xml:space="preserve">Copenhagen Burnout Inventory, work or student version</w:t>
            </w:r>
          </w:p>
        </w:tc>
        <w:tc>
          <w:tcPr>
            <w:tcW w:w="3120" w:type="dxa"/>
          </w:tcPr>
          <w:p>
            <w:pPr/>
            <w:r>
              <w:t xml:space="preserve">Second exposure</w:t>
            </w:r>
          </w:p>
        </w:tc>
      </w:tr>
      <w:tr>
        <w:tc>
          <w:tcPr>
            <w:tcW w:w="3120" w:type="dxa"/>
          </w:tcPr>
          <w:p>
            <w:pPr/>
            <w:r>
              <w:t xml:space="preserve">Overnight HRV</w:t>
            </w:r>
          </w:p>
        </w:tc>
        <w:tc>
          <w:tcPr>
            <w:tcW w:w="3120" w:type="dxa"/>
          </w:tcPr>
          <w:p>
            <w:pPr/>
            <w:r>
              <w:t xml:space="preserve">Nightly RMSSD from the device</w:t>
            </w:r>
          </w:p>
        </w:tc>
        <w:tc>
          <w:tcPr>
            <w:tcW w:w="3120" w:type="dxa"/>
          </w:tcPr>
          <w:p>
            <w:pPr/>
            <w:r>
              <w:t xml:space="preserve">Outcome</w:t>
            </w:r>
          </w:p>
        </w:tc>
      </w:tr>
      <w:tr>
        <w:tc>
          <w:tcPr>
            <w:tcW w:w="3120" w:type="dxa"/>
          </w:tcPr>
          <w:p>
            <w:pPr/>
            <w:r>
              <w:t xml:space="preserve">Resting heart rate</w:t>
            </w:r>
          </w:p>
        </w:tc>
        <w:tc>
          <w:tcPr>
            <w:tcW w:w="3120" w:type="dxa"/>
          </w:tcPr>
          <w:p>
            <w:pPr/>
            <w:r>
              <w:t xml:space="preserve">Nightly lowest or resting heart rate</w:t>
            </w:r>
          </w:p>
        </w:tc>
        <w:tc>
          <w:tcPr>
            <w:tcW w:w="3120" w:type="dxa"/>
          </w:tcPr>
          <w:p>
            <w:pPr/>
            <w:r>
              <w:t xml:space="preserve">Outcome</w:t>
            </w:r>
          </w:p>
        </w:tc>
      </w:tr>
      <w:tr>
        <w:tc>
          <w:tcPr>
            <w:tcW w:w="3120" w:type="dxa"/>
          </w:tcPr>
          <w:p>
            <w:pPr/>
            <w:r>
              <w:t xml:space="preserve">Sleep</w:t>
            </w:r>
          </w:p>
        </w:tc>
        <w:tc>
          <w:tcPr>
            <w:tcW w:w="3120" w:type="dxa"/>
          </w:tcPr>
          <w:p>
            <w:pPr/>
            <w:r>
              <w:t xml:space="preserve">Duration, efficiency, regularity (Sleep Regularity Index)</w:t>
            </w:r>
          </w:p>
        </w:tc>
        <w:tc>
          <w:tcPr>
            <w:tcW w:w="3120" w:type="dxa"/>
          </w:tcPr>
          <w:p>
            <w:pPr/>
            <w:r>
              <w:t xml:space="preserve">Outcomes</w:t>
            </w:r>
          </w:p>
        </w:tc>
      </w:tr>
      <w:tr>
        <w:tc>
          <w:tcPr>
            <w:tcW w:w="3120" w:type="dxa"/>
          </w:tcPr>
          <w:p>
            <w:pPr/>
            <w:r>
              <w:t xml:space="preserve">Depression</w:t>
            </w:r>
          </w:p>
        </w:tc>
        <w:tc>
          <w:tcPr>
            <w:tcW w:w="3120" w:type="dxa"/>
          </w:tcPr>
          <w:p>
            <w:pPr/>
            <w:r>
              <w:t xml:space="preserve">PHQ-9</w:t>
            </w:r>
          </w:p>
        </w:tc>
        <w:tc>
          <w:tcPr>
            <w:tcW w:w="3120" w:type="dxa"/>
          </w:tcPr>
          <w:p>
            <w:pPr/>
            <w:r>
              <w:t xml:space="preserve">Covariate</w:t>
            </w:r>
          </w:p>
        </w:tc>
      </w:tr>
      <w:tr>
        <w:tc>
          <w:tcPr>
            <w:tcW w:w="3120" w:type="dxa"/>
          </w:tcPr>
          <w:p>
            <w:pPr/>
            <w:r>
              <w:t xml:space="preserve">Hormonal status</w:t>
            </w:r>
          </w:p>
        </w:tc>
        <w:tc>
          <w:tcPr>
            <w:tcW w:w="3120" w:type="dxa"/>
          </w:tcPr>
          <w:p>
            <w:pPr/>
            <w:r>
              <w:t xml:space="preserve">Cycle start dates, cycle length, contraception type</w:t>
            </w:r>
          </w:p>
        </w:tc>
        <w:tc>
          <w:tcPr>
            <w:tcW w:w="3120" w:type="dxa"/>
          </w:tcPr>
          <w:p>
            <w:pPr/>
            <w:r>
              <w:t xml:space="preserve">Covariate</w:t>
            </w:r>
          </w:p>
        </w:tc>
      </w:tr>
      <w:tr>
        <w:tc>
          <w:tcPr>
            <w:tcW w:w="3120" w:type="dxa"/>
          </w:tcPr>
          <w:p>
            <w:pPr/>
            <w:r>
              <w:t xml:space="preserve">Recovery during time off</w:t>
            </w:r>
          </w:p>
        </w:tc>
        <w:tc>
          <w:tcPr>
            <w:tcW w:w="3120" w:type="dxa"/>
          </w:tcPr>
          <w:p>
            <w:pPr/>
            <w:r>
              <w:t xml:space="preserve">Recovery Experience Questionnaire</w:t>
            </w:r>
          </w:p>
        </w:tc>
        <w:tc>
          <w:tcPr>
            <w:tcW w:w="3120" w:type="dxa"/>
          </w:tcPr>
          <w:p>
            <w:pPr/>
            <w:r>
              <w:t xml:space="preserve">Explains H3</w:t>
            </w:r>
          </w:p>
        </w:tc>
      </w:tr>
      <w:tr>
        <w:tc>
          <w:tcPr>
            <w:tcW w:w="3120" w:type="dxa"/>
          </w:tcPr>
          <w:p>
            <w:pPr/>
            <w:r>
              <w:t xml:space="preserve">Other</w:t>
            </w:r>
          </w:p>
        </w:tc>
        <w:tc>
          <w:tcPr>
            <w:tcW w:w="3120" w:type="dxa"/>
          </w:tcPr>
          <w:p>
            <w:pPr/>
            <w:r>
              <w:t xml:space="preserve">Age, BMI, alcohol, caffeine, daily steps, shift work or night study, break dates</w:t>
            </w:r>
          </w:p>
        </w:tc>
        <w:tc>
          <w:tcPr>
            <w:tcW w:w="3120" w:type="dxa"/>
          </w:tcPr>
          <w:p>
            <w:pPr/>
            <w:r>
              <w:t xml:space="preserve">Covariates</w:t>
            </w:r>
          </w:p>
        </w:tc>
      </w:tr>
    </w:tbl>
    <w:p>
      <w:pPr/>
      <w:r>
        <w:rPr>
          <w:b/>
        </w:rPr>
        <w:t xml:space="preserve">Device data:</w:t>
      </w:r>
      <w:r>
        <w:t xml:space="preserve"> participants export their own data (Apple Health, Fitbit, Oura, WHOOP or Garmin). Apple Watch reports SDNN rather than RMSSD, so its HRV is analysed separately, and every woman's values are also expressed as change from her own baseline.</w:t>
      </w:r>
    </w:p>
    <w:p>
      <w:pPr>
        <w:pStyle w:val="Heading2"/>
      </w:pPr>
      <w:r>
        <w:t xml:space="preserve">Analysis, sample size, feasibility and ethics</w:t>
      </w:r>
    </w:p>
    <w:p>
      <w:pPr/>
      <w:r>
        <w:rPr>
          <w:b/>
        </w:rPr>
        <w:t xml:space="preserve">Analysis</w:t>
      </w:r>
    </w:p>
    <w:p>
      <w:pPr>
        <w:pStyle w:val="ListParagraph"/>
        <w:numPr>
          <w:ilvl w:val="0"/>
          <w:numId w:val="6"/>
        </w:numPr>
      </w:pPr>
      <w:r>
        <w:rPr>
          <w:b/>
        </w:rPr>
        <w:t xml:space="preserve">H1:</w:t>
      </w:r>
      <w:r>
        <w:t xml:space="preserve"> regression of each woman's 30-day average RMSSD, resting heart rate and sleep on exhaustion, adjusted for age, BMI, depression, contraception and cycle phase.</w:t>
      </w:r>
    </w:p>
    <w:p>
      <w:pPr>
        <w:pStyle w:val="ListParagraph"/>
        <w:numPr>
          <w:ilvl w:val="0"/>
          <w:numId w:val="6"/>
        </w:numPr>
      </w:pPr>
      <w:r>
        <w:rPr>
          <w:b/>
        </w:rPr>
        <w:t xml:space="preserve">H2:</w:t>
      </w:r>
      <w:r>
        <w:t xml:space="preserve"> add a burnout × group (student or worker) interaction.</w:t>
      </w:r>
    </w:p>
    <w:p>
      <w:pPr>
        <w:pStyle w:val="ListParagraph"/>
        <w:numPr>
          <w:ilvl w:val="0"/>
          <w:numId w:val="6"/>
        </w:numPr>
      </w:pPr>
      <w:r>
        <w:rPr>
          <w:b/>
        </w:rPr>
        <w:t xml:space="preserve">H3:</w:t>
      </w:r>
      <w:r>
        <w:t xml:space="preserve"> multilevel model of nightly data with period (term or workweek vs break) × burnout; the rebound is the change in HRV and sleep from busy periods to breaks.</w:t>
      </w:r>
    </w:p>
    <w:p>
      <w:pPr/>
      <w:r>
        <w:rPr>
          <w:b/>
        </w:rPr>
        <w:t xml:space="preserve">Sample size:</w:t>
      </w:r>
      <w:r>
        <w:t xml:space="preserve"> 194 women give 80% power to detect a correlation of r = 0.20 (α = .05), the size expected from earlier studies. With about 100 per group, H2 can only detect large group differences, so it is treated as exploratory. H3 gains power from the many nights per woman.</w:t>
      </w:r>
    </w:p>
    <w:p>
      <w:pPr/>
      <w:r>
        <w:rPr>
          <w:b/>
        </w:rPr>
        <w:t xml:space="preserve">Feasibility:</w:t>
      </w:r>
      <w:r>
        <w:t xml:space="preserve"> students can be recruited quickly on campus, and no devices need to be bought. Participants spend about 20 minutes on the survey and data export. Main risk: participants' devices differ, handled by within-person analysis and separate analysis of Apple Watch data.</w:t>
      </w:r>
    </w:p>
    <w:p>
      <w:pPr/>
      <w:r>
        <w:rPr>
          <w:b/>
        </w:rPr>
        <w:t xml:space="preserve">Ethics:</w:t>
      </w:r>
      <w:r>
        <w:t xml:space="preserve"> wearable data is sensitive health data. Participants give informed consent, data is de-identified on receipt and stored securely, and anyone with high PHQ-9 scores receives mental health resources.</w:t>
      </w:r>
    </w:p>
    <w:p>
      <w:pPr>
        <w:pStyle w:val="Heading2"/>
      </w:pPr>
      <w:r>
        <w:t xml:space="preserve">Key references</w:t>
      </w:r>
    </w:p>
    <w:p>
      <w:pPr>
        <w:pStyle w:val="ListParagraph"/>
        <w:numPr>
          <w:ilvl w:val="0"/>
          <w:numId w:val="7"/>
        </w:numPr>
      </w:pPr>
      <w:r>
        <w:t xml:space="preserve">Armon, G., et al. (2008). </w:t>
      </w:r>
      <w:hyperlink r:id="rId3" w:history="1">
        <w:r>
          <w:rPr>
            <w:rStyle w:val="Hyperlink"/>
          </w:rPr>
          <w:t xml:space="preserve">On the nature of burnout–insomnia relationships</w:t>
        </w:r>
      </w:hyperlink>
      <w:r>
        <w:t xml:space="preserve">. </w:t>
      </w:r>
      <w:r>
        <w:rPr>
          <w:i/>
        </w:rPr>
        <w:t xml:space="preserve">Journal of Psychosomatic Research</w:t>
      </w:r>
      <w:r>
        <w:t xml:space="preserve">, 65(1), 5–12.</w:t>
      </w:r>
    </w:p>
    <w:p>
      <w:pPr>
        <w:pStyle w:val="ListParagraph"/>
        <w:numPr>
          <w:ilvl w:val="0"/>
          <w:numId w:val="7"/>
        </w:numPr>
      </w:pPr>
      <w:r>
        <w:t xml:space="preserve">Böckelmann, I., et al. (2026). </w:t>
      </w:r>
      <w:hyperlink r:id="rId4" w:history="1">
        <w:r>
          <w:rPr>
            <w:rStyle w:val="Hyperlink"/>
          </w:rPr>
          <w:t xml:space="preserve">Heart rate variability and burnout risk among healthy employees</w:t>
        </w:r>
      </w:hyperlink>
      <w:r>
        <w:t xml:space="preserve">. </w:t>
      </w:r>
      <w:r>
        <w:rPr>
          <w:i/>
        </w:rPr>
        <w:t xml:space="preserve">Frontiers in Physiology</w:t>
      </w:r>
      <w:r>
        <w:t xml:space="preserve">, 17.</w:t>
      </w:r>
    </w:p>
    <w:p>
      <w:pPr>
        <w:pStyle w:val="ListParagraph"/>
        <w:numPr>
          <w:ilvl w:val="0"/>
          <w:numId w:val="7"/>
        </w:numPr>
      </w:pPr>
      <w:r>
        <w:t xml:space="preserve">de Bloom, J., et al. (2009). </w:t>
      </w:r>
      <w:hyperlink r:id="rId5" w:history="1">
        <w:r>
          <w:rPr>
            <w:rStyle w:val="Hyperlink"/>
          </w:rPr>
          <w:t xml:space="preserve">Do we recover from vacation?</w:t>
        </w:r>
      </w:hyperlink>
      <w:r>
        <w:t xml:space="preserve"> </w:t>
      </w:r>
      <w:r>
        <w:rPr>
          <w:i/>
        </w:rPr>
        <w:t xml:space="preserve">Journal of Occupational Health</w:t>
      </w:r>
      <w:r>
        <w:t xml:space="preserve">, 51(1), 13–25.</w:t>
      </w:r>
    </w:p>
    <w:p>
      <w:pPr>
        <w:pStyle w:val="ListParagraph"/>
        <w:numPr>
          <w:ilvl w:val="0"/>
          <w:numId w:val="7"/>
        </w:numPr>
      </w:pPr>
      <w:r>
        <w:t xml:space="preserve">de Jager, E., et al. (2026). </w:t>
      </w:r>
      <w:hyperlink r:id="rId6" w:history="1">
        <w:r>
          <w:rPr>
            <w:rStyle w:val="Hyperlink"/>
          </w:rPr>
          <w:t xml:space="preserve">Wearable-derived heart rate variability across the menstrual cycle and hormonal contraceptive use</w:t>
        </w:r>
      </w:hyperlink>
      <w:r>
        <w:t xml:space="preserve">. </w:t>
      </w:r>
      <w:r>
        <w:rPr>
          <w:i/>
        </w:rPr>
        <w:t xml:space="preserve">Sports Medicine</w:t>
      </w:r>
      <w:r>
        <w:t xml:space="preserve">, 56(5), 1153–1173.</w:t>
      </w:r>
    </w:p>
    <w:p>
      <w:pPr>
        <w:pStyle w:val="ListParagraph"/>
        <w:numPr>
          <w:ilvl w:val="0"/>
          <w:numId w:val="7"/>
        </w:numPr>
      </w:pPr>
      <w:r>
        <w:t xml:space="preserve">Dial, M. B., et al. (2025). </w:t>
      </w:r>
      <w:hyperlink r:id="rId7" w:history="1">
        <w:r>
          <w:rPr>
            <w:rStyle w:val="Hyperlink"/>
          </w:rPr>
          <w:t xml:space="preserve">Validation of nocturnal resting heart rate and heart rate variability in consumer wearables</w:t>
        </w:r>
      </w:hyperlink>
      <w:r>
        <w:t xml:space="preserve">. </w:t>
      </w:r>
      <w:r>
        <w:rPr>
          <w:i/>
        </w:rPr>
        <w:t xml:space="preserve">Physiological Reports</w:t>
      </w:r>
      <w:r>
        <w:t xml:space="preserve">.</w:t>
      </w:r>
    </w:p>
    <w:p>
      <w:pPr>
        <w:pStyle w:val="ListParagraph"/>
        <w:numPr>
          <w:ilvl w:val="0"/>
          <w:numId w:val="7"/>
        </w:numPr>
      </w:pPr>
      <w:r>
        <w:t xml:space="preserve">Kanthak, M. K., et al. (2017). </w:t>
      </w:r>
      <w:hyperlink r:id="rId8" w:history="1">
        <w:r>
          <w:rPr>
            <w:rStyle w:val="Hyperlink"/>
          </w:rPr>
          <w:t xml:space="preserve">Autonomic dysregulation in burnout and depression</w:t>
        </w:r>
      </w:hyperlink>
      <w:r>
        <w:t xml:space="preserve">. </w:t>
      </w:r>
      <w:r>
        <w:rPr>
          <w:i/>
        </w:rPr>
        <w:t xml:space="preserve">Scandinavian Journal of Work, Environment &amp; Health</w:t>
      </w:r>
      <w:r>
        <w:t xml:space="preserve">, 43(5), 475–484.</w:t>
      </w:r>
    </w:p>
    <w:p>
      <w:pPr>
        <w:pStyle w:val="ListParagraph"/>
        <w:numPr>
          <w:ilvl w:val="0"/>
          <w:numId w:val="7"/>
        </w:numPr>
      </w:pPr>
      <w:r>
        <w:t xml:space="preserve">Oluwadiya, K. S., Owoeye, O. K., &amp; Adeoti, A. O. (2024). </w:t>
      </w:r>
      <w:hyperlink r:id="rId9" w:history="1">
        <w:r>
          <w:rPr>
            <w:rStyle w:val="Hyperlink"/>
          </w:rPr>
          <w:t xml:space="preserve">Copenhagen Burnout Inventory-Student Survey: factor structure, reliability and validity</w:t>
        </w:r>
      </w:hyperlink>
      <w:r>
        <w:t xml:space="preserve">. </w:t>
      </w:r>
      <w:r>
        <w:rPr>
          <w:i/>
        </w:rPr>
        <w:t xml:space="preserve">Scientific Reports</w:t>
      </w:r>
      <w:r>
        <w:t xml:space="preserve">, 14, 10476.</w:t>
      </w:r>
    </w:p>
    <w:p>
      <w:pPr>
        <w:pStyle w:val="ListParagraph"/>
        <w:numPr>
          <w:ilvl w:val="0"/>
          <w:numId w:val="7"/>
        </w:numPr>
      </w:pPr>
      <w:r>
        <w:t xml:space="preserve">Purvanova, R. K., &amp; Muros, J. P. (2010). </w:t>
      </w:r>
      <w:hyperlink r:id="rId10" w:history="1">
        <w:r>
          <w:rPr>
            <w:rStyle w:val="Hyperlink"/>
          </w:rPr>
          <w:t xml:space="preserve">Gender differences in burnout: a meta-analysis</w:t>
        </w:r>
      </w:hyperlink>
      <w:r>
        <w:t xml:space="preserve">. </w:t>
      </w:r>
      <w:r>
        <w:rPr>
          <w:i/>
        </w:rPr>
        <w:t xml:space="preserve">Journal of Vocational Behavior</w:t>
      </w:r>
      <w:r>
        <w:t xml:space="preserve">, 77(2), 168–185.</w:t>
      </w:r>
    </w:p>
    <w:p>
      <w:pPr/>
      <w:r>
        <w:t xml:space="preserve">The full literature review lists 40 sources.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i.org/10.1016/j.jpsychores.2008.01.012" TargetMode="External"/><Relationship Id="rId4" Type="http://schemas.openxmlformats.org/officeDocument/2006/relationships/hyperlink" Target="https://doi.org/10.3389/fphys.2026.1908141" TargetMode="External"/><Relationship Id="rId5" Type="http://schemas.openxmlformats.org/officeDocument/2006/relationships/hyperlink" Target="https://doi.org/10.1539/joh.k8004" TargetMode="External"/><Relationship Id="rId6" Type="http://schemas.openxmlformats.org/officeDocument/2006/relationships/hyperlink" Target="https://doi.org/10.1007/s40279-025-02388-y" TargetMode="External"/><Relationship Id="rId7" Type="http://schemas.openxmlformats.org/officeDocument/2006/relationships/hyperlink" Target="https://doi.org/10.14814/phy2.70527" TargetMode="External"/><Relationship Id="rId8" Type="http://schemas.openxmlformats.org/officeDocument/2006/relationships/hyperlink" Target="https://doi.org/10.5271/sjweh.3647" TargetMode="External"/><Relationship Id="rId9" Type="http://schemas.openxmlformats.org/officeDocument/2006/relationships/hyperlink" Target="https://doi.org/10.1038/s41598-024-61310-0" TargetMode="External"/><Relationship Id="rId10" Type="http://schemas.openxmlformats.org/officeDocument/2006/relationships/hyperlink" Target="https://doi.org/10.1016/j.jvb.2010.04.006"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Burnout and Wearable-Derived Sleep and Recovery Among Women in Work and Study</dc:title>
  <dc:description>Claude Docs node/5820cfea-a33f@5 docx-w6</dc:description>
  <cp:revision>5</cp:revision>
</cp:coreProperties>
</file>