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1,934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w:t>
      </w:r>
      <w:r>
        <w:rPr>
          <w:b w:val="0"/>
          <w:i w:val="0"/>
          <w:highlight w:val="yellow"/>
        </w:rPr>
        <w:t>[Update to “accepted for poster presentation” / “presented” as applicable.]</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PubMed/MEDLINE, Scopus, PsycINFO, and CINAHL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(361 after deduplication), 34 studies met inclusion criteria. Depression and anxiety were the most frequently reported outcomes (n = 26; 76%), followed by reduced quality of life and body image concerns (n = 22; 65%), psychosexual and relational challenges (n = 19; 56%), and broader psychological distress (n = 17; 50%). Coping mechanisms were documented in 21 studies and healthcare system gaps in 18. Most studies originated from Europe (n = 18) and North America (n = 8).</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xml:space="preserve">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p>
    <w:p>
      <w:pPr>
        <w:ind w:firstLine="720"/>
      </w:pPr>
      <w:r>
        <w:rPr>
          <w:b w:val="0"/>
          <w:i w:val="0"/>
        </w:rPr>
        <w:t>Two systematic reviews have since synthesized the psychological, quality-of-life, and sexual outcomes of MRKH.</w:t>
      </w:r>
      <w:r>
        <w:rPr>
          <w:b w:val="0"/>
          <w:i w:val="0"/>
          <w:vertAlign w:val="superscript"/>
        </w:rPr>
        <w:t>9,10</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11,12</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11</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12</w:t>
      </w:r>
      <w:r>
        <w:rPr>
          <w:b w:val="0"/>
          <w:i w:val="0"/>
        </w:rPr>
        <w:t xml:space="preserve"> </w:t>
      </w:r>
      <w:r>
        <w:rPr>
          <w:b w:val="0"/>
          <w:i w:val="0"/>
          <w:highlight w:val="yellow"/>
        </w:rPr>
        <w:t>[Protocol registration: state the registry and ID (e.g., OSF) or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w:t>
      </w:r>
      <w:r>
        <w:rPr>
          <w:b w:val="0"/>
          <w:i w:val="0"/>
          <w:highlight w:val="yellow"/>
        </w:rPr>
        <w:t>[Confirm any additional criteria applied, e.g., language (English only?), peer-reviewed publications only, and exclusion of reviews, case reports, editorials, and conference abstracts.]</w:t>
      </w:r>
    </w:p>
    <w:p>
      <w:pPr>
        <w:pStyle w:val="Heading2"/>
      </w:pPr>
      <w:r>
        <w:rPr>
          <w:b w:val="0"/>
          <w:i w:val="0"/>
        </w:rPr>
        <w:t>Information Sources and Search Strategy</w:t>
      </w:r>
    </w:p>
    <w:p>
      <w:pPr>
        <w:ind w:firstLine="720"/>
      </w:pPr>
      <w:r>
        <w:rPr>
          <w:b w:val="0"/>
          <w:i w:val="0"/>
        </w:rPr>
        <w:t xml:space="preserve">Four electronic databases were searched: PubMed/MEDLINE, Scopus, PsycINFO, and CINAHL, limited to January 2019 through March 2026. Search strategies combined controlled vocabulary and free-text terms for MRKH (e.g., “Mayer-Rokitansky-Küster-Hauser,” “MRKH,” “Müllerian agenesis,” “vaginal agenesis”) with terms for mental health and coping (e.g., “depression,” “anxiety,” “psychological distress,” “quality of life,” “body image,” “coping”). The full search strategy for each database is provided in Appendix A. </w:t>
      </w:r>
      <w:r>
        <w:rPr>
          <w:b w:val="0"/>
          <w:i w:val="0"/>
          <w:highlight w:val="yellow"/>
        </w:rPr>
        <w:t>[Date the final search was run: ____. Verify that the example terms above match the search you actually ran.]</w:t>
      </w:r>
    </w:p>
    <w:p>
      <w:pPr>
        <w:pStyle w:val="Heading2"/>
      </w:pPr>
      <w:r>
        <w:rPr>
          <w:b w:val="0"/>
          <w:i w:val="0"/>
        </w:rPr>
        <w:t>Study Selection</w:t>
      </w:r>
    </w:p>
    <w:p>
      <w:pPr>
        <w:ind w:firstLine="720"/>
      </w:pPr>
      <w:r>
        <w:rPr>
          <w:b w:val="0"/>
          <w:i w:val="0"/>
        </w:rPr>
        <w:t xml:space="preserve">Records were exported to </w:t>
      </w:r>
      <w:r>
        <w:rPr>
          <w:b w:val="0"/>
          <w:i w:val="0"/>
          <w:highlight w:val="yellow"/>
        </w:rPr>
        <w:t>[reference manager/screening software, e.g., Zotero, Covidence, Rayyan]</w:t>
      </w:r>
      <w:r>
        <w:rPr>
          <w:b w:val="0"/>
          <w:i w:val="0"/>
        </w:rPr>
        <w:t xml:space="preserve">, and 155 duplicates were removed. The remaining 361 records were screened against the eligibility criteria </w:t>
      </w:r>
      <w:r>
        <w:rPr>
          <w:b w:val="0"/>
          <w:i w:val="0"/>
          <w:highlight w:val="yellow"/>
        </w:rPr>
        <w:t>[by two independent reviewers; disagreements resolved through discussion or by a third reviewer — edit to reflect your actual process]</w:t>
      </w:r>
      <w:r>
        <w:rPr>
          <w:b w:val="0"/>
          <w:i w:val="0"/>
        </w:rPr>
        <w:t xml:space="preserve">. </w:t>
      </w:r>
      <w:r>
        <w:rPr>
          <w:b w:val="0"/>
          <w:i w:val="0"/>
          <w:highlight w:val="yellow"/>
        </w:rPr>
        <w:t>[Report the number of full-text articles assessed for eligibility and the reasons for full-text exclusion; PRISMA-ScR item 14 requires this.]</w:t>
      </w:r>
    </w:p>
    <w:p>
      <w:pPr>
        <w:pStyle w:val="Heading2"/>
      </w:pPr>
      <w:r>
        <w:rPr>
          <w:b w:val="0"/>
          <w:i w:val="0"/>
        </w:rPr>
        <w:t>Data Charting</w:t>
      </w:r>
    </w:p>
    <w:p>
      <w:pPr>
        <w:ind w:firstLine="720"/>
      </w:pPr>
      <w:r>
        <w:rPr>
          <w:b w:val="0"/>
          <w:i w:val="0"/>
        </w:rPr>
        <w:t xml:space="preserve">Data were charted using a standardized form capturing author, year, country, study design, sample characteristics, outcome measures, reported mental health outcomes, coping mechanisms, and healthcare system gaps. </w:t>
      </w:r>
      <w:r>
        <w:rPr>
          <w:b w:val="0"/>
          <w:i w:val="0"/>
          <w:highlight w:val="yellow"/>
        </w:rPr>
        <w:t>[Confirm charted items and whether charting was piloted or completed in duplicate.]</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mental health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11,12</w:t>
      </w:r>
      <w:r>
        <w:rPr>
          <w:b w:val="0"/>
          <w:i w:val="0"/>
        </w:rPr>
        <w:t xml:space="preserve"> </w:t>
      </w:r>
      <w:r>
        <w:rPr>
          <w:b w:val="0"/>
          <w:i w:val="0"/>
          <w:highlight w:val="yellow"/>
        </w:rPr>
        <w:t>[Confirm; if you did appraise quality, describe the tool used.]</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database searches identified 516 records. After removal of 155 duplicates, 361 records were screened, of which 327 were excluded for not meeting inclusion criteria. A total of 34 studies were included in the review (Figure 1).</w:t>
      </w:r>
    </w:p>
    <w:p>
      <w:pPr>
        <w:keepNext/>
        <w:jc w:val="center"/>
      </w:pPr>
      <w:r>
        <w:drawing>
          <wp:inline xmlns:a="http://schemas.openxmlformats.org/drawingml/2006/main" xmlns:pic="http://schemas.openxmlformats.org/drawingml/2006/picture">
            <wp:extent cx="4754880" cy="4264440"/>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754880" cy="4264440"/>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w:t>
      </w:r>
      <w:r>
        <w:rPr>
          <w:b w:val="0"/>
          <w:i w:val="0"/>
          <w:sz w:val="20"/>
          <w:highlight w:val="yellow"/>
        </w:rPr>
        <w:t>[Add a full-text assessment box (number assessed and number excluded with reasons) if full-text screening was conducted as a separate stage.]</w:t>
      </w:r>
    </w:p>
    <w:p>
      <w:pPr>
        <w:pStyle w:val="Heading2"/>
      </w:pPr>
      <w:r>
        <w:rPr>
          <w:b w:val="0"/>
          <w:i w:val="0"/>
        </w:rPr>
        <w:t>Characteristics of Included Studies</w:t>
      </w:r>
    </w:p>
    <w:p>
      <w:pPr>
        <w:ind w:firstLine="720"/>
      </w:pPr>
      <w:r>
        <w:rPr>
          <w:b w:val="0"/>
          <w:i w:val="0"/>
        </w:rPr>
        <w:t xml:space="preserve">The 34 included studies comprised 16 quantitative studies (47.1%), 11 qualitative studies (32.4%), and 7 mixed-methods studies (20.6%); 11 of the quantitative studies used a cross-sectional design (Table 1; Figure 2). Studies were concentrated in high-income regions: 18 (52.9%) originated in Europe and 8 (23.5%) in North America, together accounting for 26 of 34 studies (76%). Five studies (14.7%) were conducted in Asia, 2 (5.9%) in Africa, and 1 (2.9%) in South America; no included study originated in Oceania (Figure 3). Characteristics of each included study are summarized in Appendix B. </w:t>
      </w:r>
      <w:r>
        <w:rPr>
          <w:b w:val="0"/>
          <w:i w:val="0"/>
          <w:highlight w:val="yellow"/>
        </w:rPr>
        <w:t>[Add the range of sample sizes, participant ages, and publication years from your extraction table.]</w:t>
      </w:r>
    </w:p>
    <w:p>
      <w:pPr>
        <w:keepNext/>
        <w:spacing w:line="240" w:lineRule="auto" w:before="240" w:after="80"/>
      </w:pPr>
      <w:r>
        <w:rPr>
          <w:b/>
          <w:i w:val="0"/>
        </w:rPr>
        <w:t>Table 1.</w:t>
      </w:r>
      <w:r>
        <w:rPr>
          <w:b w:val="0"/>
          <w:i w:val="0"/>
        </w:rPr>
        <w:t xml:space="preserve"> Study design and geographic distribution of included studies (N = 34)</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 (incl. 11 cross-sectional)</w:t>
            </w:r>
          </w:p>
        </w:tc>
        <w:tc>
          <w:tcPr>
            <w:tcW w:type="dxa" w:w="1152"/>
          </w:tcPr>
          <w:p>
            <w:pPr>
              <w:spacing w:line="240" w:lineRule="auto"/>
            </w:pPr>
            <w:r/>
            <w:r>
              <w:rPr>
                <w:b w:val="0"/>
                <w:i w:val="0"/>
                <w:sz w:val="20"/>
              </w:rPr>
              <w:t>16</w:t>
            </w:r>
          </w:p>
        </w:tc>
        <w:tc>
          <w:tcPr>
            <w:tcW w:type="dxa" w:w="1440"/>
          </w:tcPr>
          <w:p>
            <w:pPr>
              <w:spacing w:line="240" w:lineRule="auto"/>
            </w:pPr>
            <w:r/>
            <w:r>
              <w:rPr>
                <w:b w:val="0"/>
                <w:i w:val="0"/>
                <w:sz w:val="20"/>
              </w:rPr>
              <w:t>47.1%</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11</w:t>
            </w:r>
          </w:p>
        </w:tc>
        <w:tc>
          <w:tcPr>
            <w:tcW w:type="dxa" w:w="1440"/>
          </w:tcPr>
          <w:p>
            <w:pPr>
              <w:spacing w:line="240" w:lineRule="auto"/>
            </w:pPr>
            <w:r/>
            <w:r>
              <w:rPr>
                <w:b w:val="0"/>
                <w:i w:val="0"/>
                <w:sz w:val="20"/>
              </w:rPr>
              <w:t>32.4%</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7</w:t>
            </w:r>
          </w:p>
        </w:tc>
        <w:tc>
          <w:tcPr>
            <w:tcW w:type="dxa" w:w="1440"/>
          </w:tcPr>
          <w:p>
            <w:pPr>
              <w:spacing w:line="240" w:lineRule="auto"/>
            </w:pPr>
            <w:r/>
            <w:r>
              <w:rPr>
                <w:b w:val="0"/>
                <w:i w:val="0"/>
                <w:sz w:val="20"/>
              </w:rPr>
              <w:t>20.6%</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52.9%</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8</w:t>
            </w:r>
          </w:p>
        </w:tc>
        <w:tc>
          <w:tcPr>
            <w:tcW w:type="dxa" w:w="1440"/>
          </w:tcPr>
          <w:p>
            <w:pPr>
              <w:spacing w:line="240" w:lineRule="auto"/>
            </w:pPr>
            <w:r/>
            <w:r>
              <w:rPr>
                <w:b w:val="0"/>
                <w:i w:val="0"/>
                <w:sz w:val="20"/>
              </w:rPr>
              <w:t>23.5%</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5</w:t>
            </w:r>
          </w:p>
        </w:tc>
        <w:tc>
          <w:tcPr>
            <w:tcW w:type="dxa" w:w="1440"/>
          </w:tcPr>
          <w:p>
            <w:pPr>
              <w:spacing w:line="240" w:lineRule="auto"/>
            </w:pPr>
            <w:r/>
            <w:r>
              <w:rPr>
                <w:b w:val="0"/>
                <w:i w:val="0"/>
                <w:sz w:val="20"/>
              </w:rPr>
              <w:t>14.7%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bl>
    <w:p>
      <w:pPr>
        <w:spacing w:line="240" w:lineRule="auto" w:after="240"/>
      </w:pPr>
      <w:r>
        <w:rPr>
          <w:b w:val="0"/>
          <w:i w:val="0"/>
          <w:sz w:val="20"/>
        </w:rPr>
        <w:t xml:space="preserve">Percentages are of all included studies (N = 34) and may not total 100% because of rounding. </w:t>
      </w:r>
      <w:r>
        <w:rPr>
          <w:b w:val="0"/>
          <w:i w:val="0"/>
          <w:sz w:val="20"/>
          <w:highlight w:val="yellow"/>
        </w:rPr>
        <w:t>[Verify design classifications against your extraction table.]</w:t>
      </w:r>
    </w:p>
    <w:p>
      <w:pPr>
        <w:keepNext/>
        <w:jc w:val="center"/>
      </w:pPr>
      <w:r>
        <w:drawing>
          <wp:inline xmlns:a="http://schemas.openxmlformats.org/drawingml/2006/main" xmlns:pic="http://schemas.openxmlformats.org/drawingml/2006/picture">
            <wp:extent cx="4389120" cy="2616104"/>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16104"/>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34). Cross-sectional studies (n = 11) are a subset of quantitative designs.</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34). Darker shading indicates more studies; no included study originated in Oceania.</w:t>
      </w:r>
    </w:p>
    <w:p>
      <w:pPr>
        <w:pStyle w:val="Heading2"/>
      </w:pPr>
      <w:r>
        <w:rPr>
          <w:b w:val="0"/>
          <w:i w:val="0"/>
        </w:rPr>
        <w:t>Mental Health and Psychosocial Outcomes</w:t>
      </w:r>
    </w:p>
    <w:p>
      <w:pPr>
        <w:ind w:firstLine="720"/>
      </w:pPr>
      <w:r>
        <w:rPr>
          <w:b w:val="0"/>
          <w:i w:val="0"/>
        </w:rPr>
        <w:t>Four outcome domains were identified (Table 2; Figure 4). Depression and anxiety were the most frequently reported outcomes, appearing in 26 of 34 studies (76.5%). Reduced quality of life and body image concerns were reported in 22 studies (64.7%), psychosexual and relational challenges in 19 (55.9%), and broader psychological distress in 17 (50.0%). These outcomes frequently co-occurred within the same studies, indicating that the psychosocial impact of MRKH extends across emotional, relational, and identity-related dimensions rather than being confined to a single domain.</w:t>
      </w:r>
    </w:p>
    <w:p>
      <w:pPr>
        <w:keepNext/>
        <w:spacing w:line="240" w:lineRule="auto" w:before="240" w:after="80"/>
      </w:pPr>
      <w:r>
        <w:rPr>
          <w:b/>
          <w:i w:val="0"/>
        </w:rPr>
        <w:t>Table 2.</w:t>
      </w:r>
      <w:r>
        <w:rPr>
          <w:b w:val="0"/>
          <w:i w:val="0"/>
        </w:rPr>
        <w:t xml:space="preserve"> Mental health and psychosocial outcome domains reported in included studies (N = 34)</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26 (76.5%)</w:t>
            </w:r>
          </w:p>
        </w:tc>
      </w:tr>
      <w:tr>
        <w:tc>
          <w:tcPr>
            <w:tcW w:type="dxa" w:w="2736"/>
          </w:tcPr>
          <w:p>
            <w:pPr>
              <w:spacing w:line="240" w:lineRule="auto"/>
            </w:pPr>
            <w:r/>
            <w:r>
              <w:rPr>
                <w:b w:val="0"/>
                <w:i w:val="0"/>
                <w:sz w:val="20"/>
              </w:rPr>
              <w:t>Reduced quality of life and body image</w:t>
            </w:r>
          </w:p>
        </w:tc>
        <w:tc>
          <w:tcPr>
            <w:tcW w:type="dxa" w:w="4752"/>
          </w:tcPr>
          <w:p>
            <w:pPr>
              <w:spacing w:line="240" w:lineRule="auto"/>
            </w:pPr>
            <w:r/>
            <w:r>
              <w:rPr>
                <w:b w:val="0"/>
                <w:i w:val="0"/>
                <w:sz w:val="20"/>
              </w:rPr>
              <w:t>Lower overall or mental health–related quality of life; negative body or genital image; self-esteem concerns</w:t>
            </w:r>
          </w:p>
        </w:tc>
        <w:tc>
          <w:tcPr>
            <w:tcW w:type="dxa" w:w="1728"/>
          </w:tcPr>
          <w:p>
            <w:pPr>
              <w:spacing w:line="240" w:lineRule="auto"/>
            </w:pPr>
            <w:r/>
            <w:r>
              <w:rPr>
                <w:b w:val="0"/>
                <w:i w:val="0"/>
                <w:sz w:val="20"/>
              </w:rPr>
              <w:t>22 (64.7%)</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function and sexual self-esteem difficulties; concerns about intimacy, partner relationships, and disclosure</w:t>
            </w:r>
          </w:p>
        </w:tc>
        <w:tc>
          <w:tcPr>
            <w:tcW w:type="dxa" w:w="1728"/>
          </w:tcPr>
          <w:p>
            <w:pPr>
              <w:spacing w:line="240" w:lineRule="auto"/>
            </w:pPr>
            <w:r/>
            <w:r>
              <w:rPr>
                <w:b w:val="0"/>
                <w:i w:val="0"/>
                <w:sz w:val="20"/>
              </w:rPr>
              <w:t>19 (55.9%)</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General distress, grief and loss, shame, isolation, and identity-related distress</w:t>
            </w:r>
          </w:p>
        </w:tc>
        <w:tc>
          <w:tcPr>
            <w:tcW w:type="dxa" w:w="1728"/>
          </w:tcPr>
          <w:p>
            <w:pPr>
              <w:spacing w:line="240" w:lineRule="auto"/>
            </w:pPr>
            <w:r/>
            <w:r>
              <w:rPr>
                <w:b w:val="0"/>
                <w:i w:val="0"/>
                <w:sz w:val="20"/>
              </w:rPr>
              <w:t>17 (50.0%)</w:t>
            </w:r>
          </w:p>
        </w:tc>
      </w:tr>
    </w:tbl>
    <w:p>
      <w:pPr>
        <w:spacing w:line="240" w:lineRule="auto" w:after="240"/>
      </w:pPr>
      <w:r>
        <w:rPr>
          <w:b w:val="0"/>
          <w:i w:val="0"/>
          <w:sz w:val="20"/>
        </w:rPr>
        <w:t xml:space="preserve">Studies could report more than one domain; counts are therefore not mutually exclusive. </w:t>
      </w:r>
      <w:r>
        <w:rPr>
          <w:b w:val="0"/>
          <w:i w:val="0"/>
          <w:sz w:val="20"/>
          <w:highlight w:val="yellow"/>
        </w:rPr>
        <w:t>[Check that the domain descriptions match how studies were coded in your extraction.]</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34). Studies could contribute to more than one category.</w:t>
      </w:r>
    </w:p>
    <w:p>
      <w:pPr>
        <w:pStyle w:val="Heading2"/>
      </w:pPr>
      <w:r>
        <w:rPr>
          <w:b w:val="0"/>
          <w:i w:val="0"/>
        </w:rPr>
        <w:t>Coping Mechanisms</w:t>
      </w:r>
    </w:p>
    <w:p>
      <w:pPr>
        <w:ind w:firstLine="720"/>
      </w:pPr>
      <w:r>
        <w:rPr>
          <w:b w:val="0"/>
          <w:i w:val="0"/>
        </w:rPr>
        <w:t>Coping mechanisms were documented in 21 studies (61.8%). Six categories were identified (Table 3). Five were adaptive—peer and community support, psychological counseling, identity reconstruction, spiritual coping, and adaptive acceptance—and one, avoidance, was maladaptive. Consistent with the healthcare system gaps described below, these coping mechanisms were not supported by systematic clinical pathways.</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2736"/>
        <w:gridCol w:w="1584"/>
        <w:gridCol w:w="4896"/>
      </w:tblGrid>
      <w:tr>
        <w:tc>
          <w:tcPr>
            <w:tcW w:type="dxa" w:w="2736"/>
            <w:shd w:val="clear" w:color="auto" w:fill="D9E2F3"/>
          </w:tcPr>
          <w:p>
            <w:pPr>
              <w:spacing w:line="240" w:lineRule="auto"/>
            </w:pPr>
            <w:r/>
            <w:r>
              <w:rPr>
                <w:b/>
                <w:i w:val="0"/>
                <w:sz w:val="20"/>
              </w:rPr>
              <w:t>Coping mechanism</w:t>
            </w:r>
          </w:p>
        </w:tc>
        <w:tc>
          <w:tcPr>
            <w:tcW w:type="dxa" w:w="1584"/>
            <w:shd w:val="clear" w:color="auto" w:fill="D9E2F3"/>
          </w:tcPr>
          <w:p>
            <w:pPr>
              <w:spacing w:line="240" w:lineRule="auto"/>
            </w:pPr>
            <w:r/>
            <w:r>
              <w:rPr>
                <w:b/>
                <w:i w:val="0"/>
                <w:sz w:val="20"/>
              </w:rPr>
              <w:t>Type</w:t>
            </w:r>
          </w:p>
        </w:tc>
        <w:tc>
          <w:tcPr>
            <w:tcW w:type="dxa" w:w="4896"/>
            <w:shd w:val="clear" w:color="auto" w:fill="D9E2F3"/>
          </w:tcPr>
          <w:p>
            <w:pPr>
              <w:spacing w:line="240" w:lineRule="auto"/>
            </w:pPr>
            <w:r/>
            <w:r>
              <w:rPr>
                <w:b/>
                <w:i w:val="0"/>
                <w:sz w:val="20"/>
              </w:rPr>
              <w:t>Description</w:t>
            </w:r>
          </w:p>
        </w:tc>
      </w:tr>
      <w:tr>
        <w:tc>
          <w:tcPr>
            <w:tcW w:type="dxa" w:w="2736"/>
          </w:tcPr>
          <w:p>
            <w:pPr>
              <w:spacing w:line="240" w:lineRule="auto"/>
            </w:pPr>
            <w:r/>
            <w:r>
              <w:rPr>
                <w:b w:val="0"/>
                <w:i w:val="0"/>
                <w:sz w:val="20"/>
              </w:rPr>
              <w:t>Peer and community support</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Connection with others with MRKH through support groups, online communities, and advocacy networks</w:t>
            </w:r>
          </w:p>
        </w:tc>
      </w:tr>
      <w:tr>
        <w:tc>
          <w:tcPr>
            <w:tcW w:type="dxa" w:w="2736"/>
          </w:tcPr>
          <w:p>
            <w:pPr>
              <w:spacing w:line="240" w:lineRule="auto"/>
            </w:pPr>
            <w:r/>
            <w:r>
              <w:rPr>
                <w:b w:val="0"/>
                <w:i w:val="0"/>
                <w:sz w:val="20"/>
              </w:rPr>
              <w:t>Psychological counseling</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Professional psychological support, including individual or group therapy</w:t>
            </w:r>
          </w:p>
        </w:tc>
      </w:tr>
      <w:tr>
        <w:tc>
          <w:tcPr>
            <w:tcW w:type="dxa" w:w="2736"/>
          </w:tcPr>
          <w:p>
            <w:pPr>
              <w:spacing w:line="240" w:lineRule="auto"/>
            </w:pPr>
            <w:r/>
            <w:r>
              <w:rPr>
                <w:b w:val="0"/>
                <w:i w:val="0"/>
                <w:sz w:val="20"/>
              </w:rPr>
              <w:t>Identity reconstruction</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Redefining femininity, womanhood, and self-concept independent of reproductive anatomy</w:t>
            </w:r>
          </w:p>
        </w:tc>
      </w:tr>
      <w:tr>
        <w:tc>
          <w:tcPr>
            <w:tcW w:type="dxa" w:w="2736"/>
          </w:tcPr>
          <w:p>
            <w:pPr>
              <w:spacing w:line="240" w:lineRule="auto"/>
            </w:pPr>
            <w:r/>
            <w:r>
              <w:rPr>
                <w:b w:val="0"/>
                <w:i w:val="0"/>
                <w:sz w:val="20"/>
              </w:rPr>
              <w:t>Spiritual coping</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Drawing on faith, religious practice, or spirituality to find meaning and resilience</w:t>
            </w:r>
          </w:p>
        </w:tc>
      </w:tr>
      <w:tr>
        <w:tc>
          <w:tcPr>
            <w:tcW w:type="dxa" w:w="2736"/>
          </w:tcPr>
          <w:p>
            <w:pPr>
              <w:spacing w:line="240" w:lineRule="auto"/>
            </w:pPr>
            <w:r/>
            <w:r>
              <w:rPr>
                <w:b w:val="0"/>
                <w:i w:val="0"/>
                <w:sz w:val="20"/>
              </w:rPr>
              <w:t>Adaptive acceptance</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Gradual acceptance of the diagnosis and its implications for fertility and sexuality</w:t>
            </w:r>
          </w:p>
        </w:tc>
      </w:tr>
      <w:tr>
        <w:tc>
          <w:tcPr>
            <w:tcW w:type="dxa" w:w="2736"/>
          </w:tcPr>
          <w:p>
            <w:pPr>
              <w:spacing w:line="240" w:lineRule="auto"/>
            </w:pPr>
            <w:r/>
            <w:r>
              <w:rPr>
                <w:b w:val="0"/>
                <w:i w:val="0"/>
                <w:sz w:val="20"/>
              </w:rPr>
              <w:t>Avoidance</w:t>
            </w:r>
          </w:p>
        </w:tc>
        <w:tc>
          <w:tcPr>
            <w:tcW w:type="dxa" w:w="1584"/>
          </w:tcPr>
          <w:p>
            <w:pPr>
              <w:spacing w:line="240" w:lineRule="auto"/>
            </w:pPr>
            <w:r/>
            <w:r>
              <w:rPr>
                <w:b w:val="0"/>
                <w:i w:val="0"/>
                <w:sz w:val="20"/>
              </w:rPr>
              <w:t>Maladaptive</w:t>
            </w:r>
          </w:p>
        </w:tc>
        <w:tc>
          <w:tcPr>
            <w:tcW w:type="dxa" w:w="4896"/>
          </w:tcPr>
          <w:p>
            <w:pPr>
              <w:spacing w:line="240" w:lineRule="auto"/>
            </w:pPr>
            <w:r/>
            <w:r>
              <w:rPr>
                <w:b w:val="0"/>
                <w:i w:val="0"/>
                <w:sz w:val="20"/>
              </w:rPr>
              <w:t>Avoiding discussion of the diagnosis, concealment, and withdrawal from intimate relationships or care</w:t>
            </w:r>
          </w:p>
        </w:tc>
      </w:tr>
    </w:tbl>
    <w:p>
      <w:pPr>
        <w:spacing w:line="240" w:lineRule="auto" w:after="240"/>
      </w:pPr>
      <w:r>
        <w:rPr>
          <w:b w:val="0"/>
          <w:i w:val="0"/>
          <w:sz w:val="20"/>
          <w:highlight w:val="yellow"/>
        </w:rPr>
        <w:t>[Confirm that the descriptions reflect the included studies; optionally add the number of studies reporting each coping mechanism from your extraction table.]</w:t>
      </w:r>
    </w:p>
    <w:p>
      <w:pPr>
        <w:pStyle w:val="Heading2"/>
      </w:pPr>
      <w:r>
        <w:rPr>
          <w:b w:val="0"/>
          <w:i w:val="0"/>
        </w:rPr>
        <w:t>Healthcare System Gaps</w:t>
      </w:r>
    </w:p>
    <w:p>
      <w:pPr>
        <w:ind w:firstLine="720"/>
      </w:pPr>
      <w:r>
        <w:rPr>
          <w:b w:val="0"/>
          <w:i w:val="0"/>
        </w:rPr>
        <w:t>Healthcare system gaps were identified in 18 studies (52.9%; Table 4). These included delayed diagnosis in adolescence without concurrent psychosocial support; limited access to multidisciplinary care teams that include psychology, social work, and gynecology; insufficient integration of mental health into MRKH care models; and the absence of standardized mental health screening protocols at diagnosis. In addition, the geographic distribution of the evidence base itself (Figure 3) reveals a research gap: only 3 of 34 studies originated in Africa or South America.</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Delayed diagnosis in adolescence without concurrent psychosocial support</w:t>
            </w:r>
          </w:p>
        </w:tc>
        <w:tc>
          <w:tcPr>
            <w:tcW w:type="dxa" w:w="4608"/>
          </w:tcPr>
          <w:p>
            <w:pPr>
              <w:spacing w:line="240" w:lineRule="auto"/>
            </w:pPr>
            <w:r/>
            <w:r>
              <w:rPr>
                <w:b w:val="0"/>
                <w:i w:val="0"/>
                <w:sz w:val="20"/>
              </w:rPr>
              <w:t>Integrate mental health screening into standard MRKH diagnostic pathways</w:t>
            </w:r>
          </w:p>
        </w:tc>
      </w:tr>
      <w:tr>
        <w:tc>
          <w:tcPr>
            <w:tcW w:type="dxa" w:w="4608"/>
          </w:tcPr>
          <w:p>
            <w:pPr>
              <w:spacing w:line="240" w:lineRule="auto"/>
            </w:pPr>
            <w:r/>
            <w:r>
              <w:rPr>
                <w:b w:val="0"/>
                <w:i w:val="0"/>
                <w:sz w:val="20"/>
              </w:rPr>
              <w:t>Limited access to multidisciplinary care teams (psychology, social work, gynecology)</w:t>
            </w:r>
          </w:p>
        </w:tc>
        <w:tc>
          <w:tcPr>
            <w:tcW w:type="dxa" w:w="4608"/>
          </w:tcPr>
          <w:p>
            <w:pPr>
              <w:spacing w:line="240" w:lineRule="auto"/>
            </w:pPr>
            <w:r/>
            <w:r>
              <w:rPr>
                <w:b w:val="0"/>
                <w:i w:val="0"/>
                <w:sz w:val="20"/>
              </w:rPr>
              <w:t>Develop multidisciplinary care protocols that include psychology and social work</w:t>
            </w:r>
          </w:p>
        </w:tc>
      </w:tr>
      <w:tr>
        <w:tc>
          <w:tcPr>
            <w:tcW w:type="dxa" w:w="4608"/>
          </w:tcPr>
          <w:p>
            <w:pPr>
              <w:spacing w:line="240" w:lineRule="auto"/>
            </w:pPr>
            <w:r/>
            <w:r>
              <w:rPr>
                <w:b w:val="0"/>
                <w:i w:val="0"/>
                <w:sz w:val="20"/>
              </w:rPr>
              <w:t>Mental health insufficiently integrated into MRKH care models</w:t>
            </w:r>
          </w:p>
        </w:tc>
        <w:tc>
          <w:tcPr>
            <w:tcW w:type="dxa" w:w="4608"/>
          </w:tcPr>
          <w:p>
            <w:pPr>
              <w:spacing w:line="240" w:lineRule="auto"/>
            </w:pPr>
            <w:r/>
            <w:r>
              <w:rPr>
                <w:b w:val="0"/>
                <w:i w:val="0"/>
                <w:sz w:val="20"/>
              </w:rPr>
              <w:t>Train providers in psychosocially informed MRKH care; build peer support infrastructure within reproductive health services</w:t>
            </w:r>
          </w:p>
        </w:tc>
      </w:tr>
      <w:tr>
        <w:tc>
          <w:tcPr>
            <w:tcW w:type="dxa" w:w="4608"/>
          </w:tcPr>
          <w:p>
            <w:pPr>
              <w:spacing w:line="240" w:lineRule="auto"/>
            </w:pPr>
            <w:r/>
            <w:r>
              <w:rPr>
                <w:b w:val="0"/>
                <w:i w:val="0"/>
                <w:sz w:val="20"/>
              </w:rPr>
              <w:t>Lack of standardized mental health screening protocols at diagnosis</w:t>
            </w:r>
          </w:p>
        </w:tc>
        <w:tc>
          <w:tcPr>
            <w:tcW w:type="dxa" w:w="4608"/>
          </w:tcPr>
          <w:p>
            <w:pPr>
              <w:spacing w:line="240" w:lineRule="auto"/>
            </w:pPr>
            <w:r/>
            <w:r>
              <w:rPr>
                <w:b w:val="0"/>
                <w:i w:val="0"/>
                <w:sz w:val="20"/>
              </w:rPr>
              <w:t>Adopt validated screening instruments at diagnosis and follow-up</w:t>
            </w:r>
          </w:p>
        </w:tc>
      </w:tr>
      <w:tr>
        <w:tc>
          <w:tcPr>
            <w:tcW w:type="dxa" w:w="4608"/>
          </w:tcPr>
          <w:p>
            <w:pPr>
              <w:spacing w:line="240" w:lineRule="auto"/>
            </w:pPr>
            <w:r/>
            <w:r>
              <w:rPr>
                <w:b w:val="0"/>
                <w:i w:val="0"/>
                <w:sz w:val="20"/>
              </w:rPr>
              <w:t>Underrepresentation of low- and middle-income settings in the evidence base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34 studies published between 2019 and 2026 on the mental health and psychosocial outcomes of individuals with MRKH syndrome. Depression and anxiety were reported in about three of every four included studies, and reduced quality of life, body image concerns, psychosexual challenges, and broader psychological distress were each reported in at least half. Coping mechanisms were documented in about three in five studies, yet they appeared to operate largely outside systematic clinical pathways, and more than half of the studies identified healthcare system gaps that limit access to psychosocial support.</w:t>
      </w:r>
    </w:p>
    <w:p>
      <w:pPr>
        <w:ind w:firstLine="720"/>
      </w:pPr>
      <w:r>
        <w:rPr>
          <w:b w:val="0"/>
          <w:i w:val="0"/>
        </w:rPr>
        <w:t>These findings are consistent with earlier evidence. Before 2019, women with MRKH were shown to have greater psychological distress and lower self-esteem than controls,</w:t>
      </w:r>
      <w:r>
        <w:rPr>
          <w:b w:val="0"/>
          <w:i w:val="0"/>
          <w:vertAlign w:val="superscript"/>
        </w:rPr>
        <w:t>4</w:t>
      </w:r>
      <w:r>
        <w:rPr>
          <w:b w:val="0"/>
          <w:i w:val="0"/>
        </w:rPr>
        <w:t xml:space="preserve"> adolescents with MRKH had higher anxiety scores than healthy peers,</w:t>
      </w:r>
      <w:r>
        <w:rPr>
          <w:b w:val="0"/>
          <w:i w:val="0"/>
          <w:vertAlign w:val="superscript"/>
        </w:rPr>
        <w:t>5</w:t>
      </w:r>
      <w:r>
        <w:rPr>
          <w:b w:val="0"/>
          <w:i w:val="0"/>
        </w:rPr>
        <w:t xml:space="preserve"> and adult women reported poorer mental health–related quality of life and sexual wellness than normative samples.</w:t>
      </w:r>
      <w:r>
        <w:rPr>
          <w:b w:val="0"/>
          <w:i w:val="0"/>
          <w:vertAlign w:val="superscript"/>
        </w:rPr>
        <w:t>6</w:t>
      </w:r>
      <w:r>
        <w:rPr>
          <w:b w:val="0"/>
          <w:i w:val="0"/>
        </w:rPr>
        <w:t xml:space="preserve"> Prior systematic reviews similarly concluded that MRKH may be associated with psychological symptoms and impaired quality of life, particularly poor sexual esteem and genital image.</w:t>
      </w:r>
      <w:r>
        <w:rPr>
          <w:b w:val="0"/>
          <w:i w:val="0"/>
          <w:vertAlign w:val="superscript"/>
        </w:rPr>
        <w:t>9,10</w:t>
      </w:r>
      <w:r>
        <w:rPr>
          <w:b w:val="0"/>
          <w:i w:val="0"/>
        </w:rPr>
        <w:t xml:space="preserve"> The present review indicates that these concerns remain prominent in the recent literature and extends earlier syntheses by mapping coping mechanisms and healthcare system gaps alongside outcomes.</w:t>
      </w:r>
    </w:p>
    <w:p>
      <w:pPr>
        <w:pStyle w:val="Heading2"/>
      </w:pPr>
      <w:r>
        <w:rPr>
          <w:b w:val="0"/>
          <w:i w:val="0"/>
        </w:rPr>
        <w:t>Coping and Psychosocial Support</w:t>
      </w:r>
    </w:p>
    <w:p>
      <w:pPr>
        <w:ind w:firstLine="720"/>
      </w:pPr>
      <w:r>
        <w:rPr>
          <w:b w:val="0"/>
          <w:i w:val="0"/>
        </w:rPr>
        <w:t>The coping strategies identified—peer and community support, psychological counseling, identity reconstruction, spiritual coping, and acceptance—suggest that many individuals develop considerable resilience after diagnosis. Identity reconstruction aligns with qualitative accounts in which young women with MRKH worked to manage threats to identity and intimacy.</w:t>
      </w:r>
      <w:r>
        <w:rPr>
          <w:b w:val="0"/>
          <w:i w:val="0"/>
          <w:vertAlign w:val="superscript"/>
        </w:rPr>
        <w:t>8</w:t>
      </w:r>
      <w:r>
        <w:rPr>
          <w:b w:val="0"/>
          <w:i w:val="0"/>
        </w:rPr>
        <w:t xml:space="preserve"> At the same time, avoidance was documented as a maladaptive response that may delay help-seeking and treatment engagement. Evidence that structured psychological intervention can help is available: a randomized controlled trial of a cognitive-behavioural group intervention improved psychological outcomes among women with MRKH compared with a waiting-list control.</w:t>
      </w:r>
      <w:r>
        <w:rPr>
          <w:b w:val="0"/>
          <w:i w:val="0"/>
          <w:vertAlign w:val="superscript"/>
        </w:rPr>
        <w:t>13</w:t>
      </w:r>
      <w:r>
        <w:rPr>
          <w:b w:val="0"/>
          <w:i w:val="0"/>
        </w:rPr>
        <w:t xml:space="preserve"> The persistence of self-directed coping in the recent literature suggests that such evidence-based support has not been consistently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the gaps identified in this review—diagnosis without concurrent psychosocial support, limited multidisciplinary care, and no standardized mental health screening—indicate a gap between recommendations and practice. The concentration of evidence in Europe and North America (26 of 34 studies) further limits understanding of how MRKH is experienced where cultural expectations regarding fertility, marriage, and womanhood, as well as access to specialized care, may differ substantially. The scarcity of studies from Africa and South America represents both a research gap and a likely inequity in diagnosis, support, and long-term outcomes.</w:t>
      </w:r>
    </w:p>
    <w:p>
      <w:pPr>
        <w:pStyle w:val="Heading2"/>
      </w:pPr>
      <w:r>
        <w:rPr>
          <w:b w:val="0"/>
          <w:i w:val="0"/>
        </w:rPr>
        <w:t>Implications for Practice, Policy, and Research</w:t>
      </w:r>
    </w:p>
    <w:p>
      <w:pPr>
        <w:ind w:firstLine="720"/>
      </w:pPr>
      <w:r>
        <w:rPr>
          <w:b w:val="0"/>
          <w:i w:val="0"/>
        </w:rPr>
        <w:t>Five priorities emerge from this review. First, mental health screening should be integrated into standard MRKH diagnostic pathways, beginning at the time of diagnosis. Second, multidisciplinary care protocols should include psychology and social work alongside gynecology. Third, peer support infrastructure should be embedded within reproductive health services, building on the coping strategies individuals already use. Fourth, providers should be trained in psychosocially informed MRKH care, including sensitive communication about fertility and sexuality. Fifth, research investment should be expanded in low- and middle-income and underrepresented settings. Future studies should use standardized, validated mental health measures, longitudinal designs that follow individuals from diagnosis into adulthood, and trials of psychosocial interventions delivered within routine care.</w:t>
      </w:r>
    </w:p>
    <w:p>
      <w:pPr>
        <w:pStyle w:val="Heading2"/>
      </w:pPr>
      <w:r>
        <w:rPr>
          <w:b w:val="0"/>
          <w:i w:val="0"/>
        </w:rPr>
        <w:t>Strengths and Limitations</w:t>
      </w:r>
    </w:p>
    <w:p>
      <w:pPr>
        <w:ind w:firstLine="720"/>
      </w:pPr>
      <w:r>
        <w:rPr>
          <w:b w:val="0"/>
          <w:i w:val="0"/>
        </w:rPr>
        <w:t xml:space="preserve">Strengths of this review include the use of an established methodological framework, reporting according to PRISMA-ScR, a search of four major biomedical and psychological databases, and inclusion of quantitative, qualitative, and mixed-methods evidence. Several limitations should be noted. The review was limited to studies published from 2019 to 2026 and may therefore exclude earlier foundational research. Heterogeneity in study designs and outcome measures limits direct comparison across studies. Most studies came from high-income countries, limiting global generalizability, and some studies relied on self-reported mental health outcomes. Consistent with scoping review methodology, study quality was not formally appraised, and the counts reported here reflect how frequently outcomes were studied, not their prevalence. </w:t>
      </w:r>
      <w:r>
        <w:rPr>
          <w:b w:val="0"/>
          <w:i w:val="0"/>
          <w:highlight w:val="yellow"/>
        </w:rPr>
        <w:t>[Add, if applicable: English-language restriction; grey literature not searched.]</w:t>
      </w:r>
    </w:p>
    <w:p>
      <w:pPr>
        <w:pStyle w:val="Heading2"/>
      </w:pPr>
      <w:r>
        <w:rPr>
          <w:b w:val="0"/>
          <w:i w:val="0"/>
        </w:rPr>
        <w:t>Conclusions</w:t>
      </w:r>
    </w:p>
    <w:p>
      <w:pPr>
        <w:ind w:firstLine="720"/>
      </w:pPr>
      <w:r>
        <w:rPr>
          <w:b w:val="0"/>
          <w:i w:val="0"/>
        </w:rPr>
        <w:t>MRKH-related psychosocial burden is substantial yet under-integrated into care models. Depression, anxiety, reduced quality of life, and psychosexual challenges are frequently reported and often co-occurring, while coping mechanisms—though documented—remain unsupported by systematic clinical pathways. Multidisciplinary, mental health–inclusive care and greater research investment are urgently needed, particularly in underrepresented and low-resource settings, to address persistent inequities in diagnosis, support, and long-term outcomes.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w:t>
      </w:r>
      <w:r>
        <w:rPr>
          <w:b w:val="0"/>
          <w:i w:val="0"/>
          <w:highlight w:val="yellow"/>
        </w:rPr>
        <w:t>[Disclose any AI-assisted writing or editing per the target journal's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et al. Emotional and sexual wellness and quality of life in women with Rokitansky syndrome. </w:t>
      </w:r>
      <w:r>
        <w:rPr>
          <w:b w:val="0"/>
          <w:i/>
        </w:rPr>
        <w:t>Am J Obstet Gynecol</w:t>
      </w:r>
      <w:r>
        <w:rPr>
          <w:b w:val="0"/>
          <w:i w:val="0"/>
        </w:rPr>
        <w:t>. 2011;205(2):117.e1-117.e6.</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10.</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11.</w:t>
        <w:tab/>
        <w:t xml:space="preserve">Arksey H, O'Malley L. Scoping studies: towards a methodological framework. </w:t>
      </w:r>
      <w:r>
        <w:rPr>
          <w:b w:val="0"/>
          <w:i/>
        </w:rPr>
        <w:t>Int J Soc Res Methodol</w:t>
      </w:r>
      <w:r>
        <w:rPr>
          <w:b w:val="0"/>
          <w:i w:val="0"/>
        </w:rPr>
        <w:t>. 2005;8(1):19-32.</w:t>
      </w:r>
    </w:p>
    <w:p>
      <w:pPr>
        <w:ind w:left="504" w:hanging="504"/>
      </w:pPr>
      <w:r>
        <w:rPr>
          <w:b w:val="0"/>
          <w:i w:val="0"/>
        </w:rPr>
        <w:t>12.</w:t>
        <w:tab/>
        <w:t xml:space="preserve">Tricco AC, Lillie E, Zarin W, et al. PRISMA Extension for Scoping Reviews (PRISMA-ScR): checklist and explanation. </w:t>
      </w:r>
      <w:r>
        <w:rPr>
          <w:b w:val="0"/>
          <w:i/>
        </w:rPr>
        <w:t>Ann Intern Med</w:t>
      </w:r>
      <w:r>
        <w:rPr>
          <w:b w:val="0"/>
          <w:i w:val="0"/>
        </w:rPr>
        <w:t>. 2018;169(7):467-473.</w:t>
      </w:r>
    </w:p>
    <w:p>
      <w:pPr>
        <w:ind w:left="504" w:hanging="504"/>
      </w:pPr>
      <w:r>
        <w:rPr>
          <w:b w:val="0"/>
          <w:i w:val="0"/>
        </w:rPr>
        <w:t>13.</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w:t>
      </w:r>
    </w:p>
    <w:p>
      <w:r>
        <w:rPr>
          <w:b w:val="0"/>
          <w:i w:val="0"/>
          <w:highlight w:val="yellow"/>
        </w:rPr>
        <w:t>[Add citations for the 34 included studies (numbered in order of first citation, e.g., in Appendix B) per the target journal's style.]</w:t>
      </w:r>
    </w:p>
    <w:p>
      <w:pPr>
        <w:pStyle w:val="Heading1"/>
        <w:pageBreakBefore/>
      </w:pPr>
      <w:r>
        <w:rPr>
          <w:b w:val="0"/>
          <w:i w:val="0"/>
        </w:rPr>
        <w:t>Appendix A. Search Strategy</w:t>
      </w:r>
    </w:p>
    <w:p>
      <w:r>
        <w:rPr>
          <w:b w:val="0"/>
          <w:i w:val="0"/>
          <w:highlight w:val="yellow"/>
        </w:rPr>
        <w:t>[Paste the exact search string run in each database, the platform/interface used, the limits applied, the date each search was run, and the number of records retrieved per database (these should total 516).]</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2592"/>
        <w:gridCol w:w="2304"/>
        <w:gridCol w:w="2016"/>
        <w:gridCol w:w="2304"/>
      </w:tblGrid>
      <w:tr>
        <w:tc>
          <w:tcPr>
            <w:tcW w:type="dxa" w:w="2592"/>
            <w:shd w:val="clear" w:color="auto" w:fill="D9E2F3"/>
          </w:tcPr>
          <w:p>
            <w:pPr>
              <w:spacing w:line="240" w:lineRule="auto"/>
            </w:pPr>
            <w:r/>
            <w:r>
              <w:rPr>
                <w:b/>
                <w:i w:val="0"/>
                <w:sz w:val="20"/>
              </w:rPr>
              <w:t>Database</w:t>
            </w:r>
          </w:p>
        </w:tc>
        <w:tc>
          <w:tcPr>
            <w:tcW w:type="dxa" w:w="2304"/>
            <w:shd w:val="clear" w:color="auto" w:fill="D9E2F3"/>
          </w:tcPr>
          <w:p>
            <w:pPr>
              <w:spacing w:line="240" w:lineRule="auto"/>
            </w:pPr>
            <w:r/>
            <w:r>
              <w:rPr>
                <w:b/>
                <w:i w:val="0"/>
                <w:sz w:val="20"/>
              </w:rPr>
              <w:t>Platform</w:t>
            </w:r>
          </w:p>
        </w:tc>
        <w:tc>
          <w:tcPr>
            <w:tcW w:type="dxa" w:w="2016"/>
            <w:shd w:val="clear" w:color="auto" w:fill="D9E2F3"/>
          </w:tcPr>
          <w:p>
            <w:pPr>
              <w:spacing w:line="240" w:lineRule="auto"/>
            </w:pPr>
            <w:r/>
            <w:r>
              <w:rPr>
                <w:b/>
                <w:i w:val="0"/>
                <w:sz w:val="20"/>
              </w:rPr>
              <w:t>Date searched</w:t>
            </w:r>
          </w:p>
        </w:tc>
        <w:tc>
          <w:tcPr>
            <w:tcW w:type="dxa" w:w="2304"/>
            <w:shd w:val="clear" w:color="auto" w:fill="D9E2F3"/>
          </w:tcPr>
          <w:p>
            <w:pPr>
              <w:spacing w:line="240" w:lineRule="auto"/>
            </w:pPr>
            <w:r/>
            <w:r>
              <w:rPr>
                <w:b/>
                <w:i w:val="0"/>
                <w:sz w:val="20"/>
              </w:rPr>
              <w:t>Records retrieved</w:t>
            </w:r>
          </w:p>
        </w:tc>
      </w:tr>
      <w:tr>
        <w:tc>
          <w:tcPr>
            <w:tcW w:type="dxa" w:w="2592"/>
          </w:tcPr>
          <w:p>
            <w:pPr>
              <w:spacing w:line="240" w:lineRule="auto"/>
            </w:pPr>
            <w:r/>
            <w:r>
              <w:rPr>
                <w:b w:val="0"/>
                <w:i w:val="0"/>
                <w:sz w:val="20"/>
              </w:rPr>
              <w:t>PubMed/MEDLINE</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val="0"/>
                <w:i w:val="0"/>
                <w:sz w:val="20"/>
              </w:rPr>
              <w:t>Scopus</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val="0"/>
                <w:i w:val="0"/>
                <w:sz w:val="20"/>
              </w:rPr>
              <w:t>PsycINFO</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val="0"/>
                <w:i w:val="0"/>
                <w:sz w:val="20"/>
              </w:rPr>
              <w:t>CINAHL</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i w:val="0"/>
                <w:sz w:val="20"/>
              </w:rPr>
              <w:t>Total</w:t>
            </w:r>
          </w:p>
        </w:tc>
        <w:tc>
          <w:tcPr>
            <w:tcW w:type="dxa" w:w="2304"/>
          </w:tcPr>
          <w:p>
            <w:pPr>
              <w:spacing w:line="240" w:lineRule="auto"/>
            </w:pPr>
            <w:r/>
          </w:p>
        </w:tc>
        <w:tc>
          <w:tcPr>
            <w:tcW w:type="dxa" w:w="2016"/>
          </w:tcPr>
          <w:p>
            <w:pPr>
              <w:spacing w:line="240" w:lineRule="auto"/>
            </w:pPr>
            <w:r/>
          </w:p>
        </w:tc>
        <w:tc>
          <w:tcPr>
            <w:tcW w:type="dxa" w:w="2304"/>
          </w:tcPr>
          <w:p>
            <w:pPr>
              <w:spacing w:line="240" w:lineRule="auto"/>
            </w:pPr>
            <w:r/>
            <w:r>
              <w:rPr>
                <w:b/>
                <w:i w:val="0"/>
                <w:sz w:val="20"/>
              </w:rPr>
              <w:t>516</w:t>
            </w:r>
          </w:p>
        </w:tc>
      </w:tr>
    </w:tbl>
    <w:p>
      <w:pPr>
        <w:pStyle w:val="Heading1"/>
        <w:pageBreakBefore/>
      </w:pPr>
      <w:r>
        <w:rPr>
          <w:b w:val="0"/>
          <w:i w:val="0"/>
        </w:rPr>
        <w:t>Appendix B. Characteristics of Included Studies</w:t>
      </w:r>
    </w:p>
    <w:p>
      <w:r>
        <w:rPr>
          <w:b w:val="0"/>
          <w:i w:val="0"/>
          <w:highlight w:val="yellow"/>
        </w:rPr>
        <w:t>[Complete one row per included study from your data-charting form. Column totals must match the counts reported in the Results.]</w:t>
      </w:r>
    </w:p>
    <w:p>
      <w:pPr>
        <w:keepNext/>
        <w:spacing w:line="240" w:lineRule="auto" w:before="240" w:after="80"/>
      </w:pPr>
      <w:r>
        <w:rPr>
          <w:b/>
          <w:i w:val="0"/>
        </w:rPr>
        <w:t>Table B1.</w:t>
      </w:r>
      <w:r>
        <w:rPr>
          <w:b w:val="0"/>
          <w:i w:val="0"/>
        </w:rPr>
        <w:t xml:space="preserve"> Characteristics of included studies (N = 34)</w:t>
      </w:r>
    </w:p>
    <w:tbl>
      <w:tblPr>
        <w:tblStyle w:val="TableGrid"/>
        <w:tblW w:type="auto" w:w="0"/>
        <w:jc w:val="center"/>
        <w:tblLayout w:type="fixed"/>
        <w:tblLook w:firstColumn="1" w:firstRow="1" w:lastColumn="0" w:lastRow="0" w:noHBand="0" w:noVBand="1" w:val="04A0"/>
      </w:tblPr>
      <w:tblGrid>
        <w:gridCol w:w="432"/>
        <w:gridCol w:w="1440"/>
        <w:gridCol w:w="1008"/>
        <w:gridCol w:w="1152"/>
        <w:gridCol w:w="1152"/>
        <w:gridCol w:w="1584"/>
        <w:gridCol w:w="1296"/>
        <w:gridCol w:w="1152"/>
      </w:tblGrid>
      <w:tr>
        <w:tc>
          <w:tcPr>
            <w:tcW w:type="dxa" w:w="432"/>
            <w:shd w:val="clear" w:color="auto" w:fill="D9E2F3"/>
          </w:tcPr>
          <w:p>
            <w:pPr>
              <w:spacing w:line="240" w:lineRule="auto"/>
            </w:pPr>
            <w:r/>
            <w:r>
              <w:rPr>
                <w:b/>
                <w:i w:val="0"/>
                <w:sz w:val="16"/>
              </w:rPr>
              <w:t>#</w:t>
            </w:r>
          </w:p>
        </w:tc>
        <w:tc>
          <w:tcPr>
            <w:tcW w:type="dxa" w:w="1440"/>
            <w:shd w:val="clear" w:color="auto" w:fill="D9E2F3"/>
          </w:tcPr>
          <w:p>
            <w:pPr>
              <w:spacing w:line="240" w:lineRule="auto"/>
            </w:pPr>
            <w:r/>
            <w:r>
              <w:rPr>
                <w:b/>
                <w:i w:val="0"/>
                <w:sz w:val="16"/>
              </w:rPr>
              <w:t>Author (year)</w:t>
            </w:r>
          </w:p>
        </w:tc>
        <w:tc>
          <w:tcPr>
            <w:tcW w:type="dxa" w:w="1008"/>
            <w:shd w:val="clear" w:color="auto" w:fill="D9E2F3"/>
          </w:tcPr>
          <w:p>
            <w:pPr>
              <w:spacing w:line="240" w:lineRule="auto"/>
            </w:pPr>
            <w:r/>
            <w:r>
              <w:rPr>
                <w:b/>
                <w:i w:val="0"/>
                <w:sz w:val="16"/>
              </w:rPr>
              <w:t>Country</w:t>
            </w:r>
          </w:p>
        </w:tc>
        <w:tc>
          <w:tcPr>
            <w:tcW w:type="dxa" w:w="1152"/>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Sample (n; age)</w:t>
            </w:r>
          </w:p>
        </w:tc>
        <w:tc>
          <w:tcPr>
            <w:tcW w:type="dxa" w:w="1584"/>
            <w:shd w:val="clear" w:color="auto" w:fill="D9E2F3"/>
          </w:tcPr>
          <w:p>
            <w:pPr>
              <w:spacing w:line="240" w:lineRule="auto"/>
            </w:pPr>
            <w:r/>
            <w:r>
              <w:rPr>
                <w:b/>
                <w:i w:val="0"/>
                <w:sz w:val="16"/>
              </w:rPr>
              <w:t>Mental health outcomes</w:t>
            </w:r>
          </w:p>
        </w:tc>
        <w:tc>
          <w:tcPr>
            <w:tcW w:type="dxa" w:w="1296"/>
            <w:shd w:val="clear" w:color="auto" w:fill="D9E2F3"/>
          </w:tcPr>
          <w:p>
            <w:pPr>
              <w:spacing w:line="240" w:lineRule="auto"/>
            </w:pPr>
            <w:r/>
            <w:r>
              <w:rPr>
                <w:b/>
                <w:i w:val="0"/>
                <w:sz w:val="16"/>
              </w:rPr>
              <w:t>Coping mechanisms</w:t>
            </w:r>
          </w:p>
        </w:tc>
        <w:tc>
          <w:tcPr>
            <w:tcW w:type="dxa" w:w="1152"/>
            <w:shd w:val="clear" w:color="auto" w:fill="D9E2F3"/>
          </w:tcPr>
          <w:p>
            <w:pPr>
              <w:spacing w:line="240" w:lineRule="auto"/>
            </w:pPr>
            <w:r/>
            <w:r>
              <w:rPr>
                <w:b/>
                <w:i w:val="0"/>
                <w:sz w:val="16"/>
              </w:rPr>
              <w:t>Healthcare gaps</w:t>
            </w:r>
          </w:p>
        </w:tc>
      </w:tr>
      <w:tr>
        <w:tc>
          <w:tcPr>
            <w:tcW w:type="dxa" w:w="432"/>
          </w:tcPr>
          <w:p>
            <w:pPr>
              <w:spacing w:line="240" w:lineRule="auto"/>
            </w:pPr>
            <w:r/>
            <w:r>
              <w:rPr>
                <w:b w:val="0"/>
                <w:i w:val="0"/>
                <w:sz w:val="16"/>
              </w:rPr>
              <w:t>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 xml:space="preserve">Results; Figure 1 </w:t>
            </w:r>
            <w:r>
              <w:rPr>
                <w:b w:val="0"/>
                <w:i w:val="0"/>
                <w:sz w:val="20"/>
                <w:highlight w:val="yellow"/>
              </w:rPr>
              <w:t>[add full-text stage]</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