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10zfqkpmajg" w:id="0"/>
      <w:bookmarkEnd w:id="0"/>
      <w:r w:rsidDel="00000000" w:rsidR="00000000" w:rsidRPr="00000000">
        <w:rPr>
          <w:rtl w:val="0"/>
        </w:rPr>
        <w:t xml:space="preserve">US-009: Transférer un Véhicule Entre Sites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gestionnaire de stock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pouvoir transférer un véhicule d'un site à un autre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optimiser la disponibilité selon la demande locale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pp9qenvxko5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Sélection du site de destination dans une liste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Motif de transfert obligatoire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Workflow de validation si montant &gt; 500 000 DZD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automatique du bon de transfert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 au gestionnaire du site destinataire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Mise à jour automatique de la localisation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Normal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5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