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a0owwbt21el" w:id="0"/>
      <w:bookmarkEnd w:id="0"/>
      <w:r w:rsidDel="00000000" w:rsidR="00000000" w:rsidRPr="00000000">
        <w:rPr>
          <w:rtl w:val="0"/>
        </w:rPr>
        <w:t xml:space="preserve">US-012: Analyser la Rotation du Stock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directeur commercial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comprendre la vitesse de rotation par catégorie </w:t>
      </w:r>
      <w:r w:rsidDel="00000000" w:rsidR="00000000" w:rsidRPr="00000000">
        <w:rPr>
          <w:b w:val="1"/>
          <w:rtl w:val="0"/>
        </w:rPr>
        <w:t xml:space="preserve">Afin d'</w:t>
      </w:r>
      <w:r w:rsidDel="00000000" w:rsidR="00000000" w:rsidRPr="00000000">
        <w:rPr>
          <w:rtl w:val="0"/>
        </w:rPr>
        <w:t xml:space="preserve"> ajuster ma stratégie d'approvisionnement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bmnaqtwtsa8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Délai moyen de vente par catégorie/marque/modèle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Identification des best-sellers et slow-movers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Tendances sur les 12 derniers mois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Prédiction de rotation pour nouveaux véhicules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Recommandations d'actions concrètes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Export du rapport d'analyse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P2 - Normal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