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c7wqunzaz9w" w:id="0"/>
      <w:bookmarkEnd w:id="0"/>
      <w:r w:rsidDel="00000000" w:rsidR="00000000" w:rsidRPr="00000000">
        <w:rPr>
          <w:rtl w:val="0"/>
        </w:rPr>
        <w:t xml:space="preserve">US-004: Service Après-Vente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SAV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les demandes de service après-vente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maintenir la satisfaction client et fidéliser la clientèle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q0h4rhpgmn7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Création tickets SAV avec classification (garantie, entretien, panne)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statut interventions et délais de résolution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Base de connaissances des problèmes récurrents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Planification des maintenances préventives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Notifications rappels échéances (vidange, contrôle technique)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Facturation interventions avec pièces et main d'oeuvre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Enquête satisfaction post-intervention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