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t5273uspg9x" w:id="0"/>
      <w:bookmarkEnd w:id="0"/>
      <w:r w:rsidDel="00000000" w:rsidR="00000000" w:rsidRPr="00000000">
        <w:rPr>
          <w:rtl w:val="0"/>
        </w:rPr>
        <w:t xml:space="preserve">US-007: Étiquetage Énergétique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acheteur soucieux d'environnement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connaître la consommation et impact environnemental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faire un choix responsable et économique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i0ua7hieto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Affichage consommation réelle vs constructeur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coût carburant annuel selon prix DZ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Émissions CO2 avec classe environnementale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Comparaison consommation véhicules similaires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Éligibilité bonus écologique algérien (si applicable)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Coût total possession (carburant + entretien + assurance)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Labels environnementaux certifiés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