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bsgweu3nbm2" w:id="0"/>
      <w:bookmarkEnd w:id="0"/>
      <w:r w:rsidDel="00000000" w:rsidR="00000000" w:rsidRPr="00000000">
        <w:rPr>
          <w:rtl w:val="0"/>
        </w:rPr>
        <w:t xml:space="preserve">US-001: Référentiel Fournisseurs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responsable achats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maintenir un référentiel centralisé des fournisseurs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gérer efficacement mes relations commerciales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egz2xjpon0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Fiche fournisseur complète (coordonnées, contacts, spécialités)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Catégorisation par type (constructeur, importateur, concessionnaire)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Évaluation performance avec scoring automatisé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Documents légaux (RC, NIF, agrément) avec échéances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Conditions commerciales négociées par fournisseur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collaboration et incidents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Géolocalisation pour optimisation logistique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