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a4bkjrjhfac" w:id="0"/>
      <w:bookmarkEnd w:id="0"/>
      <w:r w:rsidDel="00000000" w:rsidR="00000000" w:rsidRPr="00000000">
        <w:rPr>
          <w:rtl w:val="0"/>
        </w:rPr>
        <w:t xml:space="preserve">US-008: Gestion Garanties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SAV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les garanties fournisseurs sur les véhicules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la prise en charge des réparations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d9elz1vvp0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Base garanties par fournisseur/marque/modèle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fin de garantie par véhicule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Procédures réclamation garantie dématérialisées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demandes garantie avec statuts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fournisseurs pour validation demandes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Facturation automatique hors garantie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coûts garantie vs ventes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