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8bkd3qschky" w:id="0"/>
      <w:bookmarkEnd w:id="0"/>
      <w:r w:rsidDel="00000000" w:rsidR="00000000" w:rsidRPr="00000000">
        <w:rPr>
          <w:rtl w:val="0"/>
        </w:rPr>
        <w:t xml:space="preserve">US-004: Alertes Financières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financier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être alerté des événements financiers critiques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maintenir une gestion financière optimale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ewjas2u4jtp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Alerte créances client dépassant seuil défini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encaissements importants en temps réel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Rappel échéances TVA et déclarations obligatoires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 découvert bancaire ou trésorerie faible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factures fournisseurs à valider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Rappel relances clients automatiques non envoyées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Dashboard financier avec indicateurs temps réel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