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p8zjyqssqs2" w:id="0"/>
      <w:bookmarkEnd w:id="0"/>
      <w:r w:rsidDel="00000000" w:rsidR="00000000" w:rsidRPr="00000000">
        <w:rPr>
          <w:rtl w:val="0"/>
        </w:rPr>
        <w:t xml:space="preserve">US-005: Notifications SAV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responsable service après-vente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être notifié des demandes SAV urgentes et échéances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maintenir un niveau de service optimal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n5mjr9szvsx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Alerte nouveaux tickets SAV selon gravité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Notification dépassement délai résolution SLA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Rappel échéances maintenances préventives clients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Alerte stock pièces détachées critique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Notification satisfaction client post-intervention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Escalade automatique tickets non traités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Tableau de bord temps réel performance SAV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