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xteo51cukku" w:id="0"/>
      <w:bookmarkEnd w:id="0"/>
      <w:r w:rsidDel="00000000" w:rsidR="00000000" w:rsidRPr="00000000">
        <w:rPr>
          <w:rtl w:val="0"/>
        </w:rPr>
        <w:t xml:space="preserve">US-003: Remboursements Clients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comptable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traiter les remboursements clients suite aux annulations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respecter les obligations légales et délais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ney2qduw5o9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Calcul automatique montant remboursement après déductions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différents modes de paiement (espèces, virement, CB)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Délais légaux remboursement selon réglementation algérienne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avoirs automatiques avec numérotation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validation financière avec justificatifs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trésorerie impact remboursements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Reporting remboursements pour audit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