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gtqe9l4oa8o" w:id="0"/>
      <w:bookmarkEnd w:id="0"/>
      <w:r w:rsidDel="00000000" w:rsidR="00000000" w:rsidRPr="00000000">
        <w:rPr>
          <w:rtl w:val="0"/>
        </w:rPr>
        <w:t xml:space="preserve">US-008: Single Sign-On (SSO)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employé entreprise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utiliser mes identifiants corporate pour accéder à la plateforme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simplifier ma connexion et renforcer la sécurité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y9wwxfz1yro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Intégration SAML 2.0 et OAuth 2.0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Active Directory et LDAP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Mapping automatique rôles depuis annuaire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Provisioning/deprovisioning utilisateurs automatique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Fallback authentification locale si SSO indisponible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configuration SSO pour admin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Logs audit SSO avec traçabilité complète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