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v643bonon2a" w:id="0"/>
      <w:bookmarkEnd w:id="0"/>
      <w:r w:rsidDel="00000000" w:rsidR="00000000" w:rsidRPr="00000000">
        <w:rPr>
          <w:rtl w:val="0"/>
        </w:rPr>
        <w:t xml:space="preserve">US-005: Scoring Profil de Risque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assureur partenaire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évaluer automatiquement le risque d'un prospect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ajuster ma tarification selon le profil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pg86pfhjugo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Algorithme scoring basé sur données conducteur (âge, historique)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base sinistralité véhicule par modèle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zone géographique et risque vol/vandalisme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Score comportement conduite si données télématiques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Ajustement prime automatique selon score risque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validation manuelle cas complexes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Machine learning amélioration prédictions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21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