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ibhon9mepok" w:id="0"/>
      <w:bookmarkEnd w:id="0"/>
      <w:r w:rsidDel="00000000" w:rsidR="00000000" w:rsidRPr="00000000">
        <w:rPr>
          <w:rtl w:val="0"/>
        </w:rPr>
        <w:t xml:space="preserve">US-004: Gérer le Statut d'un Véhicule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vendeur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changer rapidement le statut d'un véhicule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refléter sa disponibilité réelle en temps réel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2igt1rqg3ng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Liste déroulante avec tous les statuts possibles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Changement de statut en un clic depuis la liste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Confirmation requise pour statuts critiques (vendu, annulé)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Log automatique du changement avec horodatage et utilisateur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instantanée sur tous les canaux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Email automatique au client si véhicule réservé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Déclenchement du processus d'archivage si statut = "vendu" (voir US-017)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Impossibilité de modifier un véhicule archivé sans restauration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