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cx563vbawkm" w:id="0"/>
      <w:bookmarkEnd w:id="0"/>
      <w:r w:rsidDel="00000000" w:rsidR="00000000" w:rsidRPr="00000000">
        <w:rPr>
          <w:rtl w:val="0"/>
        </w:rPr>
        <w:t xml:space="preserve">US-006: Consulter le Tableau de Bord Stock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voir un tableau de bord synthétique du stock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prendre des décisions éclairées rapidement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zlelbc32mp2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KPIs visibles : valeur totale, nombre véhicules, taux rotation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Graphiques interactifs (répartition par catégorie, évolution)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Filtrage par période (jour, semaine, mois, année)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Drill-down possible sur chaque métrique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Actualisation automatique toutes les 5 minutes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Export PDF du tableau de bord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