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1no2b0dcsi" w:id="0"/>
      <w:bookmarkEnd w:id="0"/>
      <w:r w:rsidDel="00000000" w:rsidR="00000000" w:rsidRPr="00000000">
        <w:rPr>
          <w:rtl w:val="0"/>
        </w:rPr>
        <w:t xml:space="preserve">US-005: Gérer les Factures Récurrentes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administratif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automatiser les factures récurrentes pour les services périodiques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simplifier la facturation des maintenances et abonnements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ls8cz5zwp4i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Configuration des modèles de facturation récurrente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automatique des échéances (mensuel, trimestriel, annuel)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des factures selon la planification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automatique aux clients avant échéance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modifications de tarifs pour les factures futures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paiements automatisés (SATIM, CIB)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d'interrompre ou modifier une récurrence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