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82f7mjwfmfw" w:id="0"/>
      <w:bookmarkEnd w:id="0"/>
      <w:r w:rsidDel="00000000" w:rsidR="00000000" w:rsidRPr="00000000">
        <w:rPr>
          <w:rtl w:val="0"/>
        </w:rPr>
        <w:t xml:space="preserve">US-010: Conformité Comptable Algérie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expert-comptable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générer les états financiers conformes au SCF algérien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respecter les obligations légales et faciliter les audits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qj5c7931cx3n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Plan comptable conforme au Système Comptable Financier (SCF)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Génération automatique bilan et compte de résultat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États annexes requis par la réglementation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Journal général et grand livre conformes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Déclarations fiscales série G (G1, G4, G5)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Archive électronique légale des pièces comptables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Piste d'audit complète pour contrôles fiscaux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21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