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4woy9dvmsly" w:id="0"/>
      <w:bookmarkEnd w:id="0"/>
      <w:r w:rsidDel="00000000" w:rsidR="00000000" w:rsidRPr="00000000">
        <w:rPr>
          <w:rtl w:val="0"/>
        </w:rPr>
        <w:t xml:space="preserve">US-004: Scoring Rentabilité 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directeur financier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évaluer automatiquement la rentabilité potentielle de chaque véhicule </w:t>
      </w:r>
      <w:r w:rsidDel="00000000" w:rsidR="00000000" w:rsidRPr="00000000">
        <w:rPr>
          <w:b w:val="1"/>
          <w:rtl w:val="0"/>
        </w:rPr>
        <w:t xml:space="preserve">Afin d'</w:t>
      </w:r>
      <w:r w:rsidDel="00000000" w:rsidR="00000000" w:rsidRPr="00000000">
        <w:rPr>
          <w:rtl w:val="0"/>
        </w:rPr>
        <w:t xml:space="preserve"> optimiser mes décisions d'achat et de pricing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ivbocqiryifj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Calcul automatique marges prévisionnelles par véhicule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Intégration coûts réels (douane, transport, préparation)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Score rentabilité basé sur historique et prédictions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Analyse impact taxes algériennes sur rentabilité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Recommandations véhicules les plus profitables à acheter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Simulation ROI par scénario de prix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Alertes véhicules à marge insuffisante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P0 - Critique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13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