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okae4y1qrkq" w:id="0"/>
      <w:bookmarkEnd w:id="0"/>
      <w:r w:rsidDel="00000000" w:rsidR="00000000" w:rsidRPr="00000000">
        <w:rPr>
          <w:rtl w:val="0"/>
        </w:rPr>
        <w:t xml:space="preserve">US-001: Dashboard Executive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général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avoir une vue globale des performances de l'entreprise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prendre des décisions stratégiques éclairées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19704b53mu3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KPI principaux en temps réel (CA, marges, stock, clients)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Graphiques tendances avec comparatif n-1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visuelles sur objectifs en danger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Drill-down pour analyser les détails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Actualisation automatique toutes les heures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Accès mobile responsive pour consultation nomade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PDF pour comité de direction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