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meizgka2i2h" w:id="0"/>
      <w:bookmarkEnd w:id="0"/>
      <w:r w:rsidDel="00000000" w:rsidR="00000000" w:rsidRPr="00000000">
        <w:rPr>
          <w:rtl w:val="0"/>
        </w:rPr>
        <w:t xml:space="preserve">US-004: Analytics Financiers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directeur financier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analyser la santé financière de l'entreprise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piloter la trésorerie et la rentabilité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kz7ckdaytyxi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Suivi trésorerie prévisionnelle à 90 jours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Analyse marges par transaction et évolution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DSO (Days Sales Outstanding) et créances clients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Ratios financiers clés et benchmarks secteur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Cash-flow opérationnel vs prévisions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Analyse coûts par centre de profit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Reporting conformité fiscale algérienne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P0 - Critique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13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