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7dpti24xzsr" w:id="0"/>
      <w:bookmarkEnd w:id="0"/>
      <w:r w:rsidDel="00000000" w:rsidR="00000000" w:rsidRPr="00000000">
        <w:rPr>
          <w:rtl w:val="0"/>
        </w:rPr>
        <w:t xml:space="preserve">US-002: Gestion Retours Véhicules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SAV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les retours de véhicules vendus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traiter efficacement les cas de vice caché ou défaillance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7um6utojybu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Processus retour avec expertise contradictoire obligatoire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photographique complète du véhicule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Évaluation dépréciation et coûts reconditionnement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garantie constructeur et recours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Workflow validation juridique si contestation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Remise en stock après reconditionnement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Suivi impact financier par retour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