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tzins86gprl" w:id="0"/>
      <w:bookmarkEnd w:id="0"/>
      <w:r w:rsidDel="00000000" w:rsidR="00000000" w:rsidRPr="00000000">
        <w:rPr>
          <w:rtl w:val="0"/>
        </w:rPr>
        <w:t xml:space="preserve">US-009: Intégration Bancaire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client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payer mes primes d'assurance par tous moyens disponibles </w:t>
      </w:r>
      <w:r w:rsidDel="00000000" w:rsidR="00000000" w:rsidRPr="00000000">
        <w:rPr>
          <w:b w:val="1"/>
          <w:rtl w:val="0"/>
        </w:rPr>
        <w:t xml:space="preserve">Afin d'</w:t>
      </w:r>
      <w:r w:rsidDel="00000000" w:rsidR="00000000" w:rsidRPr="00000000">
        <w:rPr>
          <w:rtl w:val="0"/>
        </w:rPr>
        <w:t xml:space="preserve"> avoir la flexibilité de paiement adaptée à mes besoins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vatf9g6uy49z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Paiement SATIM, CIB, Dahabia pour marché algérien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Prélèvement automatique avec autorisation client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Paiement échelonné (mensuel, trimestriel, semestriel)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Passerelle bancaire sécurisée PCI-DSS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Notifications paiement temps réel client et courtier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Gestion impayés avec relances automatiques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Réconciliation automatique comptabilité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P1 - Important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21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