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ocibghpc5y1" w:id="0"/>
      <w:bookmarkEnd w:id="0"/>
      <w:r w:rsidDel="00000000" w:rsidR="00000000" w:rsidRPr="00000000">
        <w:rPr>
          <w:rtl w:val="0"/>
        </w:rPr>
        <w:t xml:space="preserve">US-010: Analytics Assurance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assurance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la performance de mon activité assurance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ma stratégie commerciale et partenariats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fg0xui4br5x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KPI assurance (CA, commissions, rétention)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rentabilité par assureur et produit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transformation devis en contrat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Sinistralité portefeuille vs market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Performance commerciale équipe par objectifs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résiliations avec scoring churn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ROI campagnes marketing assurance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