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80"/>
        <w:jc w:val="center"/>
      </w:pPr>
      <w:r>
        <w:rPr>
          <w:b/>
          <w:bCs/>
          <w:color w:val="1F5BA8"/>
          <w:spacing w:val="60"/>
          <w:sz w:val="26"/>
          <w:szCs w:val="26"/>
        </w:rPr>
        <w:t xml:space="preserve">ADLM STUDIO</w:t>
      </w:r>
    </w:p>
    <w:p>
      <w:pPr>
        <w:pBdr>
          <w:bottom w:val="single" w:color="1F5BA8" w:sz="12" w:space="8"/>
        </w:pBdr>
        <w:spacing w:after="360"/>
        <w:jc w:val="center"/>
      </w:pPr>
    </w:p>
    <w:p>
      <w:pPr>
        <w:spacing w:after="240"/>
        <w:jc w:val="center"/>
      </w:pPr>
      <w:r>
        <w:rPr>
          <w:b/>
          <w:bCs/>
          <w:color w:val="16365C"/>
          <w:sz w:val="48"/>
          <w:szCs w:val="48"/>
        </w:rPr>
        <w:t xml:space="preserve">ADLM Website — Project Workspace Feature Documentation</w:t>
      </w:r>
    </w:p>
    <w:p>
      <w:pPr>
        <w:spacing w:after="200"/>
        <w:jc w:val="center"/>
      </w:pPr>
      <w:r>
        <w:rPr>
          <w:b/>
          <w:bCs/>
          <w:i/>
          <w:iCs/>
          <w:color w:val="6B7280"/>
          <w:sz w:val="24"/>
          <w:szCs w:val="24"/>
        </w:rPr>
        <w:t xml:space="preserve">What you can do on the ADLM web platform after saving a project from the desktop plugins (QUIV / HERON / CIVIQ / Revit MEP).</w:t>
      </w:r>
    </w:p>
    <w:p>
      <w:pPr>
        <w:spacing w:after="140" w:line="288"/>
        <w:ind w:left="900" w:right="900"/>
        <w:jc w:val="center"/>
      </w:pPr>
      <w:r>
        <w:rPr>
          <w:color w:val="222222"/>
        </w:rPr>
        <w:t xml:space="preserve">This document is the definitive feature reference for everything that happens </w:t>
      </w:r>
      <w:r>
        <w:rPr>
          <w:i/>
          <w:iCs/>
          <w:color w:val="222222"/>
        </w:rPr>
        <w:t xml:space="preserve">after</w:t>
      </w:r>
      <w:r>
        <w:rPr>
          <w:color w:val="222222"/>
        </w:rPr>
        <w:t xml:space="preserve"> a takeoff is saved to the cloud: rate generation, the Bill of Quantities, material &amp; labour schedules with pricing, the variation tracker, the contract tracker, interim valuation &amp; payment certificates, the Work Breakdown Structure (WBS), cost-to-WBS linking, and earned-value project controls. Every feature described here is implemented in the current codebase.</w:t>
      </w:r>
    </w:p>
    <w:p>
      <w:pPr>
        <w:spacing w:before="2200"/>
        <w:jc w:val="center"/>
      </w:pPr>
      <w:r>
        <w:rPr>
          <w:color w:val="6B7280"/>
          <w:sz w:val="18"/>
          <w:szCs w:val="18"/>
        </w:rPr>
        <w:t xml:space="preserve">Feature reference — generated from the current product codebase</w:t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1F5BA8" w:sz="6" w:space="4"/>
        </w:pBdr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5BA8" w:sz="6" w:space="4"/>
        </w:pBdr>
      </w:pPr>
      <w:r>
        <w:t xml:space="preserve">1. The big picture</w:t>
      </w:r>
    </w:p>
    <w:p>
      <w:pPr>
        <w:spacing w:after="120" w:line="276"/>
      </w:pPr>
      <w:r>
        <w:rPr>
          <w:color w:val="222222"/>
        </w:rPr>
        <w:t xml:space="preserve">The ADLM Website is the cloud workspace and quantity-surveying brain that sits behind the ADLM desktop takeoff plugins. The workflow is: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2"/>
              <w:left w:val="single" w:color="2E74B5" w:sz="18"/>
              <w:bottom w:val="single" w:color="D5DCE4" w:sz="2"/>
              <w:right w:val="single" w:color="D5DCE4" w:sz="2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   Desktop model            ADLM Cloud (this website)              Outputs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 ┌────────────────┐      ┌──────────────────────────────┐    ┌──────────────────┐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 │ Revit / PlanSwift│ save │  Priced BOQ → Rate Gen        │    │ Excel BOQ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 │ / Civil 3D model │─────▶│  Material/Labour schedules    │───▶│ Payment certs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 │  (QUIV/HERON/    │ open │  Contract + Variation tracker │    │ Final account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 │   CIVIQ plugins) │◀─────│  WBS + EVM project controls   │    │ Public dashboard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 └────────────────┘ from   └──────────────────────────────┘    └──────────────────┘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                    cloud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color w:val="222222"/>
        </w:rPr>
        <w:t xml:space="preserve">A takeoff done in the plugin is </w:t>
      </w:r>
      <w:r>
        <w:rPr>
          <w:b/>
          <w:bCs/>
          <w:color w:val="222222"/>
        </w:rPr>
        <w:t xml:space="preserve">saved to the cloud as a project</w:t>
      </w:r>
      <w:r>
        <w:rPr>
          <w:color w:val="222222"/>
        </w:rPr>
        <w:t xml:space="preserve">. On the website that project becomes a fully editable, priced </w:t>
      </w:r>
      <w:r>
        <w:rPr>
          <w:b/>
          <w:bCs/>
          <w:color w:val="222222"/>
        </w:rPr>
        <w:t xml:space="preserve">Bill of Quantities</w:t>
      </w:r>
      <w:r>
        <w:rPr>
          <w:color w:val="222222"/>
        </w:rPr>
        <w:t xml:space="preserve">, which then drives everything downstream: rates, schedules, the contract baseline, variations, payment certificates, the work programme (WBS), and earned-value reporting — all sharable with the client through a live read-only dashboard. Changes made on the web can be pulled back into the plugin via </w:t>
      </w:r>
      <w:r>
        <w:rPr>
          <w:b/>
          <w:bCs/>
          <w:color w:val="222222"/>
        </w:rPr>
        <w:t xml:space="preserve">Open from Cloud</w:t>
      </w:r>
      <w:r>
        <w:rPr>
          <w:color w:val="222222"/>
        </w:rPr>
        <w:t xml:space="preserve">, so the model and the commercial data stay in step.</w:t>
      </w:r>
    </w:p>
    <w:p>
      <w:pPr>
        <w:spacing w:after="120" w:line="276"/>
      </w:pPr>
      <w:r>
        <w:rPr>
          <w:color w:val="222222"/>
        </w:rPr>
        <w:t xml:space="preserve">The platform is </w:t>
      </w:r>
      <w:r>
        <w:rPr>
          <w:b/>
          <w:bCs/>
          <w:color w:val="222222"/>
        </w:rPr>
        <w:t xml:space="preserve">Naira-native</w:t>
      </w:r>
      <w:r>
        <w:rPr>
          <w:color w:val="222222"/>
        </w:rPr>
        <w:t xml:space="preserve"> (NGN) and built around </w:t>
      </w:r>
      <w:r>
        <w:rPr>
          <w:b/>
          <w:bCs/>
          <w:color w:val="222222"/>
        </w:rPr>
        <w:t xml:space="preserve">Nigerian QS practice</w:t>
      </w:r>
      <w:r>
        <w:rPr>
          <w:color w:val="222222"/>
        </w:rPr>
        <w:t xml:space="preserve"> — BESMM4 preliminaries, NRM2 / SMM7 work-section structure, and the Nigerian BOQ serial-letter convention.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1F5BA8" w:sz="6" w:space="4"/>
        </w:pBdr>
      </w:pPr>
      <w:r>
        <w:t xml:space="preserve">2. The plugin suite &amp; how projects arrive</w:t>
      </w:r>
    </w:p>
    <w:p>
      <w:pPr>
        <w:pStyle w:val="Heading2"/>
      </w:pPr>
      <w:r>
        <w:t xml:space="preserve">2.1 The plugins and what they map to</w:t>
      </w:r>
    </w:p>
    <w:p>
      <w:pPr>
        <w:spacing w:after="120" w:line="276"/>
      </w:pPr>
      <w:r>
        <w:rPr>
          <w:color w:val="222222"/>
        </w:rPr>
        <w:t xml:space="preserve">Each desktop plugin is a different takeoff source. Internally the platform identifies the source by a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productKey</w:t>
      </w:r>
      <w:r>
        <w:rPr>
          <w:color w:val="222222"/>
        </w:rPr>
        <w:t xml:space="preserve">, and the discipline (structural/architectural vs services) follows from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76"/>
        <w:gridCol w:w="1000"/>
        <w:gridCol w:w="3484"/>
      </w:tblGrid>
      <w:tr>
        <w:trPr>
          <w:tblHeader/>
        </w:trPr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5BA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Brand name</w:t>
            </w:r>
          </w:p>
        </w:tc>
        <w:tc>
          <w:tcPr>
            <w:tcW w:type="dxa" w:w="387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5BA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5BA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3A57"/>
                <w:sz w:val="19"/>
                <w:szCs w:val="19"/>
                <w:shd w:fill="EEF1F4" w:val="clear"/>
              </w:rPr>
              <w:t xml:space="preserve">productKey</w:t>
            </w:r>
          </w:p>
        </w:tc>
        <w:tc>
          <w:tcPr>
            <w:tcW w:type="dxa" w:w="3484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5BA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Discipline categories produced</w:t>
            </w:r>
          </w:p>
        </w:tc>
      </w:tr>
      <w:tr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QUIV</w:t>
            </w:r>
          </w:p>
        </w:tc>
        <w:tc>
          <w:tcPr>
            <w:tcW w:type="dxa" w:w="387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Autodesk Revit (Architectural/Structural)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B3A57"/>
                <w:sz w:val="19"/>
                <w:szCs w:val="19"/>
                <w:shd w:fill="EEF1F4" w:val="clear"/>
              </w:rPr>
              <w:t xml:space="preserve">revit</w:t>
            </w:r>
          </w:p>
        </w:tc>
        <w:tc>
          <w:tcPr>
            <w:tcW w:type="dxa" w:w="3484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Substructure · Frames · Superstructure</w:t>
            </w:r>
          </w:p>
        </w:tc>
      </w:tr>
      <w:tr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HERON</w:t>
            </w:r>
          </w:p>
        </w:tc>
        <w:tc>
          <w:tcPr>
            <w:tcW w:type="dxa" w:w="387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PlanSwift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B3A57"/>
                <w:sz w:val="19"/>
                <w:szCs w:val="19"/>
                <w:shd w:fill="EEF1F4" w:val="clear"/>
              </w:rPr>
              <w:t xml:space="preserve">planswift</w:t>
            </w:r>
          </w:p>
        </w:tc>
        <w:tc>
          <w:tcPr>
            <w:tcW w:type="dxa" w:w="3484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Substructure · Frames · Superstructure</w:t>
            </w:r>
          </w:p>
        </w:tc>
      </w:tr>
      <w:tr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CIVIQ</w:t>
            </w:r>
          </w:p>
        </w:tc>
        <w:tc>
          <w:tcPr>
            <w:tcW w:type="dxa" w:w="387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Autodesk Civil 3D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B3A57"/>
                <w:sz w:val="19"/>
                <w:szCs w:val="19"/>
                <w:shd w:fill="EEF1F4" w:val="clear"/>
              </w:rPr>
              <w:t xml:space="preserve">civil3d</w:t>
            </w:r>
          </w:p>
        </w:tc>
        <w:tc>
          <w:tcPr>
            <w:tcW w:type="dxa" w:w="3484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Substructure · Frames · Superstructure</w:t>
            </w:r>
          </w:p>
        </w:tc>
      </w:tr>
      <w:tr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Revit MEP</w:t>
            </w:r>
          </w:p>
        </w:tc>
        <w:tc>
          <w:tcPr>
            <w:tcW w:type="dxa" w:w="387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Autodesk Revit (Services)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B3A57"/>
                <w:sz w:val="19"/>
                <w:szCs w:val="19"/>
                <w:shd w:fill="EEF1F4" w:val="clear"/>
              </w:rPr>
              <w:t xml:space="preserve">revitmep</w:t>
            </w:r>
          </w:p>
        </w:tc>
        <w:tc>
          <w:tcPr>
            <w:tcW w:type="dxa" w:w="3484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HVAC · Plumbing · Electrical</w:t>
            </w:r>
          </w:p>
        </w:tc>
      </w:tr>
    </w:tbl>
    <w:p>
      <w:pPr>
        <w:spacing w:after="80"/>
      </w:pPr>
    </w:p>
    <w:p>
      <w:pPr>
        <w:pBdr>
          <w:left w:val="single" w:color="1F5BA8" w:sz="24" w:space="8"/>
        </w:pBdr>
        <w:shd w:fill="EEF4FB" w:val="clear"/>
        <w:spacing w:after="140" w:before="80" w:line="264"/>
        <w:ind w:left="240" w:right="200"/>
      </w:pPr>
      <w:r>
        <w:rPr>
          <w:b/>
          <w:bCs/>
          <w:color w:val="33475B"/>
        </w:rPr>
        <w:t xml:space="preserve">Naming note:</w:t>
      </w:r>
      <w:r>
        <w:rPr>
          <w:color w:val="33475B"/>
        </w:rPr>
        <w:t xml:space="preserve"> in the code the services split is driven by whether the product key contains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mep</w:t>
      </w:r>
      <w:r>
        <w:rPr>
          <w:color w:val="33475B"/>
        </w:rPr>
        <w:t xml:space="preserve">. QUIV/HERON/CIVIQ all produce the structural/architectural category set (Substructure/Frames/Superstructure); the MEP plugin produces the services set (HVAC/Plumbing/Electrical). Each plugin also has a paired </w:t>
      </w:r>
      <w:r>
        <w:rPr>
          <w:b/>
          <w:bCs/>
          <w:color w:val="33475B"/>
        </w:rPr>
        <w:t xml:space="preserve">materials</w:t>
      </w:r>
      <w:r>
        <w:rPr>
          <w:color w:val="33475B"/>
        </w:rPr>
        <w:t xml:space="preserve"> mode (e.g.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revit-materials</w:t>
      </w:r>
      <w:r>
        <w:rPr>
          <w:color w:val="33475B"/>
        </w:rPr>
        <w:t xml:space="preserve">) used for the material/labour schedule.</w:t>
      </w:r>
    </w:p>
    <w:p>
      <w:pPr>
        <w:spacing w:after="120" w:line="276"/>
      </w:pPr>
      <w:r>
        <w:rPr>
          <w:color w:val="222222"/>
        </w:rPr>
        <w:t xml:space="preserve">Every project — whatever the source plugin — lives in </w:t>
      </w:r>
      <w:r>
        <w:rPr>
          <w:b/>
          <w:bCs/>
          <w:color w:val="222222"/>
        </w:rPr>
        <w:t xml:space="preserve">one unified project model</w:t>
      </w:r>
      <w:r>
        <w:rPr>
          <w:color w:val="222222"/>
        </w:rPr>
        <w:t xml:space="preserve"> and gains the </w:t>
      </w:r>
      <w:r>
        <w:rPr>
          <w:i/>
          <w:iCs/>
          <w:color w:val="222222"/>
        </w:rPr>
        <w:t xml:space="preserve">same</w:t>
      </w:r>
      <w:r>
        <w:rPr>
          <w:color w:val="222222"/>
        </w:rPr>
        <w:t xml:space="preserve"> downstream toolset (BOQ, rates, contract, variations, certificates, WBS, EVM). The plugin only determines the takeoff content and the default classification set.</w:t>
      </w:r>
    </w:p>
    <w:p>
      <w:pPr>
        <w:pStyle w:val="Heading2"/>
      </w:pPr>
      <w:r>
        <w:t xml:space="preserve">2.2 Saving a project (the save flow)</w:t>
      </w:r>
    </w:p>
    <w:p>
      <w:pPr>
        <w:spacing w:after="120" w:line="276"/>
      </w:pPr>
      <w:r>
        <w:rPr>
          <w:color w:val="222222"/>
        </w:rPr>
        <w:t xml:space="preserve">When a user clicks </w:t>
      </w:r>
      <w:r>
        <w:rPr>
          <w:b/>
          <w:bCs/>
          <w:color w:val="222222"/>
        </w:rPr>
        <w:t xml:space="preserve">Save to Cloud</w:t>
      </w:r>
      <w:r>
        <w:rPr>
          <w:color w:val="222222"/>
        </w:rPr>
        <w:t xml:space="preserve"> in a plugin, the plugin signs in to the ADLM API and posts the takeoff: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The project is created/updated through the ADLM API (no direct database access from the plugin).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Entitlement-gated:</w:t>
      </w:r>
      <w:r>
        <w:rPr>
          <w:color w:val="222222"/>
        </w:rPr>
        <w:t xml:space="preserve"> the save only succeeds if the user holds an </w:t>
      </w:r>
      <w:r>
        <w:rPr>
          <w:b/>
          <w:bCs/>
          <w:color w:val="222222"/>
        </w:rPr>
        <w:t xml:space="preserve">active subscription</w:t>
      </w:r>
      <w:r>
        <w:rPr>
          <w:color w:val="222222"/>
        </w:rPr>
        <w:t xml:space="preserve"> for that plugin. Expired or missing subscriptions are rejected with a clear "No active subscription" / "Subscription expired" message.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What's saved:</w:t>
      </w:r>
      <w:r>
        <w:rPr>
          <w:color w:val="222222"/>
        </w:rPr>
        <w:t xml:space="preserve"> the project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name</w:t>
      </w:r>
      <w:r>
        <w:rPr>
          <w:color w:val="222222"/>
        </w:rPr>
        <w:t xml:space="preserve">, the takeoff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items</w:t>
      </w:r>
      <w:r>
        <w:rPr>
          <w:color w:val="222222"/>
        </w:rPr>
        <w:t xml:space="preserve"> (each line: description, quantity, unit, rate, level/floor, type/code, and the Revit element IDs behind it), plus model identity metadata so re-saves update the same project instead of duplicating it.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Safe re-saves:</w:t>
      </w:r>
      <w:r>
        <w:rPr>
          <w:color w:val="222222"/>
        </w:rPr>
        <w:t xml:space="preserve"> every save carries a version number. If two edits collide, the platform returns a version conflict rather than silently overwriting — so cloud edits and plugin re-saves never clobber each other.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Auto-classification on arrival:</w:t>
      </w:r>
      <w:r>
        <w:rPr>
          <w:color w:val="222222"/>
        </w:rPr>
        <w:t xml:space="preserve"> each item is automatically tagged with a </w:t>
      </w:r>
      <w:r>
        <w:rPr>
          <w:b/>
          <w:bCs/>
          <w:color w:val="222222"/>
        </w:rPr>
        <w:t xml:space="preserve">Category</w:t>
      </w:r>
      <w:r>
        <w:rPr>
          <w:color w:val="222222"/>
        </w:rPr>
        <w:t xml:space="preserve"> (building element) and a </w:t>
      </w:r>
      <w:r>
        <w:rPr>
          <w:b/>
          <w:bCs/>
          <w:color w:val="222222"/>
        </w:rPr>
        <w:t xml:space="preserve">Trade</w:t>
      </w:r>
      <w:r>
        <w:rPr>
          <w:color w:val="222222"/>
        </w:rPr>
        <w:t xml:space="preserve"> (work section) if the plugin didn't supply one, so the BOQ is organised the moment it lands.</w:t>
      </w:r>
    </w:p>
    <w:p>
      <w:pPr>
        <w:spacing w:after="120" w:line="276"/>
      </w:pPr>
      <w:r>
        <w:rPr>
          <w:color w:val="222222"/>
        </w:rPr>
        <w:t xml:space="preserve">There is also a </w:t>
      </w:r>
      <w:r>
        <w:rPr>
          <w:b/>
          <w:bCs/>
          <w:color w:val="222222"/>
        </w:rPr>
        <w:t xml:space="preserve">unified save</w:t>
      </w:r>
      <w:r>
        <w:rPr>
          <w:color w:val="222222"/>
        </w:rPr>
        <w:t xml:space="preserve"> path that, in one call, persists both the priced takeoff </w:t>
      </w:r>
      <w:r>
        <w:rPr>
          <w:i/>
          <w:iCs/>
          <w:color w:val="222222"/>
        </w:rPr>
        <w:t xml:space="preserve">and</w:t>
      </w:r>
      <w:r>
        <w:rPr>
          <w:color w:val="222222"/>
        </w:rPr>
        <w:t xml:space="preserve"> its derived material/labour schedule (the QUIV material-rate upgrade), returning a proposed-vs-actual profit-margin summary.</w:t>
      </w:r>
    </w:p>
    <w:p>
      <w:pPr>
        <w:pStyle w:val="Heading2"/>
      </w:pPr>
      <w:r>
        <w:t xml:space="preserve">2.3 Open from Cloud</w:t>
      </w:r>
    </w:p>
    <w:p>
      <w:pPr>
        <w:spacing w:after="120" w:line="276"/>
      </w:pPr>
      <w:r>
        <w:rPr>
          <w:color w:val="222222"/>
        </w:rPr>
        <w:t xml:space="preserve">Every project shows a copyable </w:t>
      </w:r>
      <w:r>
        <w:rPr>
          <w:b/>
          <w:bCs/>
          <w:color w:val="222222"/>
        </w:rPr>
        <w:t xml:space="preserve">Project ID</w:t>
      </w:r>
      <w:r>
        <w:rPr>
          <w:color w:val="222222"/>
        </w:rPr>
        <w:t xml:space="preserve">. Pasting that ID into the plugin's </w:t>
      </w:r>
      <w:r>
        <w:rPr>
          <w:b/>
          <w:bCs/>
          <w:color w:val="222222"/>
        </w:rPr>
        <w:t xml:space="preserve">Open from Cloud</w:t>
      </w:r>
      <w:r>
        <w:rPr>
          <w:color w:val="222222"/>
        </w:rPr>
        <w:t xml:space="preserve"> dialog pulls the cloud project (including any rates and edits made on the web) back into the desktop model — the round-trip that keeps the model and the commercial data synchronised.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1F5BA8" w:sz="6" w:space="4"/>
        </w:pBdr>
      </w:pPr>
      <w:r>
        <w:t xml:space="preserve">3. The project workspace</w:t>
      </w:r>
    </w:p>
    <w:p>
      <w:pPr>
        <w:pStyle w:val="Heading2"/>
      </w:pPr>
      <w:r>
        <w:t xml:space="preserve">3.1 The project explorer</w:t>
      </w:r>
    </w:p>
    <w:p>
      <w:pPr>
        <w:spacing w:after="120" w:line="276"/>
      </w:pPr>
      <w:r>
        <w:rPr>
          <w:color w:val="222222"/>
        </w:rPr>
        <w:t xml:space="preserve">After saving, the user lands in the </w:t>
      </w:r>
      <w:r>
        <w:rPr>
          <w:b/>
          <w:bCs/>
          <w:color w:val="222222"/>
        </w:rPr>
        <w:t xml:space="preserve">project explorer</w:t>
      </w:r>
      <w:r>
        <w:rPr>
          <w:color w:val="222222"/>
        </w:rPr>
        <w:t xml:space="preserve"> for that plugin — a folder-card grid where each saved project is a card showing: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Project name and a 📁 folder icon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Item count</w:t>
      </w:r>
      <w:r>
        <w:rPr>
          <w:color w:val="222222"/>
        </w:rPr>
        <w:t xml:space="preserve"> (number of takeoff lines)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Last-updated timestamp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Roll-up totals at the section header: total cost, valued amount, progress</w:t>
      </w:r>
    </w:p>
    <w:p>
      <w:pPr>
        <w:spacing w:after="120" w:line="276"/>
      </w:pPr>
      <w:r>
        <w:rPr>
          <w:color w:val="222222"/>
        </w:rPr>
        <w:t xml:space="preserve">The most recently saved project appears at the top. Cards support multi-select, per-card delete, "delete selected" and "delete all". Clicking a card opens the project.</w:t>
      </w:r>
    </w:p>
    <w:p>
      <w:pPr>
        <w:pStyle w:val="Heading2"/>
      </w:pPr>
      <w:r>
        <w:t xml:space="preserve">3.2 The four working tabs</w:t>
      </w:r>
    </w:p>
    <w:p>
      <w:pPr>
        <w:spacing w:after="120" w:line="276"/>
      </w:pPr>
      <w:r>
        <w:rPr>
          <w:color w:val="222222"/>
        </w:rPr>
        <w:t xml:space="preserve">Opening a project reveals four tabs — the heart of the workspace: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rPr>
          <w:tblHeader/>
        </w:trPr>
        <w:tc>
          <w:tcPr>
            <w:tcW w:type="dxa" w:w="10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5BA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83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5BA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0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Dashboard</w:t>
            </w:r>
          </w:p>
        </w:tc>
        <w:tc>
          <w:tcPr>
            <w:tcW w:type="dxa" w:w="83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Progress and cost summary at a glance — gross value, valued (earned) amount, remaining, % complete</w:t>
            </w:r>
          </w:p>
        </w:tc>
      </w:tr>
      <w:tr>
        <w:tc>
          <w:tcPr>
            <w:tcW w:type="dxa" w:w="10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Bill of Quantity</w:t>
            </w:r>
          </w:p>
        </w:tc>
        <w:tc>
          <w:tcPr>
            <w:tcW w:type="dxa" w:w="83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The main work surface: priced line items, rate application, categories/trades, preliminaries, PC sums, variations, contract lock</w:t>
            </w:r>
          </w:p>
        </w:tc>
      </w:tr>
      <w:tr>
        <w:tc>
          <w:tcPr>
            <w:tcW w:type="dxa" w:w="10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PM Dashboard</w:t>
            </w:r>
          </w:p>
        </w:tc>
        <w:tc>
          <w:tcPr>
            <w:tcW w:type="dxa" w:w="83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The work programme: WBS/tasks, schedule, earned-value (EVM) metrics, risk register, issue log</w:t>
            </w:r>
          </w:p>
        </w:tc>
      </w:tr>
      <w:tr>
        <w:tc>
          <w:tcPr>
            <w:tcW w:type="dxa" w:w="10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Valuation</w:t>
            </w:r>
          </w:p>
        </w:tc>
        <w:tc>
          <w:tcPr>
            <w:tcW w:type="dxa" w:w="83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Interim payment certificates, the daily valuation log, retention/VAT/WHT settings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222222"/>
        </w:rPr>
        <w:t xml:space="preserve">The header also surfaces the </w:t>
      </w:r>
      <w:r>
        <w:rPr>
          <w:b/>
          <w:bCs/>
          <w:color w:val="222222"/>
        </w:rPr>
        <w:t xml:space="preserve">Project ID</w:t>
      </w:r>
      <w:r>
        <w:rPr>
          <w:color w:val="222222"/>
        </w:rPr>
        <w:t xml:space="preserve"> (for Open from Cloud), a </w:t>
      </w:r>
      <w:r>
        <w:rPr>
          <w:b/>
          <w:bCs/>
          <w:color w:val="222222"/>
        </w:rPr>
        <w:t xml:space="preserve">contract lock/draft badge</w:t>
      </w:r>
      <w:r>
        <w:rPr>
          <w:color w:val="222222"/>
        </w:rPr>
        <w:t xml:space="preserve">, and a </w:t>
      </w:r>
      <w:r>
        <w:rPr>
          <w:b/>
          <w:bCs/>
          <w:color w:val="222222"/>
        </w:rPr>
        <w:t xml:space="preserve">Share Dashboard</w:t>
      </w:r>
      <w:r>
        <w:rPr>
          <w:color w:val="222222"/>
        </w:rPr>
        <w:t xml:space="preserve"> control that produces a public client link.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1F5BA8" w:sz="6" w:space="4"/>
        </w:pBdr>
      </w:pPr>
      <w:r>
        <w:t xml:space="preserve">4. Bill of Quantities (BOQ)</w:t>
      </w:r>
    </w:p>
    <w:p>
      <w:pPr>
        <w:spacing w:after="120" w:line="276"/>
      </w:pPr>
      <w:r>
        <w:rPr>
          <w:color w:val="222222"/>
        </w:rPr>
        <w:t xml:space="preserve">The BOQ is generated automatically from the saved takeoff and presented as a fully editable, priced bill. It is the central artefact from which rates, schedules, the contract, and certificates all flow.</w:t>
      </w:r>
    </w:p>
    <w:p>
      <w:pPr>
        <w:pStyle w:val="Heading2"/>
      </w:pPr>
      <w:r>
        <w:t xml:space="preserve">4.1 The BOQ work surface</w:t>
      </w:r>
    </w:p>
    <w:p>
      <w:pPr>
        <w:spacing w:after="120" w:line="276"/>
      </w:pPr>
      <w:r>
        <w:rPr>
          <w:color w:val="222222"/>
        </w:rPr>
        <w:t xml:space="preserve">The bill is a spreadsheet-grade table. Columns:</w:t>
      </w:r>
    </w:p>
    <w:p>
      <w:pPr>
        <w:spacing w:after="120" w:line="276"/>
      </w:pP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S/N</w:t>
      </w:r>
      <w:r>
        <w:rPr>
          <w:color w:val="222222"/>
        </w:rPr>
        <w:t xml:space="preserve"> ·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Status</w:t>
      </w:r>
      <w:r>
        <w:rPr>
          <w:color w:val="222222"/>
        </w:rPr>
        <w:t xml:space="preserve"> (✓ + % complete) ·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Description</w:t>
      </w:r>
      <w:r>
        <w:rPr>
          <w:color w:val="222222"/>
        </w:rPr>
        <w:t xml:space="preserve"> ·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Qty</w:t>
      </w:r>
      <w:r>
        <w:rPr>
          <w:color w:val="222222"/>
        </w:rPr>
        <w:t xml:space="preserve"> ·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Unit</w:t>
      </w:r>
      <w:r>
        <w:rPr>
          <w:color w:val="222222"/>
        </w:rPr>
        <w:t xml:space="preserve"> ·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Rate</w:t>
      </w:r>
      <w:r>
        <w:rPr>
          <w:color w:val="222222"/>
        </w:rPr>
        <w:t xml:space="preserve"> · </w:t>
      </w:r>
      <w:r>
        <w:rPr>
          <w:i/>
          <w:iCs/>
          <w:color w:val="222222"/>
        </w:rPr>
        <w:t xml:space="preserve">(optional Actual qty / Actual rate / Actual amount)</w:t>
      </w:r>
      <w:r>
        <w:rPr>
          <w:color w:val="222222"/>
        </w:rPr>
        <w:t xml:space="preserve"> ·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Gross amount</w:t>
      </w:r>
      <w:r>
        <w:rPr>
          <w:color w:val="222222"/>
        </w:rPr>
        <w:t xml:space="preserve"> ·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Deducted</w:t>
      </w:r>
      <w:r>
        <w:rPr>
          <w:color w:val="222222"/>
        </w:rPr>
        <w:t xml:space="preserve"> (earned) ·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Balance</w:t>
      </w:r>
      <w:r>
        <w:rPr>
          <w:color w:val="222222"/>
        </w:rPr>
        <w:t xml:space="preserve"> (outstanding) ·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Columns are </w:t>
      </w:r>
      <w:r>
        <w:rPr>
          <w:b/>
          <w:bCs/>
          <w:color w:val="222222"/>
        </w:rPr>
        <w:t xml:space="preserve">drag-resizable</w:t>
      </w:r>
      <w:r>
        <w:rPr>
          <w:color w:val="222222"/>
        </w:rPr>
        <w:t xml:space="preserve">; rows are </w:t>
      </w:r>
      <w:r>
        <w:rPr>
          <w:b/>
          <w:bCs/>
          <w:color w:val="222222"/>
        </w:rPr>
        <w:t xml:space="preserve">drag-reorderable</w:t>
      </w:r>
      <w:r>
        <w:rPr>
          <w:color w:val="222222"/>
        </w:rPr>
        <w:t xml:space="preserve">; every column is </w:t>
      </w:r>
      <w:r>
        <w:rPr>
          <w:b/>
          <w:bCs/>
          <w:color w:val="222222"/>
        </w:rPr>
        <w:t xml:space="preserve">sortable</w:t>
      </w:r>
      <w:r>
        <w:rPr>
          <w:color w:val="2222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Quantity and unit</w:t>
      </w:r>
      <w:r>
        <w:rPr>
          <w:color w:val="222222"/>
        </w:rPr>
        <w:t xml:space="preserve"> are read-only (they come straight from the takeoff — the single source of truth for measurement).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Description</w:t>
      </w:r>
      <w:r>
        <w:rPr>
          <w:color w:val="222222"/>
        </w:rPr>
        <w:t xml:space="preserve"> carries an inline </w:t>
      </w:r>
      <w:r>
        <w:rPr>
          <w:b/>
          <w:bCs/>
          <w:color w:val="222222"/>
        </w:rPr>
        <w:t xml:space="preserve">category/trade reclassification</w:t>
      </w:r>
      <w:r>
        <w:rPr>
          <w:color w:val="222222"/>
        </w:rPr>
        <w:t xml:space="preserve"> dropdown and a </w:t>
      </w:r>
      <w:r>
        <w:rPr>
          <w:b/>
          <w:bCs/>
          <w:color w:val="222222"/>
        </w:rPr>
        <w:t xml:space="preserve">WBS-link health chip</w:t>
      </w:r>
      <w:r>
        <w:rPr>
          <w:color w:val="222222"/>
        </w:rPr>
        <w:t xml:space="preserve">.</w:t>
      </w:r>
    </w:p>
    <w:p>
      <w:pPr>
        <w:pStyle w:val="Heading2"/>
      </w:pPr>
      <w:r>
        <w:t xml:space="preserve">4.2 Applying rates (the smart rate cell)</w:t>
      </w:r>
    </w:p>
    <w:p>
      <w:pPr>
        <w:spacing w:after="120" w:line="276"/>
      </w:pPr>
      <w:r>
        <w:rPr>
          <w:color w:val="222222"/>
        </w:rPr>
        <w:t xml:space="preserve">The rate cell is where pricing happens, and it is deliberately powerful: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Excel-style formula entry</w:t>
      </w:r>
      <w:r>
        <w:rPr>
          <w:color w:val="222222"/>
        </w:rPr>
        <w:t xml:space="preserve"> — type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=</w:t>
      </w:r>
      <w:r>
        <w:rPr>
          <w:color w:val="222222"/>
        </w:rPr>
        <w:t xml:space="preserve"> to enter a formula, e.g.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=1.2*1.5*95000</w:t>
      </w:r>
      <w:r>
        <w:rPr>
          <w:color w:val="222222"/>
        </w:rPr>
        <w:t xml:space="preserve">, with a live preview. Only arithmetic is allowed (safe-evaluated, not raw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eval</w:t>
      </w:r>
      <w:r>
        <w:rPr>
          <w:color w:val="222222"/>
        </w:rPr>
        <w:t xml:space="preserve">).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%</w:t>
      </w:r>
      <w:r>
        <w:rPr>
          <w:color w:val="222222"/>
        </w:rPr>
        <w:t xml:space="preserve"> is understood as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/100</w:t>
      </w:r>
      <w:r>
        <w:rPr>
          <w:color w:val="2222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Rate-library search</w:t>
      </w:r>
      <w:r>
        <w:rPr>
          <w:color w:val="222222"/>
        </w:rPr>
        <w:t xml:space="preserve"> — type a name instead of a number and the cell searches the </w:t>
      </w:r>
      <w:r>
        <w:rPr>
          <w:b/>
          <w:bCs/>
          <w:color w:val="222222"/>
        </w:rPr>
        <w:t xml:space="preserve">Rate Generation</w:t>
      </w:r>
      <w:r>
        <w:rPr>
          <w:color w:val="222222"/>
        </w:rPr>
        <w:t xml:space="preserve"> library, suggesting matching built-up rates. Picking one fills the rate.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Automatic unit conversion</w:t>
      </w:r>
      <w:r>
        <w:rPr>
          <w:color w:val="222222"/>
        </w:rPr>
        <w:t xml:space="preserve"> — when a suggested rate's unit differs from the item's (m² ↔ m via a slab thickness parsed from the description, tonne ↔ kg, m³ → m²), the rate is converted automatically; genuine mismatches are flagged amber.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Group linking</w:t>
      </w:r>
      <w:r>
        <w:rPr>
          <w:color w:val="222222"/>
        </w:rPr>
        <w:t xml:space="preserve"> — link similar items so a rate change on one propagates to the whole group (e.g. all "150mm blockwork" lines at once).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Lock-aware</w:t>
      </w:r>
      <w:r>
        <w:rPr>
          <w:color w:val="222222"/>
        </w:rPr>
        <w:t xml:space="preserve"> — once the contract is locked, the rate cell becomes a read-only 🔒 chip and cannot be edited (see </w:t>
      </w:r>
      <w:r>
        <w:rPr>
          <w:i/>
          <w:iCs/>
          <w:color w:val="222222"/>
        </w:rPr>
        <w:t xml:space="preserve">Contract Tracker</w:t>
      </w:r>
      <w:r>
        <w:rPr>
          <w:color w:val="222222"/>
        </w:rPr>
        <w:t xml:space="preserve">).</w:t>
      </w:r>
    </w:p>
    <w:p>
      <w:pPr>
        <w:pStyle w:val="Heading2"/>
      </w:pPr>
      <w:r>
        <w:t xml:space="preserve">4.3 Earned-value per line</w:t>
      </w:r>
    </w:p>
    <w:p>
      <w:pPr>
        <w:spacing w:after="120" w:line="276"/>
      </w:pPr>
      <w:r>
        <w:rPr>
          <w:color w:val="222222"/>
        </w:rPr>
        <w:t xml:space="preserve">Each line has a </w:t>
      </w:r>
      <w:r>
        <w:rPr>
          <w:b/>
          <w:bCs/>
          <w:color w:val="222222"/>
        </w:rPr>
        <w:t xml:space="preserve">binary status tick</w:t>
      </w:r>
      <w:r>
        <w:rPr>
          <w:color w:val="222222"/>
        </w:rPr>
        <w:t xml:space="preserve"> </w:t>
      </w:r>
      <w:r>
        <w:rPr>
          <w:i/>
          <w:iCs/>
          <w:color w:val="222222"/>
        </w:rPr>
        <w:t xml:space="preserve">and</w:t>
      </w:r>
      <w:r>
        <w:rPr>
          <w:color w:val="222222"/>
        </w:rPr>
        <w:t xml:space="preserve"> a </w:t>
      </w:r>
      <w:r>
        <w:rPr>
          <w:b/>
          <w:bCs/>
          <w:color w:val="222222"/>
        </w:rPr>
        <w:t xml:space="preserve">% complete</w:t>
      </w:r>
      <w:r>
        <w:rPr>
          <w:color w:val="222222"/>
        </w:rPr>
        <w:t xml:space="preserve"> field. From these the bill computes, per row: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2"/>
              <w:left w:val="single" w:color="2E74B5" w:sz="18"/>
              <w:bottom w:val="single" w:color="D5DCE4" w:sz="2"/>
              <w:right w:val="single" w:color="D5DCE4" w:sz="2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Gross   = qty × rate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Deducted (earned) = Gross × valuationFactor      (valuationFactor = 1 if ratified, else %/100)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Balance (outstanding) = Gross × (1 − valuationFactor)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color w:val="222222"/>
        </w:rPr>
        <w:t xml:space="preserve">So the BOQ doubles as a live </w:t>
      </w:r>
      <w:r>
        <w:rPr>
          <w:b/>
          <w:bCs/>
          <w:color w:val="222222"/>
        </w:rPr>
        <w:t xml:space="preserve">value-of-work-done</w:t>
      </w:r>
      <w:r>
        <w:rPr>
          <w:color w:val="222222"/>
        </w:rPr>
        <w:t xml:space="preserve"> tracker. Optional </w:t>
      </w:r>
      <w:r>
        <w:rPr>
          <w:b/>
          <w:bCs/>
          <w:color w:val="222222"/>
        </w:rPr>
        <w:t xml:space="preserve">Actual qty / Actual rate</w:t>
      </w:r>
      <w:r>
        <w:rPr>
          <w:color w:val="222222"/>
        </w:rPr>
        <w:t xml:space="preserve"> columns let the QS record re-measured values post-construction.</w:t>
      </w:r>
    </w:p>
    <w:p>
      <w:pPr>
        <w:pStyle w:val="Heading2"/>
      </w:pPr>
      <w:r>
        <w:t xml:space="preserve">4.4 Organisation: categories, trades &amp; sections</w:t>
      </w:r>
    </w:p>
    <w:p>
      <w:pPr>
        <w:spacing w:after="120" w:line="276"/>
      </w:pPr>
      <w:r>
        <w:rPr>
          <w:color w:val="222222"/>
        </w:rPr>
        <w:t xml:space="preserve">Items group two ways, toggled live: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By Category</w:t>
      </w:r>
      <w:r>
        <w:rPr>
          <w:color w:val="222222"/>
        </w:rPr>
        <w:t xml:space="preserve"> (building element): </w:t>
      </w:r>
      <w:r>
        <w:rPr>
          <w:i/>
          <w:iCs/>
          <w:color w:val="222222"/>
        </w:rPr>
        <w:t xml:space="preserve">Substructure / Frames / Superstructure</w:t>
      </w:r>
      <w:r>
        <w:rPr>
          <w:color w:val="222222"/>
        </w:rPr>
        <w:t xml:space="preserve"> (structural) or </w:t>
      </w:r>
      <w:r>
        <w:rPr>
          <w:i/>
          <w:iCs/>
          <w:color w:val="222222"/>
        </w:rPr>
        <w:t xml:space="preserve">HVAC / Plumbing / Electrical</w:t>
      </w:r>
      <w:r>
        <w:rPr>
          <w:color w:val="222222"/>
        </w:rPr>
        <w:t xml:space="preserve"> (MEP).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By Trade</w:t>
      </w:r>
      <w:r>
        <w:rPr>
          <w:color w:val="222222"/>
        </w:rPr>
        <w:t xml:space="preserve"> (NRM2/SMM7 work section): Earthworks, Concrete Works, Formwork, Reinforcement, Masonry, Damp-proofing, Carpentry &amp; Roofing, Joinery, Finishes (Floor/Wall/Ceiling), Decoration, Structural Steelwork, External Works — or HVAC / Plumbing &amp; Drainage / Electrical Installations for MEP.</w:t>
      </w:r>
    </w:p>
    <w:p>
      <w:pPr>
        <w:spacing w:after="120" w:line="276"/>
      </w:pPr>
      <w:r>
        <w:rPr>
          <w:color w:val="222222"/>
        </w:rPr>
        <w:t xml:space="preserve">Each group renders a banner header, its items, and a </w:t>
      </w:r>
      <w:r>
        <w:rPr>
          <w:b/>
          <w:bCs/>
          <w:color w:val="222222"/>
        </w:rPr>
        <w:t xml:space="preserve">subtotal row</w:t>
      </w:r>
      <w:r>
        <w:rPr>
          <w:color w:val="222222"/>
        </w:rPr>
        <w:t xml:space="preserve">. A </w:t>
      </w:r>
      <w:r>
        <w:rPr>
          <w:b/>
          <w:bCs/>
          <w:color w:val="222222"/>
        </w:rPr>
        <w:t xml:space="preserve">Summary by category</w:t>
      </w:r>
      <w:r>
        <w:rPr>
          <w:color w:val="222222"/>
        </w:rPr>
        <w:t xml:space="preserve"> card tabulates items/gross/deducted/balance per group with a grand total. Users can </w:t>
      </w:r>
      <w:r>
        <w:rPr>
          <w:b/>
          <w:bCs/>
          <w:color w:val="222222"/>
        </w:rPr>
        <w:t xml:space="preserve">reclassify</w:t>
      </w:r>
      <w:r>
        <w:rPr>
          <w:color w:val="222222"/>
        </w:rPr>
        <w:t xml:space="preserve"> any line inline, and trade reclassifications </w:t>
      </w:r>
      <w:r>
        <w:rPr>
          <w:b/>
          <w:bCs/>
          <w:color w:val="222222"/>
        </w:rPr>
        <w:t xml:space="preserve">train a self-learning classifier</w:t>
      </w:r>
      <w:r>
        <w:rPr>
          <w:color w:val="222222"/>
        </w:rPr>
        <w:t xml:space="preserve"> so future takeoffs are categorised better.</w:t>
      </w:r>
    </w:p>
    <w:p>
      <w:pPr>
        <w:spacing w:after="120" w:line="276"/>
      </w:pPr>
      <w:r>
        <w:rPr>
          <w:color w:val="222222"/>
        </w:rPr>
        <w:t xml:space="preserve">A sticky </w:t>
      </w:r>
      <w:r>
        <w:rPr>
          <w:b/>
          <w:bCs/>
          <w:color w:val="222222"/>
        </w:rPr>
        <w:t xml:space="preserve">Section Rail</w:t>
      </w:r>
      <w:r>
        <w:rPr>
          <w:color w:val="222222"/>
        </w:rPr>
        <w:t xml:space="preserve"> (and a collapsible Office-style ribbon) gives instant jump-to-section navigation — important on bills with hundreds of lines.</w:t>
      </w:r>
    </w:p>
    <w:p>
      <w:pPr>
        <w:pStyle w:val="Heading2"/>
      </w:pPr>
      <w:r>
        <w:t xml:space="preserve">4.5 Preliminaries, provisional sums, contingency &amp; tax</w:t>
      </w:r>
    </w:p>
    <w:p>
      <w:pPr>
        <w:spacing w:after="120" w:line="276"/>
      </w:pPr>
      <w:r>
        <w:rPr>
          <w:color w:val="222222"/>
        </w:rPr>
        <w:t xml:space="preserve">Beyond the measured lines, the bill carries the full QS grand-summary scope: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Preliminaries</w:t>
      </w:r>
      <w:r>
        <w:rPr>
          <w:color w:val="222222"/>
        </w:rPr>
        <w:t xml:space="preserve"> — a standard </w:t>
      </w:r>
      <w:r>
        <w:rPr>
          <w:b/>
          <w:bCs/>
          <w:color w:val="222222"/>
        </w:rPr>
        <w:t xml:space="preserve">BESMM4 22-item checklist</w:t>
      </w:r>
      <w:r>
        <w:rPr>
          <w:color w:val="222222"/>
        </w:rPr>
        <w:t xml:space="preserve"> (seeded automatically), each item with an allocation %, a "done" tick, and an </w:t>
      </w:r>
      <w:r>
        <w:rPr>
          <w:b/>
          <w:bCs/>
          <w:color w:val="222222"/>
        </w:rPr>
        <w:t xml:space="preserve">actual ₦</w:t>
      </w:r>
      <w:r>
        <w:rPr>
          <w:color w:val="222222"/>
        </w:rPr>
        <w:t xml:space="preserve"> column showing variance vs planned.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Provisional / PC Sums</w:t>
      </w:r>
      <w:r>
        <w:rPr>
          <w:color w:val="222222"/>
        </w:rPr>
        <w:t xml:space="preserve"> — described lump sums with a "done" tick.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Variations</w:t>
      </w:r>
      <w:r>
        <w:rPr>
          <w:color w:val="222222"/>
        </w:rPr>
        <w:t xml:space="preserve"> — change orders (see </w:t>
      </w:r>
      <w:r>
        <w:rPr>
          <w:i/>
          <w:iCs/>
          <w:color w:val="222222"/>
        </w:rPr>
        <w:t xml:space="preserve">Variation Tracker</w:t>
      </w:r>
      <w:r>
        <w:rPr>
          <w:color w:val="222222"/>
        </w:rPr>
        <w:t xml:space="preserve">).</w:t>
      </w:r>
    </w:p>
    <w:p>
      <w:pPr>
        <w:spacing w:after="120" w:line="276"/>
      </w:pPr>
      <w:r>
        <w:rPr>
          <w:color w:val="222222"/>
        </w:rPr>
        <w:t xml:space="preserve">These roll up through the standard cascade (all percentages editable inline; defaults shown):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2"/>
              <w:left w:val="single" w:color="2E74B5" w:sz="18"/>
              <w:bottom w:val="single" w:color="D5DCE4" w:sz="2"/>
              <w:right w:val="single" w:color="D5DCE4" w:sz="2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Preliminary amount  = (Gross + Provisional) × 7.5%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BOQ subtotal        = Gross + Provisional + Preliminary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Contingency amount  = BOQ subtotal × 5%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VAT                 = (BOQ subtotal + Contingency) × 7.5%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Planned project total = BOQ subtotal + Contingency + VAT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Project total       = Planned project total + Variations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color w:val="222222"/>
        </w:rPr>
        <w:t xml:space="preserve">A </w:t>
      </w:r>
      <w:r>
        <w:rPr>
          <w:b/>
          <w:bCs/>
          <w:color w:val="222222"/>
        </w:rPr>
        <w:t xml:space="preserve">multi-step undo bar</w:t>
      </w:r>
      <w:r>
        <w:rPr>
          <w:color w:val="222222"/>
        </w:rPr>
        <w:t xml:space="preserve"> keeps the last five deletions (measured/prelim/PC/variation) individually restorable.</w:t>
      </w:r>
    </w:p>
    <w:p>
      <w:pPr>
        <w:pStyle w:val="Heading2"/>
      </w:pPr>
      <w:r>
        <w:t xml:space="preserve">4.6 Exporting the BOQ</w:t>
      </w:r>
    </w:p>
    <w:p>
      <w:pPr>
        <w:spacing w:after="120" w:line="276"/>
      </w:pPr>
      <w:r>
        <w:rPr>
          <w:color w:val="222222"/>
        </w:rPr>
        <w:t xml:space="preserve">The Export menu offers several professionally formatted outputs (all Excel):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5"/>
        <w:gridCol w:w="7635"/>
      </w:tblGrid>
      <w:tr>
        <w:trPr>
          <w:tblHeader/>
        </w:trPr>
        <w:tc>
          <w:tcPr>
            <w:tcW w:type="dxa" w:w="1725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5BA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Export</w:t>
            </w:r>
          </w:p>
        </w:tc>
        <w:tc>
          <w:tcPr>
            <w:tcW w:type="dxa" w:w="7635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5BA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Structure</w:t>
            </w:r>
          </w:p>
        </w:tc>
      </w:tr>
      <w:tr>
        <w:tc>
          <w:tcPr>
            <w:tcW w:type="dxa" w:w="1725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Elemental BOQ</w:t>
            </w:r>
            <w:r>
              <w:rPr>
                <w:color w:val="222222"/>
              </w:rPr>
              <w:t xml:space="preserve"> (Bungalow / Multi-storey)</w:t>
            </w:r>
          </w:p>
        </w:tc>
        <w:tc>
          <w:tcPr>
            <w:tcW w:type="dxa" w:w="7635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One sheet per building element — Preliminaries, Substructure, Superstructure, Frame (split by floor), Staircase, External Works — plus Cover, Provisional Sums, Variations, "Other items", and a General Summary</w:t>
            </w:r>
          </w:p>
        </w:tc>
      </w:tr>
      <w:tr>
        <w:tc>
          <w:tcPr>
            <w:tcW w:type="dxa" w:w="1725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Trade BOQ</w:t>
            </w:r>
            <w:r>
              <w:rPr>
                <w:color w:val="222222"/>
              </w:rPr>
              <w:t xml:space="preserve"> (NRM2-style, Bungalow / Multi-storey)</w:t>
            </w:r>
          </w:p>
        </w:tc>
        <w:tc>
          <w:tcPr>
            <w:tcW w:type="dxa" w:w="7635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A single trade-structured sheet with per-trade sections and subtotals, plus separate Preliminaries / PC / Variations and a General Summary</w:t>
            </w:r>
          </w:p>
        </w:tc>
      </w:tr>
      <w:tr>
        <w:tc>
          <w:tcPr>
            <w:tcW w:type="dxa" w:w="1725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Generic BOQ</w:t>
            </w:r>
            <w:r>
              <w:rPr>
                <w:color w:val="222222"/>
              </w:rPr>
              <w:t xml:space="preserve"> (by category / by trade)</w:t>
            </w:r>
          </w:p>
        </w:tc>
        <w:tc>
          <w:tcPr>
            <w:tcW w:type="dxa" w:w="7635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A flat bill that mirrors exactly what's on screen, including unsaved rates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222222"/>
        </w:rPr>
        <w:t xml:space="preserve">The elemental/trade exports are </w:t>
      </w:r>
      <w:r>
        <w:rPr>
          <w:b/>
          <w:bCs/>
          <w:color w:val="222222"/>
        </w:rPr>
        <w:t xml:space="preserve">formula-driven</w:t>
      </w:r>
      <w:r>
        <w:rPr>
          <w:color w:val="222222"/>
        </w:rPr>
        <w:t xml:space="preserve"> — every amount is a live Excel formula (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Amount = qty × rate</w:t>
      </w:r>
      <w:r>
        <w:rPr>
          <w:color w:val="222222"/>
        </w:rPr>
        <w:t xml:space="preserve">), so a recipient can change a rate and the workbook recalculates. They follow Nigerian BOQ conventions including the </w:t>
      </w:r>
      <w:r>
        <w:rPr>
          <w:b/>
          <w:bCs/>
          <w:color w:val="222222"/>
        </w:rPr>
        <w:t xml:space="preserve">A-B-C…(skip I)…J-K</w:t>
      </w:r>
      <w:r>
        <w:rPr>
          <w:color w:val="222222"/>
        </w:rPr>
        <w:t xml:space="preserve"> serial-letter column, BESMM4 preliminaries, SMM work-section codes (E10 concrete / E20 formwork / E30 reinforcement), and standards references (BS 4449/4483 rebar, BS 5950 steelwork). The exporter intelligently handles foundation type (pad/raft/pile) and splits multi-storey frame elements per floor level. Empty elements are omitted, so there are no blank sheets.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1F5BA8" w:sz="6" w:space="4"/>
        </w:pBdr>
      </w:pPr>
      <w:r>
        <w:t xml:space="preserve">5. Rate Generation engine</w:t>
      </w:r>
    </w:p>
    <w:p>
      <w:pPr>
        <w:spacing w:after="120" w:line="276"/>
      </w:pPr>
      <w:r>
        <w:rPr>
          <w:color w:val="222222"/>
        </w:rPr>
        <w:t xml:space="preserve">"Rate Gen" is the pricing brain. It builds a </w:t>
      </w:r>
      <w:r>
        <w:rPr>
          <w:b/>
          <w:bCs/>
          <w:color w:val="222222"/>
        </w:rPr>
        <w:t xml:space="preserve">unit rate</w:t>
      </w:r>
      <w:r>
        <w:rPr>
          <w:color w:val="222222"/>
        </w:rPr>
        <w:t xml:space="preserve"> (price per m², m³, m, Nr…) for a work item by summing the per-unit cost of its </w:t>
      </w:r>
      <w:r>
        <w:rPr>
          <w:b/>
          <w:bCs/>
          <w:color w:val="222222"/>
        </w:rPr>
        <w:t xml:space="preserve">materials</w:t>
      </w:r>
      <w:r>
        <w:rPr>
          <w:color w:val="222222"/>
        </w:rPr>
        <w:t xml:space="preserve"> and </w:t>
      </w:r>
      <w:r>
        <w:rPr>
          <w:b/>
          <w:bCs/>
          <w:color w:val="222222"/>
        </w:rPr>
        <w:t xml:space="preserve">labour</w:t>
      </w:r>
      <w:r>
        <w:rPr>
          <w:color w:val="222222"/>
        </w:rPr>
        <w:t xml:space="preserve">, then adding overhead and profit. These rates feed directly into the BOQ rate cell.</w:t>
      </w:r>
    </w:p>
    <w:p>
      <w:pPr>
        <w:pStyle w:val="Heading2"/>
      </w:pPr>
      <w:r>
        <w:t xml:space="preserve">5.1 The rate build-up formula</w:t>
      </w:r>
    </w:p>
    <w:p>
      <w:pPr>
        <w:spacing w:after="120" w:line="276"/>
      </w:pPr>
      <w:r>
        <w:rPr>
          <w:color w:val="222222"/>
        </w:rPr>
        <w:t xml:space="preserve">A rate is composed from its breakdown of material + labour lines: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2"/>
              <w:left w:val="single" w:color="2E74B5" w:sz="18"/>
              <w:bottom w:val="single" w:color="D5DCE4" w:sz="2"/>
              <w:right w:val="single" w:color="D5DCE4" w:sz="2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Net cost   = Σ (line quantity × line unit price)      ← quantity includes any wastage/conversion factor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Overhead   = Net cost × Overhead%      (default 10%)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Profit     = Net cost × Profit%        (default 25%)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Total cost = Net cost + Overhead + Profit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color w:val="222222"/>
        </w:rPr>
        <w:t xml:space="preserve">Both overhead and profit are taken </w:t>
      </w:r>
      <w:r>
        <w:rPr>
          <w:b/>
          <w:bCs/>
          <w:color w:val="222222"/>
        </w:rPr>
        <w:t xml:space="preserve">on the net cost</w:t>
      </w:r>
      <w:r>
        <w:rPr>
          <w:color w:val="222222"/>
        </w:rPr>
        <w:t xml:space="preserve"> (not compounded). Wastage isn't a separate line — it's folded into each component's quantity as a multiplier (e.g. ×1.4). This same formula is applied identically when authoring a rate, when computing one on demand, and when the plugin reads it back, so the number never drifts between surfaces.</w:t>
      </w:r>
    </w:p>
    <w:p>
      <w:pPr>
        <w:spacing w:after="120" w:line="276"/>
      </w:pPr>
      <w:r>
        <w:rPr>
          <w:color w:val="222222"/>
        </w:rPr>
        <w:t xml:space="preserve">The rate authoring screen supports </w:t>
      </w:r>
      <w:r>
        <w:rPr>
          <w:b/>
          <w:bCs/>
          <w:color w:val="222222"/>
        </w:rPr>
        <w:t xml:space="preserve">spreadsheet-style formulas</w:t>
      </w:r>
      <w:r>
        <w:rPr>
          <w:color w:val="222222"/>
        </w:rPr>
        <w:t xml:space="preserve"> in unit-price fields (a line can be priced as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=3% * Net Cost</w:t>
      </w:r>
      <w:r>
        <w:rPr>
          <w:color w:val="222222"/>
        </w:rPr>
        <w:t xml:space="preserve">, and the engine iterates until interdependent formulas converge).</w:t>
      </w:r>
    </w:p>
    <w:p>
      <w:pPr>
        <w:pStyle w:val="Heading2"/>
      </w:pPr>
      <w:r>
        <w:t xml:space="preserve">5.2 Three layers: master, override, custom</w:t>
      </w:r>
    </w:p>
    <w:p>
      <w:pPr>
        <w:spacing w:after="120" w:line="276"/>
      </w:pPr>
      <w:r>
        <w:rPr>
          <w:color w:val="222222"/>
        </w:rPr>
        <w:t xml:space="preserve">Rates are layered so a shared catalogue can be personalised per user: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222222"/>
        </w:rPr>
        <w:t xml:space="preserve">Master rates</w:t>
      </w:r>
      <w:r>
        <w:rPr>
          <w:color w:val="222222"/>
        </w:rPr>
        <w:t xml:space="preserve"> — the shared, admin-curated catalogue.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222222"/>
        </w:rPr>
        <w:t xml:space="preserve">User overrides</w:t>
      </w:r>
      <w:r>
        <w:rPr>
          <w:color w:val="222222"/>
        </w:rPr>
        <w:t xml:space="preserve"> — a user's personal edit </w:t>
      </w:r>
      <w:r>
        <w:rPr>
          <w:i/>
          <w:iCs/>
          <w:color w:val="222222"/>
        </w:rPr>
        <w:t xml:space="preserve">of an existing master rate</w:t>
      </w:r>
      <w:r>
        <w:rPr>
          <w:color w:val="222222"/>
        </w:rPr>
        <w:t xml:space="preserve">. An override </w:t>
      </w:r>
      <w:r>
        <w:rPr>
          <w:b/>
          <w:bCs/>
          <w:color w:val="222222"/>
        </w:rPr>
        <w:t xml:space="preserve">fully replaces</w:t>
      </w:r>
      <w:r>
        <w:rPr>
          <w:color w:val="222222"/>
        </w:rPr>
        <w:t xml:space="preserve"> the master rate for that item.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222222"/>
        </w:rPr>
        <w:t xml:space="preserve">Custom rates</w:t>
      </w:r>
      <w:r>
        <w:rPr>
          <w:color w:val="222222"/>
        </w:rPr>
        <w:t xml:space="preserve"> — brand-new rates a user builds themselves (purely additive).</w:t>
      </w:r>
    </w:p>
    <w:p>
      <w:pPr>
        <w:spacing w:after="120" w:line="276"/>
      </w:pPr>
      <w:r>
        <w:rPr>
          <w:b/>
          <w:bCs/>
          <w:color w:val="222222"/>
        </w:rPr>
        <w:t xml:space="preserve">Precedence:</w:t>
      </w:r>
      <w:r>
        <w:rPr>
          <w:color w:val="222222"/>
        </w:rPr>
        <w:t xml:space="preserve"> </w:t>
      </w:r>
      <w:r>
        <w:rPr>
          <w:i/>
          <w:iCs/>
          <w:color w:val="222222"/>
        </w:rPr>
        <w:t xml:space="preserve">user override &gt; master</w:t>
      </w:r>
      <w:r>
        <w:rPr>
          <w:color w:val="222222"/>
        </w:rPr>
        <w:t xml:space="preserve">, with custom rates appended. The "effective rates" a user actually prices against is the merged result. All edits are version-guarded so concurrent edits don't clobber each other.</w:t>
      </w:r>
    </w:p>
    <w:p>
      <w:pPr>
        <w:spacing w:after="120" w:line="276"/>
      </w:pPr>
      <w:r>
        <w:rPr>
          <w:color w:val="222222"/>
        </w:rPr>
        <w:t xml:space="preserve">Rates are organised into canonical </w:t>
      </w:r>
      <w:r>
        <w:rPr>
          <w:b/>
          <w:bCs/>
          <w:color w:val="222222"/>
        </w:rPr>
        <w:t xml:space="preserve">sections</w:t>
      </w:r>
      <w:r>
        <w:rPr>
          <w:color w:val="222222"/>
        </w:rPr>
        <w:t xml:space="preserve">: Groundwork, Concrete Works, Blockwork, Finishes, Roofing, Windows &amp; Doors, Painting, Steelwork, Carbon &amp; Others. Underneath sits a shared </w:t>
      </w:r>
      <w:r>
        <w:rPr>
          <w:b/>
          <w:bCs/>
          <w:color w:val="222222"/>
        </w:rPr>
        <w:t xml:space="preserve">master component catalogue</w:t>
      </w:r>
      <w:r>
        <w:rPr>
          <w:color w:val="222222"/>
        </w:rPr>
        <w:t xml:space="preserve"> of materials and labour (each with a serial number, name, unit, and default unit price) that the build-ups reference.</w:t>
      </w:r>
    </w:p>
    <w:p>
      <w:pPr>
        <w:pStyle w:val="Heading2"/>
      </w:pPr>
      <w:r>
        <w:t xml:space="preserve">5.3 Guardrails &amp; integrity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Composition guardrail</w:t>
      </w:r>
      <w:r>
        <w:rPr>
          <w:color w:val="222222"/>
        </w:rPr>
        <w:t xml:space="preserve"> — when a rate is saved, the platform checks that the stated headline total equals its build-up (within a 0.5% tolerance). An </w:t>
      </w:r>
      <w:r>
        <w:rPr>
          <w:b/>
          <w:bCs/>
          <w:color w:val="222222"/>
        </w:rPr>
        <w:t xml:space="preserve">overstated</w:t>
      </w:r>
      <w:r>
        <w:rPr>
          <w:color w:val="222222"/>
        </w:rPr>
        <w:t xml:space="preserve"> rate (headline &gt; build-up) is rejected/clamped down to the build-up, so an inflated rate can never reach the plugin.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Price provenance (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priceAsOf</w:t>
      </w:r>
      <w:r>
        <w:rPr>
          <w:b/>
          <w:bCs/>
          <w:color w:val="222222"/>
        </w:rPr>
        <w:t xml:space="preserve">)</w:t>
      </w:r>
      <w:r>
        <w:rPr>
          <w:color w:val="222222"/>
        </w:rPr>
        <w:t xml:space="preserve"> — every breakdown line records </w:t>
      </w:r>
      <w:r>
        <w:rPr>
          <w:i/>
          <w:iCs/>
          <w:color w:val="222222"/>
        </w:rPr>
        <w:t xml:space="preserve">which</w:t>
      </w:r>
      <w:r>
        <w:rPr>
          <w:color w:val="222222"/>
        </w:rPr>
        <w:t xml:space="preserve"> master material/labour row it came from (serial number + name) and </w:t>
      </w:r>
      <w:r>
        <w:rPr>
          <w:i/>
          <w:iCs/>
          <w:color w:val="222222"/>
        </w:rPr>
        <w:t xml:space="preserve">when</w:t>
      </w:r>
      <w:r>
        <w:rPr>
          <w:color w:val="222222"/>
        </w:rPr>
        <w:t xml:space="preserve"> that price was captured. This provenance is carried through overrides and custom rates too, giving full traceability from a unit rate back to the dated source price.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Component classification</w:t>
      </w:r>
      <w:r>
        <w:rPr>
          <w:color w:val="222222"/>
        </w:rPr>
        <w:t xml:space="preserve"> — each component is deterministically tagged Material / Labour / Plant / Consumable, so the downstream material &amp; labour schedule is split correctly rather than re-guessed.</w:t>
      </w:r>
    </w:p>
    <w:p>
      <w:pPr>
        <w:pStyle w:val="Heading2"/>
      </w:pPr>
      <w:r>
        <w:t xml:space="preserve">5.4 Profit-margin analysis (proposed vs actual)</w:t>
      </w:r>
    </w:p>
    <w:p>
      <w:pPr>
        <w:spacing w:after="120" w:line="276"/>
      </w:pPr>
      <w:r>
        <w:rPr>
          <w:color w:val="222222"/>
        </w:rPr>
        <w:t xml:space="preserve">Separate from the per-rate profit %, the platform computes </w:t>
      </w:r>
      <w:r>
        <w:rPr>
          <w:b/>
          <w:bCs/>
          <w:color w:val="222222"/>
        </w:rPr>
        <w:t xml:space="preserve">project profitability</w:t>
      </w:r>
      <w:r>
        <w:rPr>
          <w:color w:val="222222"/>
        </w:rPr>
        <w:t xml:space="preserve"> per takeoff line: proposed revenue (sell rate × qty) vs proposed cost (net × (1 + overhead%) × qty), giving proposed profit and margin %, with an </w:t>
      </w:r>
      <w:r>
        <w:rPr>
          <w:b/>
          <w:bCs/>
          <w:color w:val="222222"/>
        </w:rPr>
        <w:t xml:space="preserve">actual</w:t>
      </w:r>
      <w:r>
        <w:rPr>
          <w:color w:val="222222"/>
        </w:rPr>
        <w:t xml:space="preserve"> side that uses re-measured rate/qty. Aggregated across the project, this reports total proposed vs actual profit and the variance — surfaced at unified save time as a margin summary.</w:t>
      </w:r>
    </w:p>
    <w:p>
      <w:pPr>
        <w:pStyle w:val="Heading2"/>
      </w:pPr>
      <w:r>
        <w:t xml:space="preserve">5.5 Where rates are managed</w:t>
      </w:r>
    </w:p>
    <w:p>
      <w:pPr>
        <w:spacing w:after="120" w:line="276"/>
      </w:pPr>
      <w:r>
        <w:rPr>
          <w:color w:val="222222"/>
        </w:rPr>
        <w:t xml:space="preserve">End-users browse their </w:t>
      </w:r>
      <w:r>
        <w:rPr>
          <w:b/>
          <w:bCs/>
          <w:color w:val="222222"/>
        </w:rPr>
        <w:t xml:space="preserve">effective rate library</w:t>
      </w:r>
      <w:r>
        <w:rPr>
          <w:color w:val="222222"/>
        </w:rPr>
        <w:t xml:space="preserve"> on the web (a live, auto-refreshing dashboard with tabs for Master Materials/Labour, My Materials/Labour, My Custom Rates, and Effective Rates) and see a </w:t>
      </w:r>
      <w:r>
        <w:rPr>
          <w:b/>
          <w:bCs/>
          <w:color w:val="222222"/>
        </w:rPr>
        <w:t xml:space="preserve">Rate Updates feed</w:t>
      </w:r>
      <w:r>
        <w:rPr>
          <w:color w:val="222222"/>
        </w:rPr>
        <w:t xml:space="preserve"> that badges newly changed master rates. Heavy rate </w:t>
      </w:r>
      <w:r>
        <w:rPr>
          <w:i/>
          <w:iCs/>
          <w:color w:val="222222"/>
        </w:rPr>
        <w:t xml:space="preserve">editing</w:t>
      </w:r>
      <w:r>
        <w:rPr>
          <w:color w:val="222222"/>
        </w:rPr>
        <w:t xml:space="preserve"> happens in the RateGen desktop app and syncs to these endpoints. Admins curate the master catalogue and build-up rates.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1F5BA8" w:sz="6" w:space="4"/>
        </w:pBdr>
      </w:pPr>
      <w:r>
        <w:t xml:space="preserve">6. Material &amp; Labour schedules with pricing</w:t>
      </w:r>
    </w:p>
    <w:p>
      <w:pPr>
        <w:spacing w:after="120" w:line="276"/>
      </w:pPr>
      <w:r>
        <w:rPr>
          <w:color w:val="222222"/>
        </w:rPr>
        <w:t xml:space="preserve">The </w:t>
      </w:r>
      <w:r>
        <w:rPr>
          <w:b/>
          <w:bCs/>
          <w:color w:val="222222"/>
        </w:rPr>
        <w:t xml:space="preserve">Materials view</w:t>
      </w:r>
      <w:r>
        <w:rPr>
          <w:color w:val="222222"/>
        </w:rPr>
        <w:t xml:space="preserve"> turns the takeoff into a priced </w:t>
      </w:r>
      <w:r>
        <w:rPr>
          <w:b/>
          <w:bCs/>
          <w:color w:val="222222"/>
        </w:rPr>
        <w:t xml:space="preserve">material &amp; labour schedule</w:t>
      </w:r>
      <w:r>
        <w:rPr>
          <w:color w:val="222222"/>
        </w:rPr>
        <w:t xml:space="preserve"> — the procurement and pricing companion to the structural BOQ.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One line per material/labour component.</w:t>
      </w:r>
      <w:r>
        <w:rPr>
          <w:color w:val="222222"/>
        </w:rPr>
        <w:t xml:space="preserve"> The takeoff is grouped by material (e.g. "Cement", "Sandcrete Block 9in", "Reinforcement Y12"), each with its quantity, unit, and an editable rate.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Priced from Rate Gen's component catalogue.</w:t>
      </w:r>
      <w:r>
        <w:rPr>
          <w:color w:val="222222"/>
        </w:rPr>
        <w:t xml:space="preserve"> Rates here come from the </w:t>
      </w:r>
      <w:r>
        <w:rPr>
          <w:b/>
          <w:bCs/>
          <w:color w:val="222222"/>
        </w:rPr>
        <w:t xml:space="preserve">material + labour</w:t>
      </w:r>
      <w:r>
        <w:rPr>
          <w:color w:val="222222"/>
        </w:rPr>
        <w:t xml:space="preserve"> master/user price lists (not composite build-up rates). For each line the platform proposes the best-matching catalogue price, honouring the required unit and preferring the user's own library over the master.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One-click auto-fill &amp; price sync.</w:t>
      </w:r>
      <w:r>
        <w:rPr>
          <w:color w:val="222222"/>
        </w:rPr>
        <w:t xml:space="preserve"> "Auto-fill (RateGen)" prices every line against the catalogue (optionally only empty rates, never overwriting on a unit conflict); "Sync prices" keeps them current.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Procurement tracking.</w:t>
      </w:r>
      <w:r>
        <w:rPr>
          <w:color w:val="222222"/>
        </w:rPr>
        <w:t xml:space="preserve"> The same grid drives a </w:t>
      </w:r>
      <w:r>
        <w:rPr>
          <w:b/>
          <w:bCs/>
          <w:color w:val="222222"/>
        </w:rPr>
        <w:t xml:space="preserve">Purchased</w:t>
      </w:r>
      <w:r>
        <w:rPr>
          <w:color w:val="222222"/>
        </w:rPr>
        <w:t xml:space="preserve"> status (instead of "Completed"), so the material schedule doubles as a purchase/earned tracker: qty × rate = amount, with valued/balance per line.</w:t>
      </w:r>
    </w:p>
    <w:p>
      <w:pPr>
        <w:spacing w:after="120" w:line="276"/>
      </w:pPr>
      <w:r>
        <w:rPr>
          <w:color w:val="222222"/>
        </w:rPr>
        <w:t xml:space="preserve">The connection to Rate Gen is two-tiered: the </w:t>
      </w:r>
      <w:r>
        <w:rPr>
          <w:b/>
          <w:bCs/>
          <w:color w:val="222222"/>
        </w:rPr>
        <w:t xml:space="preserve">Materials view</w:t>
      </w:r>
      <w:r>
        <w:rPr>
          <w:color w:val="222222"/>
        </w:rPr>
        <w:t xml:space="preserve"> prices against </w:t>
      </w:r>
      <w:r>
        <w:rPr>
          <w:i/>
          <w:iCs/>
          <w:color w:val="222222"/>
        </w:rPr>
        <w:t xml:space="preserve">component</w:t>
      </w:r>
      <w:r>
        <w:rPr>
          <w:color w:val="222222"/>
        </w:rPr>
        <w:t xml:space="preserve"> (material + labour) rates, while the </w:t>
      </w:r>
      <w:r>
        <w:rPr>
          <w:b/>
          <w:bCs/>
          <w:color w:val="222222"/>
        </w:rPr>
        <w:t xml:space="preserve">BOQ view</w:t>
      </w:r>
      <w:r>
        <w:rPr>
          <w:color w:val="222222"/>
        </w:rPr>
        <w:t xml:space="preserve"> prices against </w:t>
      </w:r>
      <w:r>
        <w:rPr>
          <w:i/>
          <w:iCs/>
          <w:color w:val="222222"/>
        </w:rPr>
        <w:t xml:space="preserve">composite build-up</w:t>
      </w:r>
      <w:r>
        <w:rPr>
          <w:color w:val="222222"/>
        </w:rPr>
        <w:t xml:space="preserve"> rates — both sourced from the same Rate Gen library.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1F5BA8" w:sz="6" w:space="4"/>
        </w:pBdr>
      </w:pPr>
      <w:r>
        <w:t xml:space="preserve">7. Contract Tracker</w:t>
      </w:r>
    </w:p>
    <w:p>
      <w:pPr>
        <w:spacing w:after="120" w:line="276"/>
      </w:pPr>
      <w:r>
        <w:rPr>
          <w:color w:val="222222"/>
        </w:rPr>
        <w:t xml:space="preserve">The contract tracker turns a priced BOQ into a </w:t>
      </w:r>
      <w:r>
        <w:rPr>
          <w:b/>
          <w:bCs/>
          <w:color w:val="222222"/>
        </w:rPr>
        <w:t xml:space="preserve">frozen contract baseline</w:t>
      </w:r>
      <w:r>
        <w:rPr>
          <w:color w:val="222222"/>
        </w:rPr>
        <w:t xml:space="preserve"> and then polices every subsequent change against it — the mechanism that makes the platform a genuine contract-administration tool, not just an estimating sheet.</w:t>
      </w:r>
    </w:p>
    <w:p>
      <w:pPr>
        <w:pStyle w:val="Heading2"/>
      </w:pPr>
      <w:r>
        <w:t xml:space="preserve">7.1 Locking the contract</w:t>
      </w:r>
    </w:p>
    <w:p>
      <w:pPr>
        <w:spacing w:after="120" w:line="276"/>
      </w:pPr>
      <w:r>
        <w:rPr>
          <w:color w:val="222222"/>
        </w:rPr>
        <w:t xml:space="preserve">When the bill is agreed, the user </w:t>
      </w:r>
      <w:r>
        <w:rPr>
          <w:b/>
          <w:bCs/>
          <w:color w:val="222222"/>
        </w:rPr>
        <w:t xml:space="preserve">locks the contract</w:t>
      </w:r>
      <w:r>
        <w:rPr>
          <w:color w:val="222222"/>
        </w:rPr>
        <w:t xml:space="preserve"> behind a </w:t>
      </w:r>
      <w:r>
        <w:rPr>
          <w:b/>
          <w:bCs/>
          <w:color w:val="222222"/>
        </w:rPr>
        <w:t xml:space="preserve">4-digit PIN</w:t>
      </w:r>
      <w:r>
        <w:rPr>
          <w:color w:val="222222"/>
        </w:rPr>
        <w:t xml:space="preserve"> (stored hashed, never returned to the browser). Locking: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Snapshots every line</w:t>
      </w:r>
      <w:r>
        <w:rPr>
          <w:color w:val="222222"/>
        </w:rPr>
        <w:t xml:space="preserve"> (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description, qty, unit, rate</w:t>
      </w:r>
      <w:r>
        <w:rPr>
          <w:color w:val="222222"/>
        </w:rPr>
        <w:t xml:space="preserve">) as the contract baseline.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Freezes the grand-summary cascade</w:t>
      </w:r>
      <w:r>
        <w:rPr>
          <w:color w:val="222222"/>
        </w:rPr>
        <w:t xml:space="preserve"> at that moment — measured work, provisional, preliminaries, contingency, VAT, and the resulting </w:t>
      </w:r>
      <w:r>
        <w:rPr>
          <w:b/>
          <w:bCs/>
          <w:color w:val="222222"/>
        </w:rPr>
        <w:t xml:space="preserve">contract sum</w:t>
      </w:r>
      <w:r>
        <w:rPr>
          <w:color w:val="222222"/>
        </w:rPr>
        <w:t xml:space="preserve"> — and stores each frozen component.</w:t>
      </w:r>
    </w:p>
    <w:p>
      <w:pPr>
        <w:spacing w:after="120" w:line="276"/>
      </w:pPr>
      <w:r>
        <w:rPr>
          <w:color w:val="222222"/>
        </w:rPr>
        <w:t xml:space="preserve">Unlocking requires the matching PIN (contracts locked before the PIN feature unlock without one, for back-compatibility). Unlocking clears the lock and PIN but </w:t>
      </w:r>
      <w:r>
        <w:rPr>
          <w:b/>
          <w:bCs/>
          <w:color w:val="222222"/>
        </w:rPr>
        <w:t xml:space="preserve">keeps the baseline and contract sum</w:t>
      </w:r>
      <w:r>
        <w:rPr>
          <w:color w:val="222222"/>
        </w:rPr>
        <w:t xml:space="preserve"> for history, so re-locking sets a fresh PIN.</w:t>
      </w:r>
    </w:p>
    <w:p>
      <w:pPr>
        <w:pStyle w:val="Heading2"/>
      </w:pPr>
      <w:r>
        <w:t xml:space="preserve">7.2 What the lock enforces</w:t>
      </w:r>
    </w:p>
    <w:p>
      <w:pPr>
        <w:spacing w:after="120" w:line="276"/>
      </w:pPr>
      <w:r>
        <w:rPr>
          <w:color w:val="222222"/>
        </w:rPr>
        <w:t xml:space="preserve">Once locked, the priced structural scope is protected — and the enforcement is </w:t>
      </w:r>
      <w:r>
        <w:rPr>
          <w:b/>
          <w:bCs/>
          <w:color w:val="222222"/>
        </w:rPr>
        <w:t xml:space="preserve">server-side and authoritative</w:t>
      </w:r>
      <w:r>
        <w:rPr>
          <w:color w:val="222222"/>
        </w:rPr>
        <w:t xml:space="preserve">, so it holds even if a client tries to bypass a disabled field: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New lines</w:t>
      </w:r>
      <w:r>
        <w:rPr>
          <w:color w:val="222222"/>
        </w:rPr>
        <w:t xml:space="preserve"> added after lock are </w:t>
      </w:r>
      <w:r>
        <w:rPr>
          <w:b/>
          <w:bCs/>
          <w:color w:val="222222"/>
        </w:rPr>
        <w:t xml:space="preserve">not</w:t>
      </w:r>
      <w:r>
        <w:rPr>
          <w:color w:val="222222"/>
        </w:rPr>
        <w:t xml:space="preserve"> added to measured work — they are automatically diverted into the </w:t>
      </w:r>
      <w:r>
        <w:rPr>
          <w:b/>
          <w:bCs/>
          <w:color w:val="222222"/>
        </w:rPr>
        <w:t xml:space="preserve">Variation tracker</w:t>
      </w:r>
      <w:r>
        <w:rPr>
          <w:color w:val="222222"/>
        </w:rPr>
        <w:t xml:space="preserve"> as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post-lock-new-item</w:t>
      </w:r>
      <w:r>
        <w:rPr>
          <w:color w:val="222222"/>
        </w:rPr>
        <w:t xml:space="preserve"> change orders.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Re-measured quantity</w:t>
      </w:r>
      <w:r>
        <w:rPr>
          <w:color w:val="222222"/>
        </w:rPr>
        <w:t xml:space="preserve"> → the new figure is written to </w:t>
      </w:r>
      <w:r>
        <w:rPr>
          <w:b/>
          <w:bCs/>
          <w:color w:val="222222"/>
        </w:rPr>
        <w:t xml:space="preserve">Actual qty</w:t>
      </w:r>
      <w:r>
        <w:rPr>
          <w:color w:val="222222"/>
        </w:rPr>
        <w:t xml:space="preserve"> while the contract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qty</w:t>
      </w:r>
      <w:r>
        <w:rPr>
          <w:color w:val="222222"/>
        </w:rPr>
        <w:t xml:space="preserve"> snaps back to the baseline. The variance becomes a claimable item without losing the baseline.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Re-priced rate</w:t>
      </w:r>
      <w:r>
        <w:rPr>
          <w:color w:val="222222"/>
        </w:rPr>
        <w:t xml:space="preserve"> → same pattern: the new rate goes to </w:t>
      </w:r>
      <w:r>
        <w:rPr>
          <w:b/>
          <w:bCs/>
          <w:color w:val="222222"/>
        </w:rPr>
        <w:t xml:space="preserve">Actual rate</w:t>
      </w:r>
      <w:r>
        <w:rPr>
          <w:color w:val="222222"/>
        </w:rPr>
        <w:t xml:space="preserve">, the contract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rate</w:t>
      </w:r>
      <w:r>
        <w:rPr>
          <w:color w:val="222222"/>
        </w:rPr>
        <w:t xml:space="preserve"> reverts to baseline.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Delete protection</w:t>
      </w:r>
      <w:r>
        <w:rPr>
          <w:color w:val="222222"/>
        </w:rPr>
        <w:t xml:space="preserve"> — any baseline line omitted from a save is </w:t>
      </w:r>
      <w:r>
        <w:rPr>
          <w:b/>
          <w:bCs/>
          <w:color w:val="222222"/>
        </w:rPr>
        <w:t xml:space="preserve">re-inserted</w:t>
      </w:r>
      <w:r>
        <w:rPr>
          <w:color w:val="222222"/>
        </w:rPr>
        <w:t xml:space="preserve"> (with its prior actuals/progress), so the contract sum can never silently shrink.</w:t>
      </w:r>
    </w:p>
    <w:p>
      <w:pPr>
        <w:spacing w:after="120" w:line="276"/>
      </w:pPr>
      <w:r>
        <w:rPr>
          <w:color w:val="222222"/>
        </w:rPr>
        <w:t xml:space="preserve">Editable while locked: rate (recorded as actual), actual qty/rate, category/trade, and completion status. Everything that would move the contract sum is captured as a tracked variance instead.</w:t>
      </w:r>
    </w:p>
    <w:p>
      <w:pPr>
        <w:spacing w:after="120" w:line="276"/>
      </w:pPr>
      <w:r>
        <w:rPr>
          <w:color w:val="222222"/>
        </w:rPr>
        <w:t xml:space="preserve">The result: the </w:t>
      </w:r>
      <w:r>
        <w:rPr>
          <w:b/>
          <w:bCs/>
          <w:color w:val="222222"/>
        </w:rPr>
        <w:t xml:space="preserve">contract sum stays stable</w:t>
      </w:r>
      <w:r>
        <w:rPr>
          <w:color w:val="222222"/>
        </w:rPr>
        <w:t xml:space="preserve">, while every deviation from it is surfaced and tracked.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1F5BA8" w:sz="6" w:space="4"/>
        </w:pBdr>
      </w:pPr>
      <w:r>
        <w:t xml:space="preserve">8. Variation Tracker</w:t>
      </w:r>
    </w:p>
    <w:p>
      <w:pPr>
        <w:spacing w:after="120" w:line="276"/>
      </w:pPr>
      <w:r>
        <w:rPr>
          <w:color w:val="222222"/>
        </w:rPr>
        <w:t xml:space="preserve">Variations are the controlled channel for change after the contract is set. Each variation carries: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description, qty, unit, rate, reference, issued date</w:t>
      </w:r>
      <w:r>
        <w:rPr>
          <w:color w:val="222222"/>
        </w:rPr>
        <w:t xml:space="preserve">, a </w:t>
      </w:r>
      <w:r>
        <w:rPr>
          <w:b/>
          <w:bCs/>
          <w:color w:val="222222"/>
        </w:rPr>
        <w:t xml:space="preserve">source</w:t>
      </w:r>
      <w:r>
        <w:rPr>
          <w:color w:val="222222"/>
        </w:rPr>
        <w:t xml:space="preserve"> (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manual</w:t>
      </w:r>
      <w:r>
        <w:rPr>
          <w:color w:val="222222"/>
        </w:rPr>
        <w:t xml:space="preserve"> or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post-lock-new-item</w:t>
      </w:r>
      <w:r>
        <w:rPr>
          <w:color w:val="222222"/>
        </w:rPr>
        <w:t xml:space="preserve">), and a </w:t>
      </w:r>
      <w:r>
        <w:rPr>
          <w:b/>
          <w:bCs/>
          <w:color w:val="222222"/>
        </w:rPr>
        <w:t xml:space="preserve">completed</w:t>
      </w:r>
      <w:r>
        <w:rPr>
          <w:color w:val="222222"/>
        </w:rPr>
        <w:t xml:space="preserve"> flag. Its value is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qty × rate</w:t>
      </w:r>
      <w:r>
        <w:rPr>
          <w:color w:val="2222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Manual variations</w:t>
      </w:r>
      <w:r>
        <w:rPr>
          <w:color w:val="222222"/>
        </w:rPr>
        <w:t xml:space="preserve"> — the QS keys them directly into the BOQ's Variations section (reference, description, qty, unit, rate, date).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Automatic variations</w:t>
      </w:r>
      <w:r>
        <w:rPr>
          <w:color w:val="222222"/>
        </w:rPr>
        <w:t xml:space="preserve"> — as described above, any line added to a </w:t>
      </w:r>
      <w:r>
        <w:rPr>
          <w:b/>
          <w:bCs/>
          <w:color w:val="222222"/>
        </w:rPr>
        <w:t xml:space="preserve">locked</w:t>
      </w:r>
      <w:r>
        <w:rPr>
          <w:color w:val="222222"/>
        </w:rPr>
        <w:t xml:space="preserve"> contract is automatically captured as a variation with reference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AUTO</w:t>
      </w:r>
      <w:r>
        <w:rPr>
          <w:color w:val="222222"/>
        </w:rPr>
        <w:t xml:space="preserve">, so out-of-contract scope can never slip into measured work unnoticed.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Roll-up rules</w:t>
      </w:r>
      <w:r>
        <w:rPr>
          <w:color w:val="222222"/>
        </w:rPr>
        <w:t xml:space="preserve"> — variations </w:t>
      </w:r>
      <w:r>
        <w:rPr>
          <w:b/>
          <w:bCs/>
          <w:color w:val="222222"/>
        </w:rPr>
        <w:t xml:space="preserve">always</w:t>
      </w:r>
      <w:r>
        <w:rPr>
          <w:color w:val="222222"/>
        </w:rPr>
        <w:t xml:space="preserve"> count toward the project total (and toward EVM's Budget at Completion), but count as </w:t>
      </w:r>
      <w:r>
        <w:rPr>
          <w:b/>
          <w:bCs/>
          <w:color w:val="222222"/>
        </w:rPr>
        <w:t xml:space="preserve">earned value only when marked completed</w:t>
      </w:r>
      <w:r>
        <w:rPr>
          <w:color w:val="222222"/>
        </w:rPr>
        <w:t xml:space="preserve">. The same semantics apply to provisional sums.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Progress propagation</w:t>
      </w:r>
      <w:r>
        <w:rPr>
          <w:color w:val="222222"/>
        </w:rPr>
        <w:t xml:space="preserve"> — when a WBS task linked to a variation reaches 100%, the variation is automatically flipped to completed.</w:t>
      </w:r>
    </w:p>
    <w:p>
      <w:pPr>
        <w:spacing w:after="120" w:line="276"/>
      </w:pPr>
      <w:r>
        <w:rPr>
          <w:color w:val="222222"/>
        </w:rPr>
        <w:t xml:space="preserve">A </w:t>
      </w:r>
      <w:r>
        <w:rPr>
          <w:b/>
          <w:bCs/>
          <w:color w:val="222222"/>
        </w:rPr>
        <w:t xml:space="preserve">Contract Movement</w:t>
      </w:r>
      <w:r>
        <w:rPr>
          <w:color w:val="222222"/>
        </w:rPr>
        <w:t xml:space="preserve"> panel on the PM dashboard visualises variations declared vs executed, PC sums released, and the forecast final cost vs the contract sum (savings or over-run).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1F5BA8" w:sz="6" w:space="4"/>
        </w:pBdr>
      </w:pPr>
      <w:r>
        <w:t xml:space="preserve">9. Interim Valuation &amp; Payment Certificates</w:t>
      </w:r>
    </w:p>
    <w:p>
      <w:pPr>
        <w:spacing w:after="120" w:line="276"/>
      </w:pPr>
      <w:r>
        <w:rPr>
          <w:color w:val="222222"/>
        </w:rPr>
        <w:t xml:space="preserve">The platform issues proper </w:t>
      </w:r>
      <w:r>
        <w:rPr>
          <w:b/>
          <w:bCs/>
          <w:color w:val="222222"/>
        </w:rPr>
        <w:t xml:space="preserve">interim payment certificates</w:t>
      </w:r>
      <w:r>
        <w:rPr>
          <w:color w:val="222222"/>
        </w:rPr>
        <w:t xml:space="preserve"> on the cumulative-less-previous basis, with full retention/VAT/WHT handling.</w:t>
      </w:r>
    </w:p>
    <w:p>
      <w:pPr>
        <w:pStyle w:val="Heading2"/>
      </w:pPr>
      <w:r>
        <w:t xml:space="preserve">9.1 How a certificate is computed</w:t>
      </w:r>
    </w:p>
    <w:p>
      <w:pPr>
        <w:spacing w:after="120" w:line="276"/>
      </w:pPr>
      <w:r>
        <w:rPr>
          <w:color w:val="222222"/>
        </w:rPr>
        <w:t xml:space="preserve">Issuing a certificate computes the </w:t>
      </w:r>
      <w:r>
        <w:rPr>
          <w:b/>
          <w:bCs/>
          <w:color w:val="222222"/>
        </w:rPr>
        <w:t xml:space="preserve">cumulative value to date</w:t>
      </w:r>
      <w:r>
        <w:rPr>
          <w:color w:val="222222"/>
        </w:rPr>
        <w:t xml:space="preserve"> across all streams: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Measured work</w:t>
      </w:r>
      <w:r>
        <w:rPr>
          <w:color w:val="222222"/>
        </w:rPr>
        <w:t xml:space="preserve"> —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Σ (actual or planned qty) × (actual or planned rate) × valuationFactor</w:t>
      </w:r>
      <w:r>
        <w:rPr>
          <w:color w:val="222222"/>
        </w:rPr>
        <w:t xml:space="preserve">, so </w:t>
      </w:r>
      <w:r>
        <w:rPr>
          <w:b/>
          <w:bCs/>
          <w:color w:val="222222"/>
        </w:rPr>
        <w:t xml:space="preserve">partial progress flows in</w:t>
      </w:r>
      <w:r>
        <w:rPr>
          <w:color w:val="222222"/>
        </w:rPr>
        <w:t xml:space="preserve"> (a line at 60% contributes 60%).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Variations</w:t>
      </w:r>
      <w:r>
        <w:rPr>
          <w:color w:val="222222"/>
        </w:rPr>
        <w:t xml:space="preserve"> — completed variations only.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Provisional sums</w:t>
      </w:r>
      <w:r>
        <w:rPr>
          <w:color w:val="222222"/>
        </w:rPr>
        <w:t xml:space="preserve"> — completed only.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Preliminaries</w:t>
      </w:r>
      <w:r>
        <w:rPr>
          <w:color w:val="222222"/>
        </w:rPr>
        <w:t xml:space="preserve"> — the preliminary pool × the completed allocation.</w:t>
      </w:r>
    </w:p>
    <w:p>
      <w:pPr>
        <w:spacing w:after="120" w:line="276"/>
      </w:pPr>
      <w:r>
        <w:rPr>
          <w:color w:val="222222"/>
        </w:rPr>
        <w:t xml:space="preserve">Then the certificate arithmetic: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2"/>
              <w:left w:val="single" w:color="2E74B5" w:sz="18"/>
              <w:bottom w:val="single" w:color="D5DCE4" w:sz="2"/>
              <w:right w:val="single" w:color="D5DCE4" w:sz="2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This certificate  = max(0, Cumulative value − Σ previous certificates)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Retention         = This certificate × Retention%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Net before tax    = This certificate − Retention + Retention released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VAT               = Net before tax × VAT%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WHT               = Net before tax × WHT%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Net payable       = Net before tax + VAT − WHT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color w:val="222222"/>
        </w:rPr>
        <w:t xml:space="preserve">Retention/VAT/WHT rates default from the project's valuation settings and are </w:t>
      </w:r>
      <w:r>
        <w:rPr>
          <w:b/>
          <w:bCs/>
          <w:color w:val="222222"/>
        </w:rPr>
        <w:t xml:space="preserve">captured at issue</w:t>
      </w:r>
      <w:r>
        <w:rPr>
          <w:color w:val="222222"/>
        </w:rPr>
        <w:t xml:space="preserve">, so historical certificates remain reproducible even if rates later change. Certificates are numbered automatically.</w:t>
      </w:r>
    </w:p>
    <w:p>
      <w:pPr>
        <w:pStyle w:val="Heading2"/>
      </w:pPr>
      <w:r>
        <w:t xml:space="preserve">9.2 Certificate lifecycle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Status</w:t>
      </w:r>
      <w:r>
        <w:rPr>
          <w:color w:val="222222"/>
        </w:rPr>
        <w:t xml:space="preserve"> — each certificate is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draft → approved → paid</w:t>
      </w:r>
      <w:r>
        <w:rPr>
          <w:color w:val="222222"/>
        </w:rPr>
        <w:t xml:space="preserve">, set from a per-row dropdown.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Immutable financials</w:t>
      </w:r>
      <w:r>
        <w:rPr>
          <w:color w:val="222222"/>
        </w:rPr>
        <w:t xml:space="preserve"> — once issued, only status/notes/dates can be edited; the money is frozen.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Safe deletion</w:t>
      </w:r>
      <w:r>
        <w:rPr>
          <w:color w:val="222222"/>
        </w:rPr>
        <w:t xml:space="preserve"> — only the </w:t>
      </w:r>
      <w:r>
        <w:rPr>
          <w:b/>
          <w:bCs/>
          <w:color w:val="222222"/>
        </w:rPr>
        <w:t xml:space="preserve">latest</w:t>
      </w:r>
      <w:r>
        <w:rPr>
          <w:color w:val="222222"/>
        </w:rPr>
        <w:t xml:space="preserve"> certificate can be deleted, preserving the cumulative chain.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Export</w:t>
      </w:r>
      <w:r>
        <w:rPr>
          <w:color w:val="222222"/>
        </w:rPr>
        <w:t xml:space="preserve"> — certificates export to Excel; the valuation tab can also produce a printable </w:t>
      </w:r>
      <w:r>
        <w:rPr>
          <w:b/>
          <w:bCs/>
          <w:color w:val="222222"/>
        </w:rPr>
        <w:t xml:space="preserve">Interim Payment Application</w:t>
      </w:r>
      <w:r>
        <w:rPr>
          <w:color w:val="222222"/>
        </w:rPr>
        <w:t xml:space="preserve"> from the daily valuation log.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A </w:t>
      </w:r>
      <w:r>
        <w:rPr>
          <w:b/>
          <w:bCs/>
          <w:color w:val="222222"/>
        </w:rPr>
        <w:t xml:space="preserve">totals footer</w:t>
      </w:r>
      <w:r>
        <w:rPr>
          <w:color w:val="222222"/>
        </w:rPr>
        <w:t xml:space="preserve"> shows total certified and net retention held.</w:t>
      </w:r>
    </w:p>
    <w:p>
      <w:pPr>
        <w:pStyle w:val="Heading2"/>
      </w:pPr>
      <w:r>
        <w:t xml:space="preserve">9.3 Final account</w:t>
      </w:r>
    </w:p>
    <w:p>
      <w:pPr>
        <w:spacing w:after="120" w:line="276"/>
      </w:pPr>
      <w:r>
        <w:rPr>
          <w:color w:val="222222"/>
        </w:rPr>
        <w:t xml:space="preserve">When work is complete, the project is closed out with a </w:t>
      </w:r>
      <w:r>
        <w:rPr>
          <w:b/>
          <w:bCs/>
          <w:color w:val="222222"/>
        </w:rPr>
        <w:t xml:space="preserve">Final Account</w:t>
      </w:r>
      <w:r>
        <w:rPr>
          <w:color w:val="222222"/>
        </w:rPr>
        <w:t xml:space="preserve"> that snapshots final measured work, provisional, preliminaries and variations; sums retention released and total certified to date; and computes: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2"/>
              <w:left w:val="single" w:color="2E74B5" w:sz="18"/>
              <w:bottom w:val="single" w:color="D5DCE4" w:sz="2"/>
              <w:right w:val="single" w:color="D5DCE4" w:sz="2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Final contract value = Measured + Provisional + Preliminary + Variations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Savings              = Agreed contract sum − Final contract value     (positive = under-run)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color w:val="222222"/>
        </w:rPr>
        <w:t xml:space="preserve">Finalising freezes the project (no further certificates or BOQ edits); it can be reopened if needed.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1F5BA8" w:sz="6" w:space="4"/>
        </w:pBdr>
      </w:pPr>
      <w:r>
        <w:t xml:space="preserve">10. Project Management — WBS &amp; linking cost with WBS</w:t>
      </w:r>
    </w:p>
    <w:p>
      <w:pPr>
        <w:spacing w:after="120" w:line="276"/>
      </w:pPr>
      <w:r>
        <w:rPr>
          <w:color w:val="222222"/>
        </w:rPr>
        <w:t xml:space="preserve">The PM layer turns the priced BOQ into a costed </w:t>
      </w:r>
      <w:r>
        <w:rPr>
          <w:b/>
          <w:bCs/>
          <w:color w:val="222222"/>
        </w:rPr>
        <w:t xml:space="preserve">work programme</w:t>
      </w:r>
      <w:r>
        <w:rPr>
          <w:color w:val="222222"/>
        </w:rPr>
        <w:t xml:space="preserve">. Its defining capability is </w:t>
      </w:r>
      <w:r>
        <w:rPr>
          <w:b/>
          <w:bCs/>
          <w:color w:val="222222"/>
        </w:rPr>
        <w:t xml:space="preserve">linking cost to the Work Breakdown Structure</w:t>
      </w:r>
      <w:r>
        <w:rPr>
          <w:color w:val="222222"/>
        </w:rPr>
        <w:t xml:space="preserve">, so schedule progress and commercial value stay reconciled.</w:t>
      </w:r>
    </w:p>
    <w:p>
      <w:pPr>
        <w:pStyle w:val="Heading2"/>
      </w:pPr>
      <w:r>
        <w:t xml:space="preserve">10.1 The WBS / task model</w:t>
      </w:r>
    </w:p>
    <w:p>
      <w:pPr>
        <w:spacing w:after="120" w:line="276"/>
      </w:pPr>
      <w:r>
        <w:rPr>
          <w:color w:val="222222"/>
        </w:rPr>
        <w:t xml:space="preserve">Each task carries a dotted </w:t>
      </w:r>
      <w:r>
        <w:rPr>
          <w:b/>
          <w:bCs/>
          <w:color w:val="222222"/>
        </w:rPr>
        <w:t xml:space="preserve">WBS code</w:t>
      </w:r>
      <w:r>
        <w:rPr>
          <w:color w:val="222222"/>
        </w:rPr>
        <w:t xml:space="preserve"> (e.g.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A.21.1</w:t>
      </w:r>
      <w:r>
        <w:rPr>
          <w:color w:val="222222"/>
        </w:rPr>
        <w:t xml:space="preserve">), name, schedule (start/end, baseline start/end, duration, actuals), predecessors, critical-path flag, % complete, status, priority, and </w:t>
      </w:r>
      <w:r>
        <w:rPr>
          <w:b/>
          <w:bCs/>
          <w:color w:val="222222"/>
        </w:rPr>
        <w:t xml:space="preserve">cost links</w:t>
      </w:r>
      <w:r>
        <w:rPr>
          <w:color w:val="222222"/>
        </w:rPr>
        <w:t xml:space="preserve">.</w:t>
      </w:r>
    </w:p>
    <w:p>
      <w:pPr>
        <w:pStyle w:val="Heading2"/>
      </w:pPr>
      <w:r>
        <w:t xml:space="preserve">10.2 Three ways to build the WBS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  <w:color w:val="222222"/>
        </w:rPr>
        <w:t xml:space="preserve">Manual</w:t>
      </w:r>
      <w:r>
        <w:rPr>
          <w:color w:val="222222"/>
        </w:rPr>
        <w:t xml:space="preserve"> — add tasks with a WBS code, dates, priority, milestone/critical-path flags, and either a manual ₦ cost or BOQ links.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  <w:color w:val="222222"/>
        </w:rPr>
        <w:t xml:space="preserve">Generate from BOQ</w:t>
      </w:r>
      <w:r>
        <w:rPr>
          <w:color w:val="222222"/>
        </w:rPr>
        <w:t xml:space="preserve"> — one task per BOQ line, auto-linked, with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baselineCost = qty × rate</w:t>
      </w:r>
      <w:r>
        <w:rPr>
          <w:color w:val="222222"/>
        </w:rPr>
        <w:t xml:space="preserve"> and dates distributed across the programme window. Re-running updates existing tasks rather than duplicating.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  <w:color w:val="222222"/>
        </w:rPr>
        <w:t xml:space="preserve">Import MS Project</w:t>
      </w:r>
      <w:r>
        <w:rPr>
          <w:color w:val="222222"/>
        </w:rPr>
        <w:t xml:space="preserve"> — upload a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.xml</w:t>
      </w:r>
      <w:r>
        <w:rPr>
          <w:color w:val="222222"/>
        </w:rPr>
        <w:t xml:space="preserve"> (or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.mpp</w:t>
      </w:r>
      <w:r>
        <w:rPr>
          <w:color w:val="222222"/>
        </w:rPr>
        <w:t xml:space="preserve">) programme. The importer reads dates, baselines, durations, % complete, WBS/outline numbers, milestones, summaries, predecessors and the </w:t>
      </w:r>
      <w:r>
        <w:rPr>
          <w:b/>
          <w:bCs/>
          <w:color w:val="222222"/>
        </w:rPr>
        <w:t xml:space="preserve">critical path</w:t>
      </w:r>
      <w:r>
        <w:rPr>
          <w:color w:val="222222"/>
        </w:rPr>
        <w:t xml:space="preserve"> (from the Critical flag or zero total slack). It deliberately ignores resource-derived costs (importing only explicit baseline costs) so your cost baseline stays clean.</w:t>
      </w:r>
    </w:p>
    <w:p>
      <w:pPr>
        <w:pStyle w:val="Heading2"/>
      </w:pPr>
      <w:r>
        <w:t xml:space="preserve">10.3 Linking cost to the WBS (the core feature)</w:t>
      </w:r>
    </w:p>
    <w:p>
      <w:pPr>
        <w:spacing w:after="120" w:line="276"/>
      </w:pPr>
      <w:r>
        <w:rPr>
          <w:color w:val="222222"/>
        </w:rPr>
        <w:t xml:space="preserve">Tasks link to one or more BOQ lines — </w:t>
      </w:r>
      <w:r>
        <w:rPr>
          <w:b/>
          <w:bCs/>
          <w:color w:val="222222"/>
        </w:rPr>
        <w:t xml:space="preserve">measured items, preliminaries, PC sums, or variations</w:t>
      </w:r>
      <w:r>
        <w:rPr>
          <w:color w:val="222222"/>
        </w:rPr>
        <w:t xml:space="preserve"> — through a searchable picker. The differentiator is </w:t>
      </w:r>
      <w:r>
        <w:rPr>
          <w:b/>
          <w:bCs/>
          <w:color w:val="222222"/>
        </w:rPr>
        <w:t xml:space="preserve">weighting</w:t>
      </w:r>
      <w:r>
        <w:rPr>
          <w:color w:val="2222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A single BOQ line can be </w:t>
      </w:r>
      <w:r>
        <w:rPr>
          <w:b/>
          <w:bCs/>
          <w:color w:val="222222"/>
        </w:rPr>
        <w:t xml:space="preserve">split across several tasks</w:t>
      </w:r>
      <w:r>
        <w:rPr>
          <w:color w:val="222222"/>
        </w:rPr>
        <w:t xml:space="preserve"> by weight (e.g. an electrical line as </w:t>
      </w:r>
      <w:r>
        <w:rPr>
          <w:i/>
          <w:iCs/>
          <w:color w:val="222222"/>
        </w:rPr>
        <w:t xml:space="preserve">first-fix 70% / final-fix 30%</w:t>
      </w:r>
      <w:r>
        <w:rPr>
          <w:color w:val="2222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A task's </w:t>
      </w:r>
      <w:r>
        <w:rPr>
          <w:b/>
          <w:bCs/>
          <w:color w:val="222222"/>
        </w:rPr>
        <w:t xml:space="preserve">baseline cost</w:t>
      </w:r>
      <w:r>
        <w:rPr>
          <w:color w:val="222222"/>
        </w:rPr>
        <w:t xml:space="preserve"> is the weighted sum of its linked lines: 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Σ item.amount × weight%</w:t>
      </w:r>
      <w:r>
        <w:rPr>
          <w:color w:val="2222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A </w:t>
      </w:r>
      <w:r>
        <w:rPr>
          <w:b/>
          <w:bCs/>
          <w:color w:val="222222"/>
        </w:rPr>
        <w:t xml:space="preserve">WBS-link health chip</w:t>
      </w:r>
      <w:r>
        <w:rPr>
          <w:color w:val="222222"/>
        </w:rPr>
        <w:t xml:space="preserve"> on each BOQ row shows whether that line is fully allocated (emerald = 100%), under-allocated (a WBS gap), or over-allocated (a double-count risk).</w:t>
      </w:r>
    </w:p>
    <w:p>
      <w:pPr>
        <w:spacing w:after="120" w:line="276"/>
      </w:pPr>
      <w:r>
        <w:rPr>
          <w:b/>
          <w:bCs/>
          <w:color w:val="222222"/>
        </w:rPr>
        <w:t xml:space="preserve">Smart auto-linking</w:t>
      </w:r>
      <w:r>
        <w:rPr>
          <w:color w:val="222222"/>
        </w:rPr>
        <w:t xml:space="preserve"> matches imported task names to BOQ items using (a) per-user </w:t>
      </w:r>
      <w:r>
        <w:rPr>
          <w:b/>
          <w:bCs/>
          <w:color w:val="222222"/>
        </w:rPr>
        <w:t xml:space="preserve">learned mappings</w:t>
      </w:r>
      <w:r>
        <w:rPr>
          <w:color w:val="222222"/>
        </w:rPr>
        <w:t xml:space="preserve"> that improve over time and (b) fuzzy matching, reporting how many links were made. Re-importing an updated programme </w:t>
      </w:r>
      <w:r>
        <w:rPr>
          <w:b/>
          <w:bCs/>
          <w:color w:val="222222"/>
        </w:rPr>
        <w:t xml:space="preserve">smart-merges</w:t>
      </w:r>
      <w:r>
        <w:rPr>
          <w:color w:val="222222"/>
        </w:rPr>
        <w:t xml:space="preserve">: schedule fields refresh from MS Project while progress, cost links and manual edits are preserved.</w:t>
      </w:r>
    </w:p>
    <w:p>
      <w:pPr>
        <w:pStyle w:val="Heading2"/>
      </w:pPr>
      <w:r>
        <w:t xml:space="preserve">10.4 WBS roll-ups &amp; scheduling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Summary tasks</w:t>
      </w:r>
      <w:r>
        <w:rPr>
          <w:color w:val="222222"/>
        </w:rPr>
        <w:t xml:space="preserve"> roll up their leaf descendants — baseline/actual cost, weighted % complete, and earliest-start/latest-finish — purely from the WBS code hierarchy.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Auto-reschedule</w:t>
      </w:r>
      <w:r>
        <w:rPr>
          <w:color w:val="222222"/>
        </w:rPr>
        <w:t xml:space="preserve"> — changing the project start cascades dates through the network (finish-to-start, cycle-safe), and a manual reschedule recalculates the whole programme.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A </w:t>
      </w:r>
      <w:r>
        <w:rPr>
          <w:b/>
          <w:bCs/>
          <w:color w:val="222222"/>
        </w:rPr>
        <w:t xml:space="preserve">BOQ heatmap</w:t>
      </w:r>
      <w:r>
        <w:rPr>
          <w:color w:val="222222"/>
        </w:rPr>
        <w:t xml:space="preserve"> renders every line as a colour-coded progress cell (grouped by category/trade), giving an at-a-glance picture of where work stands.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A </w:t>
      </w:r>
      <w:r>
        <w:rPr>
          <w:b/>
          <w:bCs/>
          <w:color w:val="222222"/>
        </w:rPr>
        <w:t xml:space="preserve">calendar export</w:t>
      </w:r>
      <w:r>
        <w:rPr>
          <w:color w:val="222222"/>
        </w:rPr>
        <w:t xml:space="preserve"> (</w:t>
      </w:r>
      <w:r>
        <w:rPr>
          <w:rFonts w:ascii="Consolas" w:cs="Consolas" w:eastAsia="Consolas" w:hAnsi="Consolas"/>
          <w:color w:val="1B3A57"/>
          <w:sz w:val="19"/>
          <w:szCs w:val="19"/>
          <w:shd w:fill="EEF1F4" w:val="clear"/>
        </w:rPr>
        <w:t xml:space="preserve">.ics</w:t>
      </w:r>
      <w:r>
        <w:rPr>
          <w:color w:val="222222"/>
        </w:rPr>
        <w:t xml:space="preserve">) puts the programme into any calendar app.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1F5BA8" w:sz="6" w:space="4"/>
        </w:pBdr>
      </w:pPr>
      <w:r>
        <w:t xml:space="preserve">11. Earned Value Management (EVM)</w:t>
      </w:r>
    </w:p>
    <w:p>
      <w:pPr>
        <w:spacing w:after="120" w:line="276"/>
      </w:pPr>
      <w:r>
        <w:rPr>
          <w:color w:val="222222"/>
        </w:rPr>
        <w:t xml:space="preserve">Because cost is linked to the WBS, the platform produces genuine </w:t>
      </w:r>
      <w:r>
        <w:rPr>
          <w:b/>
          <w:bCs/>
          <w:color w:val="222222"/>
        </w:rPr>
        <w:t xml:space="preserve">earned-value</w:t>
      </w:r>
      <w:r>
        <w:rPr>
          <w:color w:val="222222"/>
        </w:rPr>
        <w:t xml:space="preserve"> project controls on the PM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0"/>
        <w:gridCol w:w="1950"/>
        <w:gridCol w:w="5720"/>
      </w:tblGrid>
      <w:tr>
        <w:trPr>
          <w:tblHeader/>
        </w:trPr>
        <w:tc>
          <w:tcPr>
            <w:tcW w:type="dxa" w:w="1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5BA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5BA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57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5BA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How it's derived</w:t>
            </w:r>
          </w:p>
        </w:tc>
      </w:tr>
      <w:tr>
        <w:tc>
          <w:tcPr>
            <w:tcW w:type="dxa" w:w="1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BAC</w:t>
            </w:r>
            <w:r>
              <w:rPr>
                <w:color w:val="222222"/>
              </w:rPr>
              <w:t xml:space="preserve"> (Budget at Completion)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Total project budget</w:t>
            </w:r>
          </w:p>
        </w:tc>
        <w:tc>
          <w:tcPr>
            <w:tcW w:type="dxa" w:w="57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The live project total (forced to it when the contract is locked)</w:t>
            </w:r>
          </w:p>
        </w:tc>
      </w:tr>
      <w:tr>
        <w:tc>
          <w:tcPr>
            <w:tcW w:type="dxa" w:w="1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PV</w:t>
            </w:r>
            <w:r>
              <w:rPr>
                <w:color w:val="222222"/>
              </w:rPr>
              <w:t xml:space="preserve"> (Planned Value)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What </w:t>
            </w:r>
            <w:r>
              <w:rPr>
                <w:i/>
                <w:iCs/>
                <w:color w:val="222222"/>
              </w:rPr>
              <w:t xml:space="preserve">should</w:t>
            </w:r>
            <w:r>
              <w:rPr>
                <w:color w:val="222222"/>
              </w:rPr>
              <w:t xml:space="preserve"> be earned by today</w:t>
            </w:r>
          </w:p>
        </w:tc>
        <w:tc>
          <w:tcPr>
            <w:tcW w:type="dxa" w:w="57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Schedule-based: each task's baseline cost interpolated between its baseline start/finish</w:t>
            </w:r>
          </w:p>
        </w:tc>
      </w:tr>
      <w:tr>
        <w:tc>
          <w:tcPr>
            <w:tcW w:type="dxa" w:w="1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EV</w:t>
            </w:r>
            <w:r>
              <w:rPr>
                <w:color w:val="222222"/>
              </w:rPr>
              <w:t xml:space="preserve"> (Earned Value)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Value actually delivered</w:t>
            </w:r>
          </w:p>
        </w:tc>
        <w:tc>
          <w:tcPr>
            <w:tcW w:type="dxa" w:w="57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BOQ-side earned value: measured (partial-aware) + completed PC/variations/preliminaries</w:t>
            </w:r>
          </w:p>
        </w:tc>
      </w:tr>
      <w:tr>
        <w:tc>
          <w:tcPr>
            <w:tcW w:type="dxa" w:w="1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AC</w:t>
            </w:r>
            <w:r>
              <w:rPr>
                <w:color w:val="222222"/>
              </w:rPr>
              <w:t xml:space="preserve"> (Actual Cost)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Spent to date</w:t>
            </w:r>
          </w:p>
        </w:tc>
        <w:tc>
          <w:tcPr>
            <w:tcW w:type="dxa" w:w="57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Actual costs recorded against the work</w:t>
            </w:r>
          </w:p>
        </w:tc>
      </w:tr>
      <w:tr>
        <w:tc>
          <w:tcPr>
            <w:tcW w:type="dxa" w:w="1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CPI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Cost performance</w:t>
            </w:r>
          </w:p>
        </w:tc>
        <w:tc>
          <w:tcPr>
            <w:tcW w:type="dxa" w:w="57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B3A57"/>
                <w:sz w:val="19"/>
                <w:szCs w:val="19"/>
                <w:shd w:fill="EEF1F4" w:val="clear"/>
              </w:rPr>
              <w:t xml:space="preserve">EV / AC</w:t>
            </w:r>
          </w:p>
        </w:tc>
      </w:tr>
      <w:tr>
        <w:tc>
          <w:tcPr>
            <w:tcW w:type="dxa" w:w="1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SPI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Schedule performance</w:t>
            </w:r>
          </w:p>
        </w:tc>
        <w:tc>
          <w:tcPr>
            <w:tcW w:type="dxa" w:w="57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B3A57"/>
                <w:sz w:val="19"/>
                <w:szCs w:val="19"/>
                <w:shd w:fill="EEF1F4" w:val="clear"/>
              </w:rPr>
              <w:t xml:space="preserve">EV / PV</w:t>
            </w:r>
          </w:p>
        </w:tc>
      </w:tr>
      <w:tr>
        <w:tc>
          <w:tcPr>
            <w:tcW w:type="dxa" w:w="1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EAC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Forecast final cost</w:t>
            </w:r>
          </w:p>
        </w:tc>
        <w:tc>
          <w:tcPr>
            <w:tcW w:type="dxa" w:w="57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B3A57"/>
                <w:sz w:val="19"/>
                <w:szCs w:val="19"/>
                <w:shd w:fill="EEF1F4" w:val="clear"/>
              </w:rPr>
              <w:t xml:space="preserve">BAC / CPI</w:t>
            </w:r>
          </w:p>
        </w:tc>
      </w:tr>
      <w:tr>
        <w:tc>
          <w:tcPr>
            <w:tcW w:type="dxa" w:w="1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b/>
                <w:bCs/>
                <w:color w:val="222222"/>
              </w:rPr>
              <w:t xml:space="preserve">VAC</w:t>
            </w:r>
          </w:p>
        </w:tc>
        <w:tc>
          <w:tcPr>
            <w:tcW w:type="dxa" w:w="19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Forecast variance</w:t>
            </w:r>
          </w:p>
        </w:tc>
        <w:tc>
          <w:tcPr>
            <w:tcW w:type="dxa" w:w="57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B3A57"/>
                <w:sz w:val="19"/>
                <w:szCs w:val="19"/>
                <w:shd w:fill="EEF1F4" w:val="clear"/>
              </w:rPr>
              <w:t xml:space="preserve">BAC − EAC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222222"/>
        </w:rPr>
        <w:t xml:space="preserve">The dashboard surfaces six headline tiles (Progress %, Budget Used %, Overdue, CPI, SPI, Tasks Done %), a </w:t>
      </w:r>
      <w:r>
        <w:rPr>
          <w:b/>
          <w:bCs/>
          <w:color w:val="222222"/>
        </w:rPr>
        <w:t xml:space="preserve">budget bar</w:t>
      </w:r>
      <w:r>
        <w:rPr>
          <w:color w:val="222222"/>
        </w:rPr>
        <w:t xml:space="preserve"> (BAC/EV/AC), a </w:t>
      </w:r>
      <w:r>
        <w:rPr>
          <w:b/>
          <w:bCs/>
          <w:color w:val="222222"/>
        </w:rPr>
        <w:t xml:space="preserve">tasks donut</w:t>
      </w:r>
      <w:r>
        <w:rPr>
          <w:color w:val="222222"/>
        </w:rPr>
        <w:t xml:space="preserve">, a </w:t>
      </w:r>
      <w:r>
        <w:rPr>
          <w:b/>
          <w:bCs/>
          <w:color w:val="222222"/>
        </w:rPr>
        <w:t xml:space="preserve">burndown chart</w:t>
      </w:r>
      <w:r>
        <w:rPr>
          <w:color w:val="222222"/>
        </w:rPr>
        <w:t xml:space="preserve"> (planned vs actual remaining), and a </w:t>
      </w:r>
      <w:r>
        <w:rPr>
          <w:b/>
          <w:bCs/>
          <w:color w:val="222222"/>
        </w:rPr>
        <w:t xml:space="preserve">WBS health strip</w:t>
      </w:r>
      <w:r>
        <w:rPr>
          <w:color w:val="222222"/>
        </w:rPr>
        <w:t xml:space="preserve"> (status &amp; priority mix + critical-path banner).</w:t>
      </w:r>
    </w:p>
    <w:p>
      <w:pPr>
        <w:spacing w:after="120" w:line="276"/>
      </w:pPr>
      <w:r>
        <w:rPr>
          <w:color w:val="222222"/>
        </w:rPr>
        <w:t xml:space="preserve">A standout integrity feature is the </w:t>
      </w:r>
      <w:r>
        <w:rPr>
          <w:b/>
          <w:bCs/>
          <w:color w:val="222222"/>
        </w:rPr>
        <w:t xml:space="preserve">BOQ↔WBS coverage reconciliation</w:t>
      </w:r>
      <w:r>
        <w:rPr>
          <w:color w:val="222222"/>
        </w:rPr>
        <w:t xml:space="preserve">: it classifies every BOQ line as </w:t>
      </w:r>
      <w:r>
        <w:rPr>
          <w:i/>
          <w:iCs/>
          <w:color w:val="222222"/>
        </w:rPr>
        <w:t xml:space="preserve">unlinked, fully linked, under-linked,</w:t>
      </w:r>
      <w:r>
        <w:rPr>
          <w:color w:val="222222"/>
        </w:rPr>
        <w:t xml:space="preserve"> or </w:t>
      </w:r>
      <w:r>
        <w:rPr>
          <w:i/>
          <w:iCs/>
          <w:color w:val="222222"/>
        </w:rPr>
        <w:t xml:space="preserve">over-linked</w:t>
      </w:r>
      <w:r>
        <w:rPr>
          <w:color w:val="222222"/>
        </w:rPr>
        <w:t xml:space="preserve">, flags </w:t>
      </w:r>
      <w:r>
        <w:rPr>
          <w:b/>
          <w:bCs/>
          <w:color w:val="222222"/>
        </w:rPr>
        <w:t xml:space="preserve">stale links</w:t>
      </w:r>
      <w:r>
        <w:rPr>
          <w:color w:val="222222"/>
        </w:rPr>
        <w:t xml:space="preserve"> (a task pointing at a line that was renamed or removed — which would silently drop its baseline to ₦0), and reports an overall coverage %. This catches the classic earned-value error of double-counting or missing scope.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1F5BA8" w:sz="6" w:space="4"/>
        </w:pBdr>
      </w:pPr>
      <w:r>
        <w:t xml:space="preserve">12. Progress tracking &amp; the valuation audit trail</w:t>
      </w:r>
    </w:p>
    <w:p>
      <w:pPr>
        <w:spacing w:after="120" w:line="276"/>
      </w:pPr>
      <w:r>
        <w:rPr>
          <w:color w:val="222222"/>
        </w:rPr>
        <w:t xml:space="preserve">Progress is captured as an </w:t>
      </w:r>
      <w:r>
        <w:rPr>
          <w:b/>
          <w:bCs/>
          <w:color w:val="222222"/>
        </w:rPr>
        <w:t xml:space="preserve">append-only valuation ledger</w:t>
      </w:r>
      <w:r>
        <w:rPr>
          <w:color w:val="222222"/>
        </w:rPr>
        <w:t xml:space="preserve">. Every time a line's earned position changes — a binary ratification or a % movement — the platform records a signed event (the value delta, the before/after %, and the day it was marked). Summing the positive deltas for a period gives the </w:t>
      </w:r>
      <w:r>
        <w:rPr>
          <w:b/>
          <w:bCs/>
          <w:color w:val="222222"/>
        </w:rPr>
        <w:t xml:space="preserve">value of work done</w:t>
      </w:r>
      <w:r>
        <w:rPr>
          <w:color w:val="222222"/>
        </w:rPr>
        <w:t xml:space="preserve"> in that period.</w:t>
      </w:r>
    </w:p>
    <w:p>
      <w:pPr>
        <w:spacing w:after="120" w:line="276"/>
      </w:pPr>
      <w:r>
        <w:rPr>
          <w:color w:val="222222"/>
        </w:rPr>
        <w:t xml:space="preserve">These events roll into </w:t>
      </w:r>
      <w:r>
        <w:rPr>
          <w:b/>
          <w:bCs/>
          <w:color w:val="222222"/>
        </w:rPr>
        <w:t xml:space="preserve">daily valuation logs</w:t>
      </w:r>
      <w:r>
        <w:rPr>
          <w:color w:val="222222"/>
        </w:rPr>
        <w:t xml:space="preserve"> (with a staleness filter so reverted lines don't linger), which power the valuation date selector and the printable interim certificate. Progress is also </w:t>
      </w:r>
      <w:r>
        <w:rPr>
          <w:b/>
          <w:bCs/>
          <w:color w:val="222222"/>
        </w:rPr>
        <w:t xml:space="preserve">bi-directional</w:t>
      </w:r>
      <w:r>
        <w:rPr>
          <w:color w:val="222222"/>
        </w:rPr>
        <w:t xml:space="preserve">: updating a WBS task's % complete propagates back to its linked BOQ lines as a weighted sum, which then flows through the same valuation pipeline — so the schedule and the bill always agree on how much has been earned.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1F5BA8" w:sz="6" w:space="4"/>
        </w:pBdr>
      </w:pPr>
      <w:r>
        <w:t xml:space="preserve">13. Client sharing — the public dashboard</w:t>
      </w:r>
    </w:p>
    <w:p>
      <w:pPr>
        <w:spacing w:after="120" w:line="276"/>
      </w:pPr>
      <w:r>
        <w:rPr>
          <w:color w:val="222222"/>
        </w:rPr>
        <w:t xml:space="preserve">Any project can be shared with the client through a </w:t>
      </w:r>
      <w:r>
        <w:rPr>
          <w:b/>
          <w:bCs/>
          <w:color w:val="222222"/>
        </w:rPr>
        <w:t xml:space="preserve">read-only public link</w:t>
      </w:r>
      <w:r>
        <w:rPr>
          <w:color w:val="222222"/>
        </w:rPr>
        <w:t xml:space="preserve"> (no login required). The public dashboard re-frames the QS numbers in plain client-facing language: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An </w:t>
      </w:r>
      <w:r>
        <w:rPr>
          <w:b/>
          <w:bCs/>
          <w:color w:val="222222"/>
        </w:rPr>
        <w:t xml:space="preserve">on-track / watch / over-budget</w:t>
      </w:r>
      <w:r>
        <w:rPr>
          <w:color w:val="222222"/>
        </w:rPr>
        <w:t xml:space="preserve"> status banner and a progress ring with physical and cost bars.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The full </w:t>
      </w:r>
      <w:r>
        <w:rPr>
          <w:b/>
          <w:bCs/>
          <w:color w:val="222222"/>
        </w:rPr>
        <w:t xml:space="preserve">contract-sum cascade</w:t>
      </w:r>
      <w:r>
        <w:rPr>
          <w:color w:val="222222"/>
        </w:rPr>
        <w:t xml:space="preserve"> (measured / provisional / preliminaries / contingency / VAT / variations) — showing the </w:t>
      </w:r>
      <w:r>
        <w:rPr>
          <w:b/>
          <w:bCs/>
          <w:color w:val="222222"/>
        </w:rPr>
        <w:t xml:space="preserve">frozen lock-time values</w:t>
      </w:r>
      <w:r>
        <w:rPr>
          <w:color w:val="222222"/>
        </w:rPr>
        <w:t xml:space="preserve"> once the contract is locked.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EVM in plain English</w:t>
      </w:r>
      <w:r>
        <w:rPr>
          <w:color w:val="222222"/>
        </w:rPr>
        <w:t xml:space="preserve"> — "Spent to date" (ACWP), "Value delivered" (BCWP), "Performance" (CPI), "Expected final cost" (EAC).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A </w:t>
      </w:r>
      <w:r>
        <w:rPr>
          <w:b/>
          <w:bCs/>
          <w:color w:val="222222"/>
        </w:rPr>
        <w:t xml:space="preserve">certificate roll-up</w:t>
      </w:r>
      <w:r>
        <w:rPr>
          <w:color w:val="222222"/>
        </w:rPr>
        <w:t xml:space="preserve"> — total certified, retention held, and whether the final account is open or closed.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Any attached </w:t>
      </w:r>
      <w:r>
        <w:rPr>
          <w:b/>
          <w:bCs/>
          <w:color w:val="222222"/>
        </w:rPr>
        <w:t xml:space="preserve">BIM models</w:t>
      </w:r>
      <w:r>
        <w:rPr>
          <w:color w:val="222222"/>
        </w:rPr>
        <w:t xml:space="preserve"> and an upcoming-spend view.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A header badge showing Draft / Contract-locked / Final-account-closed.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1F5BA8" w:sz="6" w:space="4"/>
        </w:pBdr>
      </w:pPr>
      <w:r>
        <w:t xml:space="preserve">14. BIM model attachments</w:t>
      </w:r>
    </w:p>
    <w:p>
      <w:pPr>
        <w:spacing w:after="120" w:line="276"/>
      </w:pPr>
      <w:r>
        <w:rPr>
          <w:color w:val="222222"/>
        </w:rPr>
        <w:t xml:space="preserve">Each project can carry up to three </w:t>
      </w:r>
      <w:r>
        <w:rPr>
          <w:b/>
          <w:bCs/>
          <w:color w:val="222222"/>
        </w:rPr>
        <w:t xml:space="preserve">IFC/BIM model</w:t>
      </w:r>
      <w:r>
        <w:rPr>
          <w:color w:val="222222"/>
        </w:rPr>
        <w:t xml:space="preserve"> uploads — one each for </w:t>
      </w:r>
      <w:r>
        <w:rPr>
          <w:b/>
          <w:bCs/>
          <w:color w:val="222222"/>
        </w:rPr>
        <w:t xml:space="preserve">Architectural, Structural, and MEP</w:t>
      </w:r>
      <w:r>
        <w:rPr>
          <w:color w:val="222222"/>
        </w:rPr>
        <w:t xml:space="preserve"> disciplines — stored in cloud object storage and surfaced (including on the public dashboard) so the client can see the model alongside the commercial data.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1F5BA8" w:sz="6" w:space="4"/>
        </w:pBdr>
      </w:pPr>
      <w:r>
        <w:t xml:space="preserve">15. Appendix</w:t>
      </w:r>
    </w:p>
    <w:p>
      <w:pPr>
        <w:pStyle w:val="Heading2"/>
      </w:pPr>
      <w:r>
        <w:t xml:space="preserve">15.1 Key formulas at a glance</w:t>
      </w:r>
    </w:p>
    <w:p>
      <w:pPr>
        <w:spacing w:after="120" w:line="276"/>
      </w:pPr>
      <w:r>
        <w:rPr>
          <w:b/>
          <w:bCs/>
          <w:color w:val="222222"/>
        </w:rPr>
        <w:t xml:space="preserve">Rate build-up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2"/>
              <w:left w:val="single" w:color="2E74B5" w:sz="18"/>
              <w:bottom w:val="single" w:color="D5DCE4" w:sz="2"/>
              <w:right w:val="single" w:color="D5DCE4" w:sz="2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Net  = Σ(component qty × unit price)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Total = Net + Net×Overhead% + Net×Profit%        (defaults: OH 10%, Profit 25%)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  <w:color w:val="222222"/>
        </w:rPr>
        <w:t xml:space="preserve">BOQ grand summary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2"/>
              <w:left w:val="single" w:color="2E74B5" w:sz="18"/>
              <w:bottom w:val="single" w:color="D5DCE4" w:sz="2"/>
              <w:right w:val="single" w:color="D5DCE4" w:sz="2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Prelim       = (Gross + Provisional) × Prelim%        (default 7.5%)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Subtotal     = Gross + Provisional + Prelim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Contingency  = Subtotal × Contingency%                (default 5%)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VAT          = (Subtotal + Contingency) × VAT%        (default 7.5%)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Project total = Subtotal + Contingency + VAT + Variations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  <w:color w:val="222222"/>
        </w:rPr>
        <w:t xml:space="preserve">Interim certificate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2"/>
              <w:left w:val="single" w:color="2E74B5" w:sz="18"/>
              <w:bottom w:val="single" w:color="D5DCE4" w:sz="2"/>
              <w:right w:val="single" w:color="D5DCE4" w:sz="2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This cert    = max(0, Cumulative value − Σ previous certs)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Retention    = This cert × Retention%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Net before tax = This cert − Retention + Retention released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Net payable  = Net before tax + (Net before tax × VAT%) − (Net before tax × WHT%)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  <w:color w:val="222222"/>
        </w:rPr>
        <w:t xml:space="preserve">Earned value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2"/>
              <w:left w:val="single" w:color="2E74B5" w:sz="18"/>
              <w:bottom w:val="single" w:color="D5DCE4" w:sz="2"/>
              <w:right w:val="single" w:color="D5DCE4" w:sz="2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CPI = EV/AC   SPI = EV/PV   EAC = BAC/CPI   VAC = BAC − EAC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  <w:color w:val="222222"/>
        </w:rPr>
        <w:t xml:space="preserve">Per-line earned value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2"/>
              <w:left w:val="single" w:color="2E74B5" w:sz="18"/>
              <w:bottom w:val="single" w:color="D5DCE4" w:sz="2"/>
              <w:right w:val="single" w:color="D5DCE4" w:sz="2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2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valuationFactor = 1 if ratified, else %complete/100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Earned   = qty × rate × valuationFactor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B3A57"/>
                <w:sz w:val="18"/>
                <w:szCs w:val="18"/>
              </w:rPr>
              <w:t xml:space="preserve">Balance  = qty × rate × (1 − valuationFactor)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15.2 Classification taxonomy</w:t>
      </w:r>
    </w:p>
    <w:p>
      <w:pPr>
        <w:spacing w:after="120" w:line="276"/>
      </w:pPr>
      <w:r>
        <w:rPr>
          <w:b/>
          <w:bCs/>
          <w:color w:val="222222"/>
        </w:rPr>
        <w:t xml:space="preserve">Categories (building element)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Structural (QUIV/HERON/CIVIQ): Substructure · Frames · Superstructure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Services (Revit MEP): HVAC · Plumbing · Electrical</w:t>
      </w:r>
    </w:p>
    <w:p>
      <w:pPr>
        <w:spacing w:after="120" w:line="276"/>
      </w:pPr>
      <w:r>
        <w:rPr>
          <w:b/>
          <w:bCs/>
          <w:color w:val="222222"/>
        </w:rPr>
        <w:t xml:space="preserve">Trades (NRM2/SMM7 work sections)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Structural: Earthworks · Concrete Works · Formwork · Reinforcement · Masonry · Damp-proofing · Carpentry &amp; Roofing · Joinery · Finishes—Floor · Finishes—Wall · Finishes—Ceiling · Decoration · Structural Steelwork · External Works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Services: HVAC · Plumbing &amp; Drainage · Electrical Installations</w:t>
      </w:r>
    </w:p>
    <w:p>
      <w:pPr>
        <w:spacing w:after="120" w:line="276"/>
      </w:pPr>
      <w:r>
        <w:rPr>
          <w:b/>
          <w:bCs/>
          <w:color w:val="222222"/>
        </w:rPr>
        <w:t xml:space="preserve">Rate Gen sections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22222"/>
        </w:rPr>
        <w:t xml:space="preserve">Groundwork · Concrete Works · Blockwork · Finishes · Roofing · Windows &amp; Doors · Painting · Steelwork · Carbon &amp; Others</w:t>
      </w:r>
    </w:p>
    <w:p>
      <w:pPr>
        <w:pStyle w:val="Heading2"/>
      </w:pPr>
      <w:r>
        <w:t xml:space="preserve">15.3 Export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6"/>
        <w:gridCol w:w="2288"/>
        <w:gridCol w:w="3016"/>
      </w:tblGrid>
      <w:tr>
        <w:trPr>
          <w:tblHeader/>
        </w:trPr>
        <w:tc>
          <w:tcPr>
            <w:tcW w:type="dxa" w:w="405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5BA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  <w:tc>
          <w:tcPr>
            <w:tcW w:type="dxa" w:w="228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5BA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301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5BA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405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Elemental BOQ (Bungalow / Multi-storey)</w:t>
            </w:r>
          </w:p>
        </w:tc>
        <w:tc>
          <w:tcPr>
            <w:tcW w:type="dxa" w:w="228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Excel (formula-driven)</w:t>
            </w:r>
          </w:p>
        </w:tc>
        <w:tc>
          <w:tcPr>
            <w:tcW w:type="dxa" w:w="301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Server</w:t>
            </w:r>
          </w:p>
        </w:tc>
      </w:tr>
      <w:tr>
        <w:tc>
          <w:tcPr>
            <w:tcW w:type="dxa" w:w="405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Trade BOQ (NRM2-style)</w:t>
            </w:r>
          </w:p>
        </w:tc>
        <w:tc>
          <w:tcPr>
            <w:tcW w:type="dxa" w:w="228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Excel (formula-driven)</w:t>
            </w:r>
          </w:p>
        </w:tc>
        <w:tc>
          <w:tcPr>
            <w:tcW w:type="dxa" w:w="301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Server</w:t>
            </w:r>
          </w:p>
        </w:tc>
      </w:tr>
      <w:tr>
        <w:tc>
          <w:tcPr>
            <w:tcW w:type="dxa" w:w="405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Generic BOQ (by category / by trade)</w:t>
            </w:r>
          </w:p>
        </w:tc>
        <w:tc>
          <w:tcPr>
            <w:tcW w:type="dxa" w:w="228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Excel</w:t>
            </w:r>
          </w:p>
        </w:tc>
        <w:tc>
          <w:tcPr>
            <w:tcW w:type="dxa" w:w="301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Client (live on-screen rates)</w:t>
            </w:r>
          </w:p>
        </w:tc>
      </w:tr>
      <w:tr>
        <w:tc>
          <w:tcPr>
            <w:tcW w:type="dxa" w:w="405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Material &amp; Labour schedule</w:t>
            </w:r>
          </w:p>
        </w:tc>
        <w:tc>
          <w:tcPr>
            <w:tcW w:type="dxa" w:w="228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Excel</w:t>
            </w:r>
          </w:p>
        </w:tc>
        <w:tc>
          <w:tcPr>
            <w:tcW w:type="dxa" w:w="301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Client</w:t>
            </w:r>
          </w:p>
        </w:tc>
      </w:tr>
      <w:tr>
        <w:tc>
          <w:tcPr>
            <w:tcW w:type="dxa" w:w="405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Interim payment certificate</w:t>
            </w:r>
          </w:p>
        </w:tc>
        <w:tc>
          <w:tcPr>
            <w:tcW w:type="dxa" w:w="228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Excel + printable HTML</w:t>
            </w:r>
          </w:p>
        </w:tc>
        <w:tc>
          <w:tcPr>
            <w:tcW w:type="dxa" w:w="301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Client/Server</w:t>
            </w:r>
          </w:p>
        </w:tc>
      </w:tr>
      <w:tr>
        <w:tc>
          <w:tcPr>
            <w:tcW w:type="dxa" w:w="405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Final account</w:t>
            </w:r>
          </w:p>
        </w:tc>
        <w:tc>
          <w:tcPr>
            <w:tcW w:type="dxa" w:w="228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Excel</w:t>
            </w:r>
          </w:p>
        </w:tc>
        <w:tc>
          <w:tcPr>
            <w:tcW w:type="dxa" w:w="301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Server</w:t>
            </w:r>
          </w:p>
        </w:tc>
      </w:tr>
      <w:tr>
        <w:tc>
          <w:tcPr>
            <w:tcW w:type="dxa" w:w="405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Work programme</w:t>
            </w:r>
          </w:p>
        </w:tc>
        <w:tc>
          <w:tcPr>
            <w:tcW w:type="dxa" w:w="2288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B3A57"/>
                <w:sz w:val="19"/>
                <w:szCs w:val="19"/>
                <w:shd w:fill="EEF1F4" w:val="clear"/>
              </w:rPr>
              <w:t xml:space="preserve">.ics</w:t>
            </w:r>
            <w:r>
              <w:rPr>
                <w:color w:val="222222"/>
              </w:rPr>
              <w:t xml:space="preserve"> calendar</w:t>
            </w:r>
          </w:p>
        </w:tc>
        <w:tc>
          <w:tcPr>
            <w:tcW w:type="dxa" w:w="301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color w:val="222222"/>
              </w:rPr>
              <w:t xml:space="preserve">Server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15.4 Standards &amp; conventions referenced in the code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BESMM4</w:t>
      </w:r>
      <w:r>
        <w:rPr>
          <w:color w:val="222222"/>
        </w:rPr>
        <w:t xml:space="preserve"> — preliminaries checklist (22 standard items)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NRM2 / SMM7</w:t>
      </w:r>
      <w:r>
        <w:rPr>
          <w:color w:val="222222"/>
        </w:rPr>
        <w:t xml:space="preserve"> — trade/work-section structure and codes (E10/E20/E30)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BS 4449 / BS 4483</w:t>
      </w:r>
      <w:r>
        <w:rPr>
          <w:color w:val="222222"/>
        </w:rPr>
        <w:t xml:space="preserve"> — reinforcement bars; </w:t>
      </w:r>
      <w:r>
        <w:rPr>
          <w:b/>
          <w:bCs/>
          <w:color w:val="222222"/>
        </w:rPr>
        <w:t xml:space="preserve">BS 5950</w:t>
      </w:r>
      <w:r>
        <w:rPr>
          <w:color w:val="222222"/>
        </w:rPr>
        <w:t xml:space="preserve"> — structural steelwork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Nigerian BOQ serial lettering</w:t>
      </w:r>
      <w:r>
        <w:rPr>
          <w:color w:val="222222"/>
        </w:rPr>
        <w:t xml:space="preserve"> — A, B, C … (skip I) … J, K …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22222"/>
        </w:rPr>
        <w:t xml:space="preserve">Currency</w:t>
      </w:r>
      <w:r>
        <w:rPr>
          <w:color w:val="222222"/>
        </w:rPr>
        <w:t xml:space="preserve"> — NGN-native throughout</w:t>
      </w:r>
    </w:p>
    <w:p>
      <w:pPr>
        <w:pBdr>
          <w:bottom w:val="single" w:color="D5DCE4" w:sz="4" w:space="2"/>
        </w:pBdr>
        <w:spacing w:after="60" w:before="60"/>
      </w:pPr>
      <w:r>
        <w:t xml:space="preserve"/>
      </w:r>
    </w:p>
    <w:p>
      <w:pPr>
        <w:spacing w:after="120" w:line="276"/>
      </w:pPr>
      <w:r>
        <w:rPr>
          <w:i/>
          <w:iCs/>
          <w:color w:val="222222"/>
        </w:rPr>
        <w:t xml:space="preserve">This document reflects the features implemented in the ADLM Website codebase as of the current branch. Formulas, defaults, and classifications are drawn directly from the implementation.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4" w:sz="4" w:space="6"/>
      </w:pBdr>
      <w:tabs>
        <w:tab w:val="right" w:pos="9360"/>
      </w:tabs>
      <w:spacing w:before="60"/>
    </w:pPr>
    <w:r>
      <w:rPr>
        <w:color w:val="6B7280"/>
        <w:sz w:val="16"/>
        <w:szCs w:val="16"/>
      </w:rPr>
      <w:t xml:space="preserve">ADLM Studio — Project Workspace Features</w:t>
    </w:r>
    <w:r>
      <w:rPr>
        <w:color w:val="6B7280"/>
        <w:sz w:val="16"/>
        <w:szCs w:val="16"/>
      </w:rPr>
      <w:t xml:space="preserve">	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4" w:sz="3" w:space="4"/>
      </w:pBdr>
      <w:jc w:val="right"/>
    </w:pPr>
    <w:r>
      <w:rPr>
        <w:color w:val="9AA5B1"/>
        <w:sz w:val="15"/>
        <w:szCs w:val="15"/>
      </w:rPr>
      <w:t xml:space="preserve">ADLM Website · Feature Documentation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5BA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16365C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60" w:before="140"/>
      <w:outlineLvl w:val="3"/>
    </w:pPr>
    <w:rPr>
      <w:rFonts w:ascii="Arial" w:cs="Arial" w:eastAsia="Arial" w:hAnsi="Arial"/>
      <w:b/>
      <w:bCs/>
      <w:color w:val="44515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ADLM Website — Project Workspace Feature Documentation</dc:title>
  <dc:creator>ADLM Studio</dc:creator>
  <dc:description>Feature documentation for the ADLM Website project workspace.</dc:description>
  <cp:lastModifiedBy>Un-named</cp:lastModifiedBy>
  <cp:revision>1</cp:revision>
  <dcterms:created xsi:type="dcterms:W3CDTF">2026-05-31T13:23:22.216Z</dcterms:created>
  <dcterms:modified xsi:type="dcterms:W3CDTF">2026-05-31T13:23:22.217Z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