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b/>
          <w:bCs/>
          <w:color w:val="C9A227"/>
          <w:spacing w:val="60"/>
          <w:sz w:val="28"/>
          <w:szCs w:val="28"/>
        </w:rPr>
        <w:t xml:space="preserve">ADLM STUDIO</w:t>
      </w:r>
    </w:p>
    <w:p>
      <w:pPr>
        <w:spacing w:after="120"/>
        <w:jc w:val="center"/>
      </w:pPr>
      <w:r>
        <w:rPr>
          <w:b/>
          <w:bCs/>
          <w:color w:val="122A4E"/>
          <w:sz w:val="72"/>
          <w:szCs w:val="72"/>
        </w:rPr>
        <w:t xml:space="preserve">BK-Ingest</w:t>
      </w:r>
    </w:p>
    <w:p>
      <w:pPr>
        <w:spacing w:after="60"/>
        <w:jc w:val="center"/>
      </w:pPr>
      <w:r>
        <w:rPr>
          <w:color w:val="475569"/>
          <w:sz w:val="30"/>
          <w:szCs w:val="30"/>
        </w:rPr>
        <w:t xml:space="preserve">AI-Powered Catalog Onboarding — Proof of Concept</w:t>
      </w:r>
    </w:p>
    <w:p>
      <w:pPr>
        <w:spacing w:after="500"/>
        <w:jc w:val="center"/>
      </w:pPr>
      <w:r>
        <w:rPr>
          <w:i/>
          <w:iCs/>
          <w:color w:val="475569"/>
          <w:sz w:val="26"/>
          <w:szCs w:val="26"/>
        </w:rPr>
        <w:t xml:space="preserve">Build Report &amp; System Summary</w:t>
      </w:r>
    </w:p>
    <w:p>
      <w:pPr>
        <w:pBdr>
          <w:top w:val="single" w:color="C9A227" w:sz="12" w:space="8"/>
        </w:pBdr>
        <w:spacing w:after="80" w:before="200"/>
        <w:jc w:val="center"/>
      </w:pPr>
      <w:r>
        <w:rPr>
          <w:color w:val="1E293B"/>
          <w:sz w:val="22"/>
          <w:szCs w:val="22"/>
        </w:rPr>
        <w:t xml:space="preserve">Client: BuildersKonnect (BK)</w:t>
      </w:r>
    </w:p>
    <w:p>
      <w:pPr>
        <w:spacing w:after="80"/>
        <w:jc w:val="center"/>
      </w:pPr>
      <w:r>
        <w:rPr>
          <w:color w:val="1E293B"/>
          <w:sz w:val="22"/>
          <w:szCs w:val="22"/>
        </w:rPr>
        <w:t xml:space="preserve">Engineer of record: Adedolapo Quasim — ADLM Studio</w:t>
      </w:r>
    </w:p>
    <w:p>
      <w:pPr>
        <w:spacing w:after="80"/>
        <w:jc w:val="center"/>
      </w:pPr>
      <w:r>
        <w:rPr>
          <w:color w:val="1E293B"/>
          <w:sz w:val="22"/>
          <w:szCs w:val="22"/>
        </w:rPr>
        <w:t xml:space="preserve">Build window: 17–19 July 2026  ·  Evaluation target: 31 July 2026</w:t>
      </w:r>
    </w:p>
    <w:p>
      <w:pPr>
        <w:jc w:val="center"/>
      </w:pPr>
      <w:r>
        <w:rPr>
          <w:color w:val="475569"/>
          <w:sz w:val="20"/>
          <w:szCs w:val="20"/>
        </w:rPr>
        <w:t xml:space="preserve">github.com/adedola12/Bk-PoC  ·  bk-po-c.vercel.app  ·  bk-poc.onrender.com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22A4E"/>
        </w:rPr>
        <w:t xml:space="preserve">1. Executive Summary</w:t>
      </w:r>
    </w:p>
    <w:p>
      <w:pPr>
        <w:spacing w:after="120" w:line="300"/>
      </w:pPr>
      <w:r>
        <w:rPr>
          <w:color w:val="1E293B"/>
          <w:sz w:val="22"/>
          <w:szCs w:val="22"/>
        </w:rPr>
        <w:t xml:space="preserve">BK-Ingest is a working proof-of-concept that takes arbitrary vendor uploads — PDF catalogs, datasheets, Excel files, Word documents, product images, or a manufacturer weblink — and turns them into BuildersKonnect's exact bulk-upload Excel template. AI does the reading; a per-field confidence system decides what may pass automatically and what a human must see.</w:t>
      </w:r>
    </w:p>
    <w:p>
      <w:pPr>
        <w:spacing w:after="120" w:line="300"/>
      </w:pPr>
      <w:r>
        <w:rPr>
          <w:b/>
          <w:bCs/>
          <w:color w:val="1E293B"/>
          <w:sz w:val="22"/>
          <w:szCs w:val="22"/>
        </w:rPr>
        <w:t xml:space="preserve">Two governing promises, both demonstrated and tested:</w:t>
      </w:r>
    </w:p>
    <w:p>
      <w:pPr>
        <w:spacing w:after="200" w:before="60"/>
        <w:jc w:val="center"/>
      </w:pPr>
      <w:r>
        <w:rPr>
          <w:b/>
          <w:bCs/>
          <w:i/>
          <w:iCs/>
          <w:color w:val="122A4E"/>
          <w:sz w:val="24"/>
          <w:szCs w:val="24"/>
        </w:rPr>
        <w:t xml:space="preserve">“Nothing wrong enters the catalog silently. Nothing is dismissed silently.”</w:t>
      </w:r>
    </w:p>
    <w:p>
      <w:pPr>
        <w:spacing w:after="120" w:line="300"/>
      </w:pPr>
      <w:r>
        <w:rPr>
          <w:color w:val="1E293B"/>
          <w:sz w:val="22"/>
          <w:szCs w:val="22"/>
        </w:rPr>
        <w:t xml:space="preserve">Against the ratified acceptance tests (T1–T8), the PoC passes seven of eight outright. The eighth (field accuracy, T2) stands at 94.7% interim — 100% after brand resolution — and awaits only human verification of the ground-truth annotations to become final. Every number in this report is reproducible from a clean clone of the repository via npm test, npm run eval and npm run probe.</w:t>
      </w:r>
    </w:p>
    <w:p>
      <w:pPr>
        <w:pStyle w:val="Heading1"/>
        <w:spacing w:after="160" w:before="360"/>
      </w:pPr>
      <w:r>
        <w:rPr>
          <w:b/>
          <w:bCs/>
          <w:color w:val="122A4E"/>
        </w:rPr>
        <w:t xml:space="preserve">2. Acceptance-Test Scorecard (Ratified T1–T8)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3300"/>
        <w:gridCol w:w="1160"/>
      </w:tblGrid>
      <w:tr>
        <w:trPr>
          <w:tblHeader/>
        </w:trPr>
        <w:tc>
          <w:tcPr>
            <w:tcW w:type="dxa" w:w="700"/>
            <w:shd w:fill="12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shd w:fill="12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shd w:fill="12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Ratified threshold</w:t>
            </w:r>
          </w:p>
        </w:tc>
        <w:tc>
          <w:tcPr>
            <w:tcW w:type="dxa" w:w="3300"/>
            <w:shd w:fill="12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160"/>
            <w:shd w:fill="122A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 triage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10/10 sample files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10/10 correctly routed</w:t>
            </w:r>
          </w:p>
        </w:tc>
        <w:tc>
          <w:tcPr>
            <w:tcW w:type="dxa" w:w="116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T2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Field accuracy</w:t>
            </w:r>
          </w:p>
        </w:tc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≥95% clean · ≥85% hostile</w:t>
            </w:r>
          </w:p>
        </w:tc>
        <w:tc>
          <w:tcPr>
            <w:tcW w:type="dxa" w:w="3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94.7% interim; 100% after Stage-5 brand resolution (ground-truth verification pending)</w:t>
            </w:r>
          </w:p>
        </w:tc>
        <w:tc>
          <w:tcPr>
            <w:tcW w:type="dxa" w:w="116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INTERIM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T3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Zero-touch rate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≥70% overall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 (per catalog: Twyford, Alca, Jaquar, Artize all 100%)</w:t>
            </w:r>
          </w:p>
        </w:tc>
        <w:tc>
          <w:tcPr>
            <w:tcW w:type="dxa" w:w="116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T4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Safety — no silent errors</w:t>
            </w:r>
          </w:p>
        </w:tc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 leaks</w:t>
            </w:r>
          </w:p>
        </w:tc>
        <w:tc>
          <w:tcPr>
            <w:tcW w:type="dxa" w:w="3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A1 '2700 V' caught · A3 duplicate part number caught · 10/10 seeded errors flagged · QRG text path rejected by pairing QA</w:t>
            </w:r>
          </w:p>
        </w:tc>
        <w:tc>
          <w:tcPr>
            <w:tcW w:type="dxa" w:w="116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T5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Pricing policy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 appended, no overwrites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Append-only enforced at DB layer; history queryable; 2 brands compared</w:t>
            </w:r>
          </w:p>
        </w:tc>
        <w:tc>
          <w:tcPr>
            <w:tcW w:type="dxa" w:w="116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T6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Variant policy</w:t>
            </w:r>
          </w:p>
        </w:tc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 of declared options</w:t>
            </w:r>
          </w:p>
        </w:tc>
        <w:tc>
          <w:tcPr>
            <w:tcW w:type="dxa" w:w="3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Jaquar base+9, Artize base+9, all derived_unverified</w:t>
            </w:r>
          </w:p>
        </w:tc>
        <w:tc>
          <w:tcPr>
            <w:tcW w:type="dxa" w:w="116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104-pp handbook &lt; 1 hr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2.0 minutes (89 products, 52 AI calls)</w:t>
            </w:r>
          </w:p>
        </w:tc>
        <w:tc>
          <w:tcPr>
            <w:tcW w:type="dxa" w:w="116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T8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 silent dismissal</w:t>
            </w:r>
          </w:p>
        </w:tc>
        <w:tc>
          <w:tcPr>
            <w:tcW w:type="dxa" w:w="22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100%</w:t>
            </w:r>
          </w:p>
        </w:tc>
        <w:tc>
          <w:tcPr>
            <w:tcW w:type="dxa" w:w="3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Every non-product route surfaces the D11 verification prompt</w:t>
            </w:r>
          </w:p>
        </w:tc>
        <w:tc>
          <w:tcPr>
            <w:tcW w:type="dxa" w:w="1160"/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20" w:line="300"/>
      </w:pPr>
      <w:r>
        <w:rPr>
          <w:color w:val="1E293B"/>
          <w:sz w:val="22"/>
          <w:szCs w:val="22"/>
        </w:rPr>
        <w:t xml:space="preserve"/>
      </w:r>
    </w:p>
    <w:p>
      <w:pPr>
        <w:spacing w:after="120" w:line="300"/>
      </w:pPr>
      <w:r>
        <w:rPr>
          <w:i/>
          <w:iCs/>
          <w:color w:val="1E293B"/>
          <w:sz w:val="22"/>
          <w:szCs w:val="22"/>
        </w:rPr>
        <w:t xml:space="preserve">Supporting numbers: final emission 42/42 rows at 100% zero-touch; 21 generated descriptions with zero fact-check failures (one automatic regeneration); 57/57 automated tests green; Milestone-A vision probe ≈ 7.1 s / $0.008 per page (full-104-page vision worst case ≈ 12 min / $0.83).</w:t>
      </w:r>
    </w:p>
    <w:p>
      <w:pPr>
        <w:pStyle w:val="Heading1"/>
        <w:spacing w:after="160" w:before="360"/>
      </w:pPr>
      <w:r>
        <w:rPr>
          <w:b/>
          <w:bCs/>
          <w:color w:val="122A4E"/>
        </w:rPr>
        <w:t xml:space="preserve">3. The Pipeline, End to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Stage 0 — Triage</w:t>
            </w:r>
          </w:p>
        </w:tc>
        <w:tc>
          <w:tcPr>
            <w:tcW w:type="dxa" w:w="7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Every source classified before extraction (D7/D12): bk_template, catalogue, product_datasheet, product_image, vendor_document, other. Non-product routes require human confirmation (D11); vendor forms parse into structured vendor profiles.</w:t>
            </w:r>
          </w:p>
        </w:tc>
      </w:tr>
      <w:tr>
        <w:tc>
          <w:tcPr>
            <w:tcW w:type="dxa" w:w="23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Stages 1–2 — Extraction</w:t>
            </w:r>
          </w:p>
        </w:tc>
        <w:tc>
          <w:tcPr>
            <w:tcW w:type="dxa" w:w="701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Format-specific readers (xlsx/PDF/docx/HTML); Claude extracts one Intermediate Product Record per product. Every field carries {value, unit, raw, sourceRef, confidence, method} — raw source strings preserved verbatim forever.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Hostile path</w:t>
            </w:r>
          </w:p>
        </w:tc>
        <w:tc>
          <w:tcPr>
            <w:tcW w:type="dxa" w:w="7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Deterministic label-value pairing QA detects scrambled spec tables (Bosch QRG) and forces panel-segmented Claude-vision extraction; the 104-page handbook runs parallel text chunks with cross-chunk part-number dedupe.</w:t>
            </w:r>
          </w:p>
        </w:tc>
      </w:tr>
      <w:tr>
        <w:tc>
          <w:tcPr>
            <w:tcW w:type="dxa" w:w="23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Stage 3 — Normalization</w:t>
            </w:r>
          </w:p>
        </w:tc>
        <w:tc>
          <w:tcPr>
            <w:tcW w:type="dxa" w:w="701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Locale numbers (13,45 → 13.45), ranges preserved as ranges, pack quantities, mm/kg canonicalization, value-sanity rules. Violations drop confidence and flag — never fix.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Stage 4 — Classification</w:t>
            </w:r>
          </w:p>
        </w:tc>
        <w:tc>
          <w:tcPr>
            <w:tcW w:type="dxa" w:w="7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Three methods in cost order (deterministic section headers → lexical → semantic); agreement raises confidence, conflict routes to review (D14/D15).</w:t>
            </w:r>
          </w:p>
        </w:tc>
      </w:tr>
      <w:tr>
        <w:tc>
          <w:tcPr>
            <w:tcW w:type="dxa" w:w="23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Stage 5 — Brands</w:t>
            </w:r>
          </w:p>
        </w:tc>
        <w:tc>
          <w:tcPr>
            <w:tcW w:type="dxa" w:w="701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Registry with aliases (Jaguar→Jaquar), lineage (Artize ⊂ Jaquar), product-code signatures; code signature beats document text; unknown brands become candidates with evidence.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Stage 6 — Variants</w:t>
            </w:r>
          </w:p>
        </w:tc>
        <w:tc>
          <w:tcPr>
            <w:tcW w:type="dxa" w:w="7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One row per purchasable variant; manufacturer finish codes substituted into product codes; every derived SKU labelled derived_unverified.</w:t>
            </w:r>
          </w:p>
        </w:tc>
      </w:tr>
      <w:tr>
        <w:tc>
          <w:tcPr>
            <w:tcW w:type="dxa" w:w="23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Stages 7–8 — Mapping &amp; content</w:t>
            </w:r>
          </w:p>
        </w:tc>
        <w:tc>
          <w:tcPr>
            <w:tcW w:type="dxa" w:w="701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Per-category mapping profiles into the template's own columns; dropdown matching exact → synonym → flagged custom; Cloudinary media pairing with variant inheritance; 100–130-word descriptions + 8–9 tags in the golden-example house style, verified by a deterministic fact-checker (regenerate once, then flag).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Stages 9–10 — Gate &amp; emission</w:t>
            </w:r>
          </w:p>
        </w:tc>
        <w:tc>
          <w:tcPr>
            <w:tcW w:type="dxa" w:w="7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PASS / REVIEW / TODO dispositions with D17 category exemptions; template-driven emitter reads the BK workbook's own contract at runtime, shards at its 500-row cap; Twyford golden file round-trips losslessly (21 × 30, zero diffs).</w:t>
            </w:r>
          </w:p>
        </w:tc>
      </w:tr>
      <w:tr>
        <w:tc>
          <w:tcPr>
            <w:tcW w:type="dxa" w:w="235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Pricing (D4/D10)</w:t>
            </w:r>
          </w:p>
        </w:tc>
        <w:tc>
          <w:tcPr>
            <w:tcW w:type="dxa" w:w="701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Missing price → blank + todo; manual entry and re-upload deltas append to an immutable price-event ledger (overwrites rejected at the database layer); per-SKU history and cross-brand comparison.</w:t>
            </w:r>
          </w:p>
        </w:tc>
      </w:tr>
      <w:tr>
        <w:tc>
          <w:tcPr>
            <w:tcW w:type="dxa" w:w="2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Weblink ingestion (D16)</w:t>
            </w:r>
          </w:p>
        </w:tc>
        <w:tc>
          <w:tcPr>
            <w:tcW w:type="dxa" w:w="70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Paste a manufacturer URL: file links enter triage directly; product pages are read as catalogue text; site roots get a bounded product-scored crawl; JS-rendered or viewer sites (Scribd) receive honest, actionable guidance — never a silent no-op.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22A4E"/>
        </w:rPr>
        <w:t xml:space="preserve">4. Architecture, Stack &amp; Interface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Layout (D8/D13): client/ — React 19 + Vite, Tailwind v4, framer-motion, Plus Jakarta Sans, BK navy/gold. server/ — Node ≥20 ESM, Express 5, Mongoose 8, stage-per-module pipeline, template-driven emitter, evaluation harness.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AI: Anthropic Claude (claude-sonnet-4-6) for triage, extraction, vision, semantic classification and generation — structured JSON, retries with backoff, per-call cost and latency logged to every run record.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Data: MongoDB Atlas — UploadLedger, IPR, BrandRegistry, TaxonomyNode, IdCrosswalk, PriceEvent (append-only), ReviewItem (reviewer corrections retained as calibration data), TodoItem, Vendor.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Media: Cloudinary uploads with delivery URLs in the template's media columns. Excel: exceljs. PDF: pdfjs + pdf-to-img + sharp panel slicing. Word: mammoth.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Deployment: client → Vercel, API → Render (blueprint in repo), auto-deploy from GitHub main. All artifacts written to runs/&lt;timestamp&gt;/; fixtures are read-only.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Seven UI pages: Upload (files + weblink), Triage Verify (D11 cards, bulk confirm, sticky search toolbar), Review Queue, Todo (inline price entry), Products (marketplace cards with Cloudinary covers, search, one-click emission), Price Compare, Run Report (live scorecard).</w:t>
      </w:r>
    </w:p>
    <w:p>
      <w:pPr>
        <w:pStyle w:val="Heading1"/>
        <w:spacing w:after="160" w:before="360"/>
      </w:pPr>
      <w:r>
        <w:rPr>
          <w:b/>
          <w:bCs/>
          <w:color w:val="122A4E"/>
        </w:rPr>
        <w:t xml:space="preserve">5. Governing Decisions (D1–D18)</w:t>
      </w:r>
    </w:p>
    <w:p>
      <w:pPr>
        <w:spacing w:after="120" w:line="300"/>
      </w:pPr>
      <w:r>
        <w:rPr>
          <w:color w:val="1E293B"/>
          <w:sz w:val="22"/>
          <w:szCs w:val="22"/>
        </w:rPr>
        <w:t xml:space="preserve">D1 trade taxonomy + three-method classification · D2 dynamic brand registry · D3 fact-checked generated content · D4 price → blank + todo + delta re-upload · D5 one row per variant, derived SKUs labelled · D6 the template IS the contract · D7 triage first · D8 MERN/Anthropic/Cloudinary stack · D9 ADLM cat_ ID register with provenance · D10 append-only price ledger · D11 no silent dismissal + vendor profiles · D12 bk_template triage label · D13 ADLM house repo layout · D14 classifier disagreement precedence · D15 semantic tier as Claude matching · D16 weblink ingestion with bounded crawl · D17 category-profile exemptions · D18 derived-field gate threshold. Full log with dates and implications: docs/DECISIONS.md.</w:t>
      </w:r>
    </w:p>
    <w:p>
      <w:pPr>
        <w:pStyle w:val="Heading1"/>
        <w:spacing w:after="160" w:before="360"/>
      </w:pPr>
      <w:r>
        <w:rPr>
          <w:b/>
          <w:bCs/>
          <w:color w:val="122A4E"/>
        </w:rPr>
        <w:t xml:space="preserve">6. Known Limitations &amp; Backlog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T2 finalization requires human verification of the ground-truth annotations (~30 minutes; drafts prepared in ground-truth/).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Fully JavaScript-rendered storefronts (e.g. se.com) receive honest guidance rather than extraction; a headless-browser fetcher is a production-phase item.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D19 (open): re-uploading the same file should delta-update via the Upload Ledger identity index rather than create duplicate rows.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Only the Wash Basins template exists; other categories emit through mapping profiles with visible D17 exemptions until BK issues per-category templates.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Anthropic API credits must be funded for AI runs; the system degrades honestly when they are not (uploads route to human triage with the reason shown).</w:t>
      </w:r>
    </w:p>
    <w:p>
      <w:pPr>
        <w:pStyle w:val="Heading1"/>
        <w:spacing w:after="160" w:before="360"/>
      </w:pPr>
      <w:r>
        <w:rPr>
          <w:b/>
          <w:bCs/>
          <w:color w:val="122A4E"/>
        </w:rPr>
        <w:t xml:space="preserve">7. Evaluation-Day Runbook (31 July 2026)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Top up Anthropic credits; confirm the key on Render.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Verify ground truth; flip annotation statuses to human_verified; re-run npm run eval -- --full for the final scorecard including full-handbook T7 timing.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Warm the Render instance ~2 minutes before the demo (free tier sleeps).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Demo arc: mixed upload → SG_BK verification card → confirm → Satkay vendor profile · QRG forced to vision → Review Queue holding '2700 V' and the duplicate part number · Products → Emit → download the BK template file · Todo → price entry → Price Compare · Run Report scorecard · weblink ingestion with a live catalogue URL.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E293B"/>
          <w:sz w:val="22"/>
          <w:szCs w:val="22"/>
        </w:rPr>
        <w:t xml:space="preserve">Quote T7 timing from local hardware, where the 2-minute figure was recorded.</w:t>
      </w:r>
    </w:p>
    <w:p>
      <w:pPr>
        <w:spacing w:after="120" w:line="300"/>
      </w:pPr>
      <w:r>
        <w:rPr>
          <w:color w:val="1E293B"/>
          <w:sz w:val="22"/>
          <w:szCs w:val="22"/>
        </w:rPr>
        <w:t xml:space="preserve"/>
      </w:r>
    </w:p>
    <w:p>
      <w:pPr>
        <w:pBdr>
          <w:top w:val="single" w:color="C9A227" w:sz="6" w:space="6"/>
        </w:pBdr>
        <w:spacing w:before="240"/>
      </w:pPr>
      <w:r>
        <w:rPr>
          <w:i/>
          <w:iCs/>
          <w:color w:val="475569"/>
          <w:sz w:val="18"/>
          <w:szCs w:val="18"/>
        </w:rPr>
        <w:t xml:space="preserve">Prepared 19 July 2026 by ADLM Studio with Claude (Anthropic) as build assistant. Every metric in this report is regenerable from the repository.</w:t>
      </w:r>
    </w:p>
    <w:sectPr>
      <w:pgSz w:w="11906" w:h="16838" w:orient="portrait"/>
      <w:pgMar w:top="12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2026-07-19T10:22:49.214Z</dcterms:created>
  <dcterms:modified xsi:type="dcterms:W3CDTF">2026-07-19T10:22:49.215Z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