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color w:val="1F3864"/>
        </w:rPr>
      </w:pPr>
      <w:r>
        <w:t xml:space="preserve">Consumer Credit Default Model</w:t>
      </w:r>
    </w:p>
    <w:p>
      <w:pPr>
        <w:spacing w:after="320"/>
      </w:pPr>
      <w:r>
        <w:rPr>
          <w:color w:val="595959"/>
          <w:sz w:val="30"/>
          <w:szCs w:val="30"/>
        </w:rPr>
        <w:t xml:space="preserve">Development &amp; Validation Report</w:t>
      </w:r>
    </w:p>
    <w:p>
      <w:pPr>
        <w:spacing w:after="160"/>
      </w:pPr>
      <w:r>
        <w:t xml:space="preserve">Prepared as an independent, self-directed exercise to demonstrate an end-to-end probability-of-default (PD) model build and validation workflow, following the general structure of a bank model risk management (MRM) review (conceptual soundness, outcomes analysis, ongoing monitoring).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Author: [Your name]      Date: August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A probability-of-default model was developed on the UCI "Default of Credit Card Clients" dataset (30,000 Taiwanese credit card accounts, April–September 2005). Two candidate models were built and compared: a logistic regression scorecard (the industry-standard, interpretable baseline) and a gradient boosted tree ensemble (a stronger, less transparent challenger).</w:t>
      </w:r>
    </w:p>
    <w:p>
      <w:pPr>
        <w:spacing w:after="160"/>
      </w:pPr>
      <w:r>
        <w:t xml:space="preserve">On a 30% held-out test set, the GBM achieved an AUC of 0.7815 (KS 0.4308, Gini 0.5629) versus 0.7518 AUC (KS 0.3951) for logistic regression. Both models rank-order risk well above random. The GBM was also better calibrated: a Hosmer-Lemeshow goodness-of-fit test rejected calibration for logistic regression (χ²=2252.239, p&lt;0.001) because class-balancing used to counter the 22%/78% class split inflates predicted probabilities relative to true incidence — a real, common validation finding rather than a flaw hidden in this write-up. Population Stability Index between development and holdout score distributions was negligible for both models (PSI &lt; 0.01, indicating no unexpected shift), which is expected since both samples are random splits of the same snapshot rather than genuinely separate time periods.</w:t>
      </w:r>
    </w:p>
    <w:p>
      <w:pPr>
        <w:spacing w:after="160"/>
      </w:pPr>
      <w:r>
        <w:t xml:space="preserve">This document is deliberately explicit about what this exercise does and does not prove. It is a cross-sectional, single-vintage dataset with no true out-of-time dimension, so it supports a rigorous discrimination/calibration backtest but not a genuine temporal backtest. Section 8 lays out exactly what a production validation would add on top of this.</w:t>
      </w:r>
    </w:p>
    <w:p>
      <w:pPr>
        <w:pStyle w:val="Heading1"/>
        <w:spacing w:after="160" w:before="320"/>
      </w:pPr>
      <w:r>
        <w:t xml:space="preserve">2. Objective &amp; Scope</w:t>
      </w:r>
    </w:p>
    <w:p>
      <w:pPr>
        <w:spacing w:after="160"/>
      </w:pPr>
      <w:r>
        <w:t xml:space="preserve">Goal: build and independently validate a consumer-credit PD model end to end — data sourcing, feature engineering, model development, discrimination and calibration testing, stability/backtesting analysis, and documentation — using a publicly available dataset that mirrors the structure of a real credit bureau/bank behavioral scoring problem.</w:t>
      </w:r>
    </w:p>
    <w:p>
      <w:pPr>
        <w:spacing w:after="160"/>
      </w:pPr>
      <w:r>
        <w:t xml:space="preserve">Scope boundaries: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scope: binary PD classification, logistic regression + tree ensemble comparison, standard credit-risk validation metrics (AUC, KS, Gini, PSI, Hosmer-Lemeshow, calibration), decile-level backtesting.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 of scope: loss given default / exposure at default, portfolio-level expected loss, IFRS9/CECL lifetime PD term structure, fair-lending/disparate-impact testing, and champion-challenger governance workflow — all discussed as extensions in Section 8.</w:t>
      </w:r>
    </w:p>
    <w:p>
      <w:pPr>
        <w:pStyle w:val="Heading1"/>
        <w:spacing w:after="160" w:before="320"/>
      </w:pPr>
      <w:r>
        <w:t xml:space="preserve">2. Data</w:t>
      </w:r>
    </w:p>
    <w:p>
      <w:pPr>
        <w:pStyle w:val="Heading2"/>
        <w:spacing w:after="120" w:before="240"/>
      </w:pPr>
      <w:r>
        <w:t xml:space="preserve">2.1 Source</w:t>
      </w:r>
    </w:p>
    <w:p>
      <w:pPr>
        <w:spacing w:after="160"/>
      </w:pPr>
      <w:r>
        <w:t xml:space="preserve">UCI Machine Learning Repository — "Default of Credit Card Clients" dataset (Taiwan, 2005; Yeh &amp; Lien, 2009), 30,000 credit card accounts, 23 predictor variables, binary target: default on payment due the following month.</w:t>
      </w:r>
    </w:p>
    <w:p>
      <w:pPr>
        <w:pStyle w:val="Heading2"/>
        <w:spacing w:after="120" w:before="240"/>
      </w:pPr>
      <w:r>
        <w:t xml:space="preserve">2.2 Data Quality Checks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 / columns</w:t>
            </w:r>
          </w:p>
        </w:tc>
        <w:tc>
          <w:tcPr>
            <w:tcW w:type="dxa" w:w="5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30000 / 24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5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5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prevalence (default rate)</w:t>
            </w:r>
          </w:p>
        </w:tc>
        <w:tc>
          <w:tcPr>
            <w:tcW w:type="dxa" w:w="5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22.12%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 field</w:t>
            </w:r>
          </w:p>
        </w:tc>
        <w:tc>
          <w:tcPr>
            <w:tcW w:type="dxa" w:w="5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0,5,6 -&gt; 4 (undocumented/other codes per UCI dataset notes)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MARRIAGE field</w:t>
            </w:r>
          </w:p>
        </w:tc>
        <w:tc>
          <w:tcPr>
            <w:tcW w:type="dxa" w:w="5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0 -&gt; 3 (undocumented code)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60"/>
      </w:pPr>
      <w:r>
        <w:t xml:space="preserve">The EDUCATION and MARRIAGE fields contained undocumented category codes (0, 5, 6 and 0 respectively) not defined in the UCI data dictionary; these were collapsed into an "other" bucket rather than dropped, preserving all 30,000 records. No missing values or duplicate rows were found.</w:t>
      </w:r>
    </w:p>
    <w:p>
      <w:pPr>
        <w:pStyle w:val="Heading2"/>
        <w:spacing w:after="120" w:before="240"/>
      </w:pPr>
      <w:r>
        <w:t xml:space="preserve">2.3 Feature Engineering</w:t>
      </w:r>
    </w:p>
    <w:p>
      <w:pPr>
        <w:spacing w:after="160"/>
      </w:pPr>
      <w:r>
        <w:t xml:space="preserve">In addition to the 23 raw fields (credit limit, demographics, six months of repayment status PAY_1–PAY_6, six months of bill amounts, six months of payment amounts), the following derived features were constructed — mirroring how a bank would summarize a repayment-behavior panel into scorecard-ready variables: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MAX_DELINQ — worst delinquency status across the 6-month window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N_MONTHS_DELINQ — count of months at least one payment cycle 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AVG_BILL, AVG_PAY_AMT — 6-month average statement balance and payment amount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UTILIZATION — average balance ÷ credit limit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PAY_TO_BILL_RATIO — average payment ÷ average balance, a proxy for repayment behavior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BILL_TREND — most recent balance minus balance 6 months prior, capturing balance trajectory</w:t>
      </w:r>
    </w:p>
    <w:p>
      <w:pPr>
        <w:pStyle w:val="Heading1"/>
        <w:spacing w:after="160" w:before="320"/>
      </w:pPr>
      <w:r>
        <w:t xml:space="preserve">3. Modeling Methodology</w:t>
      </w:r>
    </w:p>
    <w:p>
      <w:pPr>
        <w:pStyle w:val="Heading2"/>
        <w:spacing w:after="120" w:before="240"/>
      </w:pPr>
      <w:r>
        <w:t xml:space="preserve">3.1 Sample Split</w:t>
      </w:r>
    </w:p>
    <w:p>
      <w:pPr>
        <w:spacing w:after="160"/>
      </w:pPr>
      <w:r>
        <w:t xml:space="preserve">Stratified 70/30 train/test split (21000 / 9000 accounts), preserving the 22.1%/22.1% default rate in both samples. The test set was held out entirely from model fitting and used only for final performance and calibration assessment.</w:t>
      </w:r>
    </w:p>
    <w:p>
      <w:pPr>
        <w:pStyle w:val="Heading2"/>
        <w:spacing w:after="120" w:before="240"/>
      </w:pPr>
      <w:r>
        <w:t xml:space="preserve">3.2 Model 1 — Logistic Regression</w:t>
      </w:r>
    </w:p>
    <w:p>
      <w:pPr>
        <w:spacing w:after="160"/>
      </w:pPr>
      <w:r>
        <w:t xml:space="preserve">Standardized features, L2-regularized logistic regression with class-balanced weighting to counter the ~22% minority class rate. Chosen as the baseline because logistic regression scorecards remain the industry and regulatory standard for consumer credit (interpretable coefficients, straightforward to bucket into a points-based scorecard, easy to explain to model risk and compliance reviewers).</w:t>
      </w:r>
    </w:p>
    <w:p>
      <w:pPr>
        <w:pStyle w:val="Heading2"/>
        <w:spacing w:after="120" w:before="240"/>
      </w:pPr>
      <w:r>
        <w:t xml:space="preserve">3.3 Model 2 — Gradient Boosted Trees (challenger)</w:t>
      </w:r>
    </w:p>
    <w:p>
      <w:pPr>
        <w:spacing w:after="160"/>
      </w:pPr>
      <w:r>
        <w:t xml:space="preserve">Scikit-learn GradientBoostingClassifier (200 trees, depth 3, learning rate 0.05, 80% row subsampling per tree). Used as a challenger model to test whether nonlinear interactions (e.g., between utilization and delinquency history) meaningfully improve discrimination over the linear baseline, and to quantify the accuracy/interpretability trade-off explicitly rather than assuming it.</w:t>
      </w:r>
    </w:p>
    <w:p>
      <w:pPr>
        <w:pStyle w:val="Heading2"/>
        <w:spacing w:after="120" w:before="240"/>
      </w:pPr>
      <w:r>
        <w:t xml:space="preserve">3.4 Validation Framework</w:t>
      </w:r>
    </w:p>
    <w:p>
      <w:pPr>
        <w:spacing w:after="160"/>
      </w:pPr>
      <w:r>
        <w:t xml:space="preserve">The validation approach applies four complementary lenses, consistent with standard credit-model validation practice (broadly aligned with the principles in SR 11-7 / OCC 2011-12 model risk guidance):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Discrimination — does the model rank-order risk? (AUC, Gini, KS, ROC curve)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Calibration — do predicted PDs match observed default rates? (calibration curve, Hosmer-Lemeshow test, decile actual-vs-expected backtest)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Stability — is performance consistent across resamples, and has the score distribution shifted between development and holdout? (5-fold CV, bootstrap confidence intervals, Population Stability Index)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Transparency — which variables drive the score, and are they economically sensible? (logistic coefficients, GBM feature importances)</w:t>
      </w:r>
    </w:p>
    <w:p>
      <w:pPr>
        <w:pStyle w:val="Heading1"/>
        <w:spacing w:after="160" w:before="320"/>
      </w:pPr>
      <w:r>
        <w:t xml:space="preserve">4. Results — Discrimination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Gini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KS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Brier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LogReg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0.7618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0.5236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0.4181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0.1905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LogReg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Holdout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0.7518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0.5036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0.3951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0.1928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GBM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0.8155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0.6311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0.4757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0.1258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GBM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Holdout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0.7815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0.5629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0.4308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0.1347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3619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1. ROC curves on the holdout test set.</w:t>
      </w:r>
    </w:p>
    <w:p>
      <w:pPr>
        <w:spacing w:after="160"/>
      </w:pPr>
      <w:r>
        <w:t xml:space="preserve">Both models discriminate well above chance (AUC 0.5 = random). GBM improves AUC by roughly 3 points over logistic regression (0.7815 vs 0.7518) and KS by roughly 3.5 points, consistent with the modest-but-real lift typically seen when moving from a linear scorecard to a tree ensemble on behavioral data with nonlinear interactions. Train-vs-holdout AUC gaps are small for both models (LogReg: 0.7618 → 0.7518; GBM: 0.8155 → 0.7815), indicating limited overfitting given the tree depth and subsampling constraints used.</w:t>
      </w:r>
    </w:p>
    <w:p>
      <w:pPr>
        <w:pStyle w:val="Heading1"/>
        <w:spacing w:after="160" w:before="320"/>
      </w:pPr>
      <w:r>
        <w:t xml:space="preserve">5. Results — Stability</w:t>
      </w:r>
    </w:p>
    <w:p>
      <w:pPr>
        <w:spacing w:after="160"/>
      </w:pPr>
      <w:r>
        <w:t xml:space="preserve">5-fold stratified cross-validation AUC: logistic regression 0.7573 ± 0.0052 (folds: 0.7648, 0.7495, 0.7606, 0.7546, 0.7571); GBM 0.7864 ± 0.0073 (folds: 0.7998, 0.778, 0.7859, 0.7855, 0.7827). Low fold-to-fold variance for both models indicates the performance estimate is not an artifact of a lucky train/test split.</w:t>
      </w:r>
    </w:p>
    <w:p>
      <w:pPr>
        <w:spacing w:after="160"/>
      </w:pPr>
      <w:r>
        <w:t xml:space="preserve">Bootstrap 95% confidence intervals on holdout AUC (1,000 resamples): logistic regression [0.7392, 0.7654]; GBM [0.7699, 0.7938]. The intervals do not overlap, supporting that GBM's discrimination advantage is unlikely to be noise.</w:t>
      </w:r>
    </w:p>
    <w:p>
      <w:pPr>
        <w:spacing w:after="160"/>
      </w:pPr>
      <w:r>
        <w:t xml:space="preserve">Population Stability Index between development (train) and holdout (test) predicted-score distributions: logistic regression PSI = 0.001; GBM PSI = 0.0008. Under the common industry rule of thumb (PSI &lt; 0.10 = no significant shift, 0.10–0.25 = moderate shift worth investigating, &gt; 0.25 = material shift requiring action), both are negligible — expected, since train/test here are random splits of one snapshot rather than genuinely separate time periods (see Section 8).</w:t>
      </w:r>
    </w:p>
    <w:p>
      <w:pPr>
        <w:spacing w:after="40" w:before="160"/>
        <w:jc w:val="center"/>
      </w:pPr>
      <w:r>
        <w:drawing>
          <wp:inline distT="0" distB="0" distL="0" distR="0">
            <wp:extent cx="3619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2. GBM predicted-PD distribution: development vs. holdout.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Results — Calibration &amp; Backtesting</w:t>
      </w:r>
    </w:p>
    <w:p>
      <w:pPr>
        <w:spacing w:after="160"/>
      </w:pPr>
      <w:r>
        <w:t xml:space="preserve">Backtesting here means: rank the holdout sample by predicted PD, bucket into deciles, and compare each bucket's average predicted PD against its observed (actual) default rate. This is the standard actual-vs-expected table used in bank model validation and ongoing monitoring.</w:t>
      </w:r>
    </w:p>
    <w:p>
      <w:pPr>
        <w:spacing w:after="40" w:before="160"/>
        <w:jc w:val="center"/>
      </w:pPr>
      <w:r>
        <w:drawing>
          <wp:inline distT="0" distB="0" distL="0" distR="0">
            <wp:extent cx="4762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3. Predicted vs. observed default rate by score decile, holdout sample.</w:t>
      </w:r>
    </w:p>
    <w:p>
      <w:pPr>
        <w:spacing w:after="40" w:before="160"/>
        <w:jc w:val="center"/>
      </w:pPr>
      <w:r>
        <w:drawing>
          <wp:inline distT="0" distB="0" distL="0" distR="0">
            <wp:extent cx="3619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4. Calibration curves, holdout sample.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600"/>
        <w:gridCol w:w="2400"/>
      </w:tblGrid>
      <w:tr>
        <w:trPr>
          <w:tblHeader/>
        </w:trPr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Hosmer-Lemeshow χ²</w:t>
            </w:r>
          </w:p>
        </w:tc>
        <w:tc>
          <w:tcPr>
            <w:tcW w:type="dxa" w:w="12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d.o.f.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2252.239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Calibration rejected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GBM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20.787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0.0077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Marginal at 5%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60"/>
      </w:pPr>
      <w:r>
        <w:t xml:space="preserve">Finding: logistic regression rank-orders risk reasonably well but its raw predicted probabilities are systematically too high (visible in Figure 3 — the predicted line sits well above the observed line in every decile). This is a direct consequence of fitting with class_weight="balanced" to address the 22%/78% class imbalance: balancing improves the model's ability to separate classes but distorts the probability scale away from true population incidence. This is a genuine, common validation finding, not a modeling error — the fix in production would be either (a) recalibrating the balanced model's output with Platt scaling or isotonic regression before using it as a PD, or (b) fitting without class balancing and instead tuning the decision threshold for the business use case (e.g., approve/decline cutoff) separately from the PD estimate. GBM, trained without class rebalancing, tracks the observed default rate closely across deciles and only marginally fails the stricter Hosmer-Lemeshow test.</w:t>
      </w:r>
    </w:p>
    <w:p>
      <w:pPr>
        <w:pStyle w:val="Heading1"/>
        <w:spacing w:after="160" w:before="320"/>
      </w:pPr>
      <w:r>
        <w:t xml:space="preserve">7. Model Transparency</w:t>
      </w:r>
    </w:p>
    <w:p>
      <w:pPr>
        <w:spacing w:after="40" w:before="160"/>
        <w:jc w:val="center"/>
      </w:pPr>
      <w:r>
        <w:drawing>
          <wp:inline distT="0" distB="0" distL="0" distR="0">
            <wp:extent cx="4000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Figure 5. Top GBM feature importances.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Logistic Regression — top |coefficients|</w:t>
            </w:r>
          </w:p>
        </w:tc>
        <w:tc>
          <w:tcPr>
            <w:tcW w:type="dxa" w:w="47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GBM — top importances</w:t>
            </w:r>
          </w:p>
        </w:tc>
      </w:tr>
      <w:tr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N_MONTHS_DELINQ: 0.8285</w:t>
            </w:r>
          </w:p>
        </w:tc>
        <w:tc>
          <w:tcPr>
            <w:tcW w:type="dxa" w:w="4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PAY_1: 0.5028</w:t>
            </w:r>
          </w:p>
        </w:tc>
      </w:tr>
      <w:tr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MAX_DELINQ: 0.3151</w:t>
            </w:r>
          </w:p>
        </w:tc>
        <w:tc>
          <w:tcPr>
            <w:tcW w:type="dxa" w:w="4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N_MONTHS_DELINQ: 0.1149</w:t>
            </w:r>
          </w:p>
        </w:tc>
      </w:tr>
      <w:tr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LIMIT_BAL: -0.2032</w:t>
            </w:r>
          </w:p>
        </w:tc>
        <w:tc>
          <w:tcPr>
            <w:tcW w:type="dxa" w:w="4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MAX_DELINQ: 0.1046</w:t>
            </w:r>
          </w:p>
        </w:tc>
      </w:tr>
      <w:tr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PAY_AMT2: -0.1671</w:t>
            </w:r>
          </w:p>
        </w:tc>
        <w:tc>
          <w:tcPr>
            <w:tcW w:type="dxa" w:w="4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AVG_PAY_AMT: 0.0315</w:t>
            </w:r>
          </w:p>
        </w:tc>
      </w:tr>
      <w:tr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PAY_1: 0.1578</w:t>
            </w:r>
          </w:p>
        </w:tc>
        <w:tc>
          <w:tcPr>
            <w:tcW w:type="dxa" w:w="4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UTILIZATION: 0.0283</w:t>
            </w:r>
          </w:p>
        </w:tc>
      </w:tr>
      <w:tr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PAY_3: -0.1482</w:t>
            </w:r>
          </w:p>
        </w:tc>
        <w:tc>
          <w:tcPr>
            <w:tcW w:type="dxa" w:w="4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PAY_TO_BILL_RATIO: 0.0244</w:t>
            </w:r>
          </w:p>
        </w:tc>
      </w:tr>
      <w:tr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BILL_AMT3: 0.1433</w:t>
            </w:r>
          </w:p>
        </w:tc>
        <w:tc>
          <w:tcPr>
            <w:tcW w:type="dxa" w:w="4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BILL_TREND: 0.0239</w:t>
            </w:r>
          </w:p>
        </w:tc>
      </w:tr>
      <w:tr>
        <w:tc>
          <w:tcPr>
            <w:tcW w:type="dxa" w:w="47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PAY_6: -0.1402</w:t>
            </w:r>
          </w:p>
        </w:tc>
        <w:tc>
          <w:tcPr>
            <w:tcW w:type="dxa" w:w="47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LIMIT_BAL: 0.0208</w:t>
            </w:r>
          </w:p>
        </w:tc>
      </w:tr>
    </w:tbl>
    <w:p>
      <w:pPr>
        <w:spacing w:after="160"/>
      </w:pPr>
      <w:r>
        <w:t xml:space="preserve"> </w:t>
      </w:r>
    </w:p>
    <w:p>
      <w:pPr>
        <w:spacing w:after="160"/>
      </w:pPr>
      <w:r>
        <w:t xml:space="preserve">Both models agree on the dominant risk drivers: recent delinquency status (PAY_1, the most recent repayment status) and the count of months delinquent over the 6-month window swamp all other variables in the GBM, while in logistic regression the delinquency-count and worst-delinquency features, credit limit, and utilization carry the largest standardized coefficients. This lines up with domain expectations for revolving consumer credit — recent payment behavior is the single strongest predictor of near-term default, more so than static demographics — which is a useful conceptual-soundness check: the model is not keying off spurious variables.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Limitations &amp; What a Production Validation Would Add</w:t>
      </w:r>
    </w:p>
    <w:p>
      <w:pPr>
        <w:spacing w:after="160"/>
      </w:pPr>
      <w:r>
        <w:t xml:space="preserve">This exercise is scoped to demonstrate the full modeling-and-validation workflow on a public dataset, not to produce a production-ready model. Specific limitations, stated plainly: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true out-of-time backtest. The dataset is a single 6-month snapshot (Apr–Sep 2005) with no loan origination dates, so "train/test" here is a random split, not different vintages. A production validation requires testing on a genuinely later time period to catch performance decay from economic or population drift — this is the single biggest gap versus a real bank validation.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macroeconomic stress testing. A full PD model validation would test performance under simulated adverse scenarios (e.g., unemployment shocks), as required for CCAR/DFAST-style stress testing.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reject inference. This is observed-only data — accepted accounts only, no visibility into applicants who would have been declined — a standard bias in any real acquisition-scoring build.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fair-lending / disparate impact analysis. SEX and demographic fields were included as raw predictors here for a clean methodological demonstration; a production consumer-credit model requires disparate impact testing and likely exclusion or careful treatment of protected-class-correlated variables.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LGD/EAD or portfolio loss modeling. This is a PD-only exercise; expected loss requires loss-given-default and exposure-at-default components not present in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champion build. No documented champion-challenger governance history, no independent validation team sign-off, no ongoing monitoring plan with defined PSI/KS trigger thresholds for re-development — all of which a production model governance framework would require.</w:t>
      </w:r>
    </w:p>
    <w:p>
      <w:pPr>
        <w:pStyle w:val="Heading1"/>
        <w:spacing w:after="160" w:before="320"/>
      </w:pPr>
      <w:r>
        <w:t xml:space="preserve">9. Conclusion</w:t>
      </w:r>
    </w:p>
    <w:p>
      <w:pPr>
        <w:spacing w:after="160"/>
      </w:pPr>
      <w:r>
        <w:t xml:space="preserve">This exercise builds and validates two PD models on a public consumer-credit dataset end to end: sourcing and cleaning the data, engineering behavior-based features, fitting an interpretable baseline and a tree-based challenger, and subjecting both to a four-part validation framework (discrimination, calibration, stability, transparency) rather than reporting a single accuracy number. The GBM challenger outperforms the logistic regression baseline on discrimination (AUC 0.7815 vs 0.7518) and calibration, while the logistic regression's calibration failure — traced to class-balancing rather than a data or code error — is itself a demonstration of the kind of finding a real validation function exists to catch. Section 8 is intentionally explicit about the gap between this exercise and a production-grade validation, in particular the absence of a true out-of-time backtest.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Credit Risk PD Model —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262a03095ac6882c1b883db62405deaeeeca9a.png"/><Relationship Id="rId10" Type="http://schemas.openxmlformats.org/officeDocument/2006/relationships/image" Target="media/3a8145dc1e1710f0f4786d86d658b8c4652e1359.png"/><Relationship Id="rId11" Type="http://schemas.openxmlformats.org/officeDocument/2006/relationships/image" Target="media/f1ef3d275b3c1ca7312b294018c1f4acb6f813ad.png"/><Relationship Id="rId12" Type="http://schemas.openxmlformats.org/officeDocument/2006/relationships/image" Target="media/d18f44755be8ca9e4a54ca44ba5637b562858e88.png"/><Relationship Id="rId13" Type="http://schemas.openxmlformats.org/officeDocument/2006/relationships/image" Target="media/67faa410b4e41dedb53b881ade125936816ca9b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2026-08-29T09:37:50.830Z</dcterms:created>
  <dcterms:modified xsi:type="dcterms:W3CDTF">2026-08-29T09:37:50.840Z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