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030fcf866eda1be0c8285993af1d37fe9d0652"/>
    <w:p>
      <w:pPr>
        <w:pStyle w:val="Heading1"/>
      </w:pPr>
      <w:r>
        <w:t xml:space="preserve">Does scale close the gap between identical retrieval evaluations and the answers they produce? A preregistered scale curve within one model family</w:t>
      </w:r>
    </w:p>
    <w:p>
      <w:pPr>
        <w:pStyle w:val="FirstParagraph"/>
      </w:pPr>
      <w:r>
        <w:rPr>
          <w:bCs/>
          <w:b/>
        </w:rPr>
        <w:t xml:space="preserve">Study ID:</w:t>
      </w:r>
      <w:r>
        <w:t xml:space="preserve"> </w:t>
      </w:r>
      <w:r>
        <w:t xml:space="preserve">RIDI-RAG-QWEN3-SCALE-CURVE-v1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Adeeb Noor, King Abdulaziz University (arnoor@kau.edu.sa; ORCID 0000-0002-8251-1853)</w:t>
      </w:r>
      <w:r>
        <w:t xml:space="preserve"> </w:t>
      </w:r>
      <w:r>
        <w:rPr>
          <w:bCs/>
          <w:b/>
        </w:rPr>
        <w:t xml:space="preserve">Parent registrations:</w:t>
      </w:r>
      <w:r>
        <w:t xml:space="preserve"> </w:t>
      </w:r>
      <w:r>
        <w:t xml:space="preserve">OSF txwdv (primary experiment); OSF ms4w8 (registered extensions P1–P5)</w:t>
      </w:r>
      <w:r>
        <w:t xml:space="preserve"> </w:t>
      </w:r>
      <w:r>
        <w:rPr>
          <w:bCs/>
          <w:b/>
        </w:rPr>
        <w:t xml:space="preserve">Template:</w:t>
      </w:r>
      <w:r>
        <w:t xml:space="preserve"> </w:t>
      </w:r>
      <w:r>
        <w:t xml:space="preserve">OSF Preregistration (standard). Registered before any output of this study is generated.</w:t>
      </w:r>
    </w:p>
    <w:p>
      <w:r>
        <w:pict>
          <v:rect style="width:0;height:1.5pt" o:hralign="center" o:hrstd="t" o:hr="t"/>
        </w:pict>
      </w:r>
    </w:p>
    <w:bookmarkStart w:id="24" w:name="study-information"/>
    <w:p>
      <w:pPr>
        <w:pStyle w:val="Heading2"/>
      </w:pPr>
      <w:r>
        <w:t xml:space="preserve">1. Study information</w:t>
      </w:r>
    </w:p>
    <w:bookmarkStart w:id="20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In the registered primary experiment (OSF txwdv), uncredited passages were exchanged at random inside frozen BM25 top-10 search results for 800 questions from four BEIR benchmarks, keeping every credited passage at its rank, so every grade-based retrieval score was identical by construction. With Qwen3-8B, answer correctness changed for 17.27% of questions (equal-benchmark mean) against a 1.03% execution floor. A post hoc run with Qwen3-32B gave 12.37%. Whether the effect persists, shrinks towards the execution floor, or vanishes as model size grows is unknown.</w:t>
      </w:r>
    </w:p>
    <w:bookmarkEnd w:id="20"/>
    <w:bookmarkStart w:id="21" w:name="research-questions"/>
    <w:p>
      <w:pPr>
        <w:pStyle w:val="Heading3"/>
      </w:pPr>
      <w:r>
        <w:t xml:space="preserve">1.2 Research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RQ1.</w:t>
      </w:r>
      <w:r>
        <w:t xml:space="preserve"> </w:t>
      </w:r>
      <w:r>
        <w:t xml:space="preserve">Does the excess of answer-correctness change over the execution floor persist at the largest dense model in the Qwen3 family (32B)?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RQ2.</w:t>
      </w:r>
      <w:r>
        <w:t xml:space="preserve"> </w:t>
      </w:r>
      <w:r>
        <w:t xml:space="preserve">Does it persist at every size from 0.6B to 32B?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RQ3.</w:t>
      </w:r>
      <w:r>
        <w:t xml:space="preserve"> </w:t>
      </w:r>
      <w:r>
        <w:t xml:space="preserve">How does it change with model size within the tested range?</w:t>
      </w:r>
    </w:p>
    <w:bookmarkEnd w:id="21"/>
    <w:bookmarkStart w:id="22" w:name="hypotheses-directional-where-stated"/>
    <w:p>
      <w:pPr>
        <w:pStyle w:val="Heading3"/>
      </w:pPr>
      <w:r>
        <w:t xml:space="preserve">1.3 Hypotheses (directional where stated)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H1 (persistence at 32B).</w:t>
      </w:r>
      <w:r>
        <w:t xml:space="preserve"> </w:t>
      </w:r>
      <w:r>
        <w:t xml:space="preserve">For Qwen3-32B, the equal-benchmark excess E = I − F is at least 5 percentage points with a 95% lower bound above 2 points. I is the intervention change rate and F is the execution-floor change rate, both defined in section 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H2 (persistence at all sizes).</w:t>
      </w:r>
      <w:r>
        <w:t xml:space="preserve"> </w:t>
      </w:r>
      <w:r>
        <w:t xml:space="preserve">At every executed size, the 95% lower bound of E exceeds 2 points.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H3 (scale trend, two-sided).</w:t>
      </w:r>
      <w:r>
        <w:t xml:space="preserve"> </w:t>
      </w:r>
      <w:r>
        <w:t xml:space="preserve">The slope of E on log10(parameters) across executed sizes differs from zero. No direction is predicted.</w:t>
      </w:r>
    </w:p>
    <w:bookmarkEnd w:id="22"/>
    <w:bookmarkStart w:id="23" w:name="disclosure-of-prior-knowledge"/>
    <w:p>
      <w:pPr>
        <w:pStyle w:val="Heading3"/>
      </w:pPr>
      <w:r>
        <w:t xml:space="preserve">1.4 Disclosure of prior knowledge</w:t>
      </w:r>
    </w:p>
    <w:p>
      <w:pPr>
        <w:numPr>
          <w:ilvl w:val="0"/>
          <w:numId w:val="1003"/>
        </w:numPr>
        <w:pStyle w:val="Compact"/>
      </w:pPr>
      <w:r>
        <w:t xml:space="preserve">The author knows two earlier results on this panel:</w:t>
      </w:r>
    </w:p>
    <w:p>
      <w:pPr>
        <w:numPr>
          <w:ilvl w:val="1"/>
          <w:numId w:val="1004"/>
        </w:numPr>
        <w:pStyle w:val="Compact"/>
      </w:pPr>
      <w:r>
        <w:t xml:space="preserve">Qwen3-8B primary rates (17.27% intervention, 1.03% floor; registered).</w:t>
      </w:r>
    </w:p>
    <w:p>
      <w:pPr>
        <w:numPr>
          <w:ilvl w:val="1"/>
          <w:numId w:val="1004"/>
        </w:numPr>
        <w:pStyle w:val="Compact"/>
      </w:pPr>
      <w:r>
        <w:t xml:space="preserve">The Qwen3-32B intervention rate (12.37%; post hoc, publicly locked before output, not OSF-registered).</w:t>
      </w:r>
    </w:p>
    <w:p>
      <w:pPr>
        <w:numPr>
          <w:ilvl w:val="0"/>
          <w:numId w:val="1003"/>
        </w:numPr>
        <w:pStyle w:val="Compact"/>
      </w:pPr>
      <w:r>
        <w:t xml:space="preserve">No result for 0.6B, 1.7B, 4B or 14B has been generated or seen.</w:t>
      </w:r>
    </w:p>
    <w:p>
      <w:pPr>
        <w:numPr>
          <w:ilvl w:val="0"/>
          <w:numId w:val="1003"/>
        </w:numPr>
        <w:pStyle w:val="Compact"/>
      </w:pPr>
      <w:r>
        <w:t xml:space="preserve">The 32B floor under this design has not been measured.</w:t>
      </w:r>
    </w:p>
    <w:p>
      <w:pPr>
        <w:numPr>
          <w:ilvl w:val="0"/>
          <w:numId w:val="1003"/>
        </w:numPr>
        <w:pStyle w:val="Compact"/>
      </w:pPr>
      <w:r>
        <w:t xml:space="preserve">This study re-runs 8B and 32B under one protocol. Earlier results are not pooled with new ones.</w:t>
      </w:r>
    </w:p>
    <w:p>
      <w:pPr>
        <w:numPr>
          <w:ilvl w:val="0"/>
          <w:numId w:val="1003"/>
        </w:numPr>
        <w:pStyle w:val="Compact"/>
      </w:pPr>
      <w:r>
        <w:t xml:space="preserve">The decision thresholds (5 points; lower bound 2 points) are inherited from the registered H2 of OSF txwdv. They were fixed before the earlier results were known.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design"/>
    <w:p>
      <w:pPr>
        <w:pStyle w:val="Heading2"/>
      </w:pPr>
      <w:r>
        <w:t xml:space="preserve">2. Design</w:t>
      </w:r>
    </w:p>
    <w:bookmarkStart w:id="25" w:name="overview"/>
    <w:p>
      <w:pPr>
        <w:pStyle w:val="Heading3"/>
      </w:pPr>
      <w:r>
        <w:t xml:space="preserve">2.1 Overview</w:t>
      </w:r>
    </w:p>
    <w:p>
      <w:pPr>
        <w:pStyle w:val="FirstParagraph"/>
      </w:pPr>
      <w:r>
        <w:t xml:space="preserve">This is a within-question paired design. The same 800 questions, contexts and prompts are presented to each model.</w:t>
      </w:r>
    </w:p>
    <w:bookmarkEnd w:id="25"/>
    <w:bookmarkStart w:id="26" w:name="factors"/>
    <w:p>
      <w:pPr>
        <w:pStyle w:val="Heading3"/>
      </w:pPr>
      <w:r>
        <w:t xml:space="preserve">2.2 Factors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 size:</w:t>
      </w:r>
      <w:r>
        <w:t xml:space="preserve"> </w:t>
      </w:r>
      <w:r>
        <w:t xml:space="preserve">six dense Qwen3 models.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Condition:</w:t>
      </w:r>
      <w:r>
        <w:t xml:space="preserve"> </w:t>
      </w:r>
      <w:r>
        <w:t xml:space="preserve">three conditions per model.</w:t>
      </w:r>
    </w:p>
    <w:bookmarkEnd w:id="26"/>
    <w:bookmarkStart w:id="27" w:name="conditions-per-model-per-question"/>
    <w:p>
      <w:pPr>
        <w:pStyle w:val="Heading3"/>
      </w:pPr>
      <w:r>
        <w:t xml:space="preserve">2.3 Conditions (per model, per question)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BM25 top-10 reference 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prompt per forward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grade-preserving random exchange (same document identities as the primary experiment)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prompt per forward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reference_fixed16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consecutive blocks of 16 prompts in frozen panel order within each benchmark, left padding</w:t>
            </w:r>
          </w:p>
        </w:tc>
      </w:tr>
    </w:tbl>
    <w:bookmarkEnd w:id="27"/>
    <w:bookmarkStart w:id="28" w:name="blinding"/>
    <w:p>
      <w:pPr>
        <w:pStyle w:val="Heading3"/>
      </w:pPr>
      <w:r>
        <w:t xml:space="preserve">2.4 Blinding</w:t>
      </w:r>
    </w:p>
    <w:p>
      <w:pPr>
        <w:numPr>
          <w:ilvl w:val="0"/>
          <w:numId w:val="1006"/>
        </w:numPr>
        <w:pStyle w:val="Compact"/>
      </w:pPr>
      <w:r>
        <w:t xml:space="preserve">Per-question correctness is written to files and never printed to logs.</w:t>
      </w:r>
    </w:p>
    <w:p>
      <w:pPr>
        <w:numPr>
          <w:ilvl w:val="0"/>
          <w:numId w:val="1006"/>
        </w:numPr>
        <w:pStyle w:val="Compact"/>
      </w:pPr>
      <w:r>
        <w:t xml:space="preserve">No result file is opened, and no partial aggregate is computed, until all jobs have finished or been declared failed (section 7).</w:t>
      </w:r>
    </w:p>
    <w:bookmarkEnd w:id="28"/>
    <w:bookmarkStart w:id="29" w:name="randomization"/>
    <w:p>
      <w:pPr>
        <w:pStyle w:val="Heading3"/>
      </w:pPr>
      <w:r>
        <w:t xml:space="preserve">2.5 Randomization</w:t>
      </w:r>
    </w:p>
    <w:p>
      <w:pPr>
        <w:pStyle w:val="FirstParagraph"/>
      </w:pPr>
      <w:r>
        <w:t xml:space="preserve">There is no new randomization. The exchange is the registered random draw (seed 20260902), reproduced byte for byte. The runner verifies the frozen manifest, document identities and prompt-manifest SHA-256 for each benchmark before loading any model.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ampling-plan"/>
    <w:p>
      <w:pPr>
        <w:pStyle w:val="Heading2"/>
      </w:pPr>
      <w:r>
        <w:t xml:space="preserve">3. Sampling plan</w:t>
      </w:r>
    </w:p>
    <w:bookmarkStart w:id="31" w:name="data"/>
    <w:p>
      <w:pPr>
        <w:pStyle w:val="Heading3"/>
      </w:pPr>
      <w:r>
        <w:t xml:space="preserve">3.1 Data</w:t>
      </w:r>
    </w:p>
    <w:p>
      <w:pPr>
        <w:pStyle w:val="FirstParagraph"/>
      </w:pPr>
      <w:r>
        <w:t xml:space="preserve">The frozen registered panel of 800 questions: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Questions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HotpotQA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SciFact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</w:tbl>
    <w:p>
      <w:pPr>
        <w:pStyle w:val="BodyText"/>
      </w:pPr>
      <w:r>
        <w:t xml:space="preserve">The panel, corpora, qrels, gold answers, prompts and scorer are the registered artifacts of OSF txwdv. Each is verified against its SHA-256 before use.</w:t>
      </w:r>
    </w:p>
    <w:bookmarkEnd w:id="31"/>
    <w:bookmarkStart w:id="32" w:name="models"/>
    <w:p>
      <w:pPr>
        <w:pStyle w:val="Heading3"/>
      </w:pPr>
      <w:r>
        <w:t xml:space="preserve">3.2 Models</w:t>
      </w:r>
    </w:p>
    <w:p>
      <w:pPr>
        <w:pStyle w:val="FirstParagraph"/>
      </w:pPr>
      <w:r>
        <w:t xml:space="preserve">Primary family: dense Qwen3 models with thinking disabled.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Parameters 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qwen3-0.6b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Qwen/Qwen3-0.6B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Qwen/Qwen3-1.7B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Qwen/Qwen3-4B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Qwen/Qwen3-8B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Qwen/Qwen3-14B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Qwen/Qwen3-32B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Exact Hugging Face commit SHAs are recorded in</w:t>
      </w:r>
      <w:r>
        <w:t xml:space="preserve"> </w:t>
      </w:r>
      <w:r>
        <w:rPr>
          <w:rStyle w:val="VerbatimChar"/>
        </w:rPr>
        <w:t xml:space="preserve">models.json</w:t>
      </w:r>
      <w:r>
        <w:t xml:space="preserve">. That file’s SHA-256 is recorded in</w:t>
      </w:r>
      <w:r>
        <w:t xml:space="preserve"> </w:t>
      </w:r>
      <w:r>
        <w:rPr>
          <w:rStyle w:val="VerbatimChar"/>
        </w:rPr>
        <w:t xml:space="preserve">LOCK.json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LOCK.json</w:t>
      </w:r>
      <w:r>
        <w:t xml:space="preserve"> </w:t>
      </w:r>
      <w:r>
        <w:t xml:space="preserve">is committed publicly and attached to this registration before generation.</w:t>
      </w:r>
    </w:p>
    <w:p>
      <w:pPr>
        <w:numPr>
          <w:ilvl w:val="0"/>
          <w:numId w:val="1007"/>
        </w:numPr>
        <w:pStyle w:val="Compact"/>
      </w:pPr>
      <w:r>
        <w:t xml:space="preserve">The 8B and 32B revisions are those used earlier: 8B</w:t>
      </w:r>
      <w:r>
        <w:t xml:space="preserve"> </w:t>
      </w:r>
      <w:r>
        <w:rPr>
          <w:rStyle w:val="VerbatimChar"/>
        </w:rPr>
        <w:t xml:space="preserve">b968826d…</w:t>
      </w:r>
      <w:r>
        <w:t xml:space="preserve">, 32B</w:t>
      </w:r>
      <w:r>
        <w:t xml:space="preserve"> </w:t>
      </w:r>
      <w:r>
        <w:rPr>
          <w:rStyle w:val="VerbatimChar"/>
        </w:rPr>
        <w:t xml:space="preserve">9216db57…</w:t>
      </w:r>
      <w:r>
        <w:t xml:space="preserve">.</w:t>
      </w:r>
    </w:p>
    <w:p>
      <w:pPr>
        <w:pStyle w:val="FirstParagraph"/>
      </w:pPr>
      <w:r>
        <w:t xml:space="preserve">Optional tier: Qwen/Qwen3-235B-A22B (mixture of experts, 22B active parameters).</w:t>
      </w:r>
      <w:r>
        <w:t xml:space="preserve"> </w:t>
      </w:r>
      <w:r>
        <w:t xml:space="preserve">- It is run only if it fits the same local, unquantized, deterministic regime on at least eight 80-GB GPUs.</w:t>
      </w:r>
      <w:r>
        <w:t xml:space="preserve"> </w:t>
      </w:r>
      <w:r>
        <w:t xml:space="preserve">- It is analysed separately (section 6.3) and never enters H1–H3.</w:t>
      </w:r>
      <w:r>
        <w:t xml:space="preserve"> </w:t>
      </w:r>
      <w:r>
        <w:t xml:space="preserve">- No API or quantized substitute is permitted for any model.</w:t>
      </w:r>
    </w:p>
    <w:bookmarkEnd w:id="32"/>
    <w:bookmarkStart w:id="33" w:name="generation-settings-all-models"/>
    <w:p>
      <w:pPr>
        <w:pStyle w:val="Heading3"/>
      </w:pPr>
      <w:r>
        <w:t xml:space="preserve">3.3 Generation settings (all models)</w:t>
      </w:r>
    </w:p>
    <w:p>
      <w:pPr>
        <w:numPr>
          <w:ilvl w:val="0"/>
          <w:numId w:val="1008"/>
        </w:numPr>
        <w:pStyle w:val="Compact"/>
      </w:pPr>
      <w:r>
        <w:t xml:space="preserve">Greedy decoding (do_sample=False).</w:t>
      </w:r>
    </w:p>
    <w:p>
      <w:pPr>
        <w:numPr>
          <w:ilvl w:val="0"/>
          <w:numId w:val="1008"/>
        </w:numPr>
        <w:pStyle w:val="Compact"/>
      </w:pPr>
      <w:r>
        <w:t xml:space="preserve">max_new_tokens = 128.</w:t>
      </w:r>
    </w:p>
    <w:p>
      <w:pPr>
        <w:numPr>
          <w:ilvl w:val="0"/>
          <w:numId w:val="1008"/>
        </w:numPr>
        <w:pStyle w:val="Compact"/>
      </w:pPr>
      <w:r>
        <w:t xml:space="preserve">Chat template with enable_thinking=False.</w:t>
      </w:r>
    </w:p>
    <w:p>
      <w:pPr>
        <w:numPr>
          <w:ilvl w:val="0"/>
          <w:numId w:val="1008"/>
        </w:numPr>
        <w:pStyle w:val="Compact"/>
      </w:pPr>
      <w:r>
        <w:t xml:space="preserve">Passages truncated to 1,200 characters.</w:t>
      </w:r>
    </w:p>
    <w:p>
      <w:pPr>
        <w:numPr>
          <w:ilvl w:val="0"/>
          <w:numId w:val="1008"/>
        </w:numPr>
        <w:pStyle w:val="Compact"/>
      </w:pPr>
      <w:r>
        <w:t xml:space="preserve">Seed 20260902.</w:t>
      </w:r>
    </w:p>
    <w:p>
      <w:pPr>
        <w:numPr>
          <w:ilvl w:val="0"/>
          <w:numId w:val="1008"/>
        </w:numPr>
        <w:pStyle w:val="Compact"/>
      </w:pPr>
      <w:r>
        <w:t xml:space="preserve">torch.use_deterministic_algorithms(True); TF32 disabled.</w:t>
      </w:r>
    </w:p>
    <w:p>
      <w:pPr>
        <w:numPr>
          <w:ilvl w:val="0"/>
          <w:numId w:val="1008"/>
        </w:numPr>
        <w:pStyle w:val="Compact"/>
      </w:pPr>
      <w:r>
        <w:t xml:space="preserve">Native unquantized weights (bfloat16).</w:t>
      </w:r>
    </w:p>
    <w:p>
      <w:pPr>
        <w:numPr>
          <w:ilvl w:val="0"/>
          <w:numId w:val="1008"/>
        </w:numPr>
        <w:pStyle w:val="Compact"/>
      </w:pPr>
      <w:r>
        <w:t xml:space="preserve">Environment, GPU type and loaded dtype are recorded for every job.</w:t>
      </w:r>
    </w:p>
    <w:bookmarkEnd w:id="33"/>
    <w:bookmarkStart w:id="34" w:name="sample-size"/>
    <w:p>
      <w:pPr>
        <w:pStyle w:val="Heading3"/>
      </w:pPr>
      <w:r>
        <w:t xml:space="preserve">3.4 Sample size</w:t>
      </w:r>
    </w:p>
    <w:p>
      <w:pPr>
        <w:pStyle w:val="FirstParagraph"/>
      </w:pPr>
      <w:r>
        <w:t xml:space="preserve">Fixed at 800 paired questions by the registered panel. There is no stopping rule beyond completion.</w:t>
      </w:r>
    </w:p>
    <w:p>
      <w:pPr>
        <w:pStyle w:val="BodyText"/>
      </w:pPr>
      <w:r>
        <w:t xml:space="preserve">As a precision guide: with a change rate near 12% and a floor near 1%, an equal-benchmark 95% interval for E is roughly ±2.5 points (the post hoc 32B intervention rate of 12.37% had an interval of 10.07–14.77%). This is enough to separate E from the 2-point boundary when E ≥ 5 points.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ariables"/>
    <w:p>
      <w:pPr>
        <w:pStyle w:val="Heading2"/>
      </w:pPr>
      <w:r>
        <w:t xml:space="preserve">4. Variables</w:t>
      </w:r>
    </w:p>
    <w:p>
      <w:pPr>
        <w:pStyle w:val="FirstParagraph"/>
      </w:pPr>
      <w:r>
        <w:t xml:space="preserve">All outcomes are computed with the frozen registered scorer against gold answers.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 change 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 differs between reference_single and random_single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Execution-floor change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 differs between reference_single and reference_fixed16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− F, computed on the equal-benchmark scale (mean of the four benchmark rates)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correct→wrong and wrong→correct counts for the intervention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answer differs between reference_single and random_single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 in reference_single and random_single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0737707f069120092525bd7ed7c164a6afead21"/>
    <w:p>
      <w:pPr>
        <w:pStyle w:val="Heading2"/>
      </w:pPr>
      <w:r>
        <w:t xml:space="preserve">5. Pre-analysis checks (reported, not used to exclude)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C1. Determinism.</w:t>
      </w:r>
      <w:r>
        <w:t xml:space="preserve"> </w:t>
      </w:r>
      <w:r>
        <w:t xml:space="preserve">For each model and benchmark, the first 16 reference prompts are regenerated one at a time after the main run. The number of byte-identical answers is reported.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C2. Reproduction of the archived 8B run.</w:t>
      </w:r>
      <w:r>
        <w:t xml:space="preserve"> </w:t>
      </w:r>
      <w:r>
        <w:t xml:space="preserve">For Qwen3-8B, per-question correctness in reference_single and random_single is compared with the archived primary run (expected: full agreement). Any disagreement is reported. The new 8B values are analysed as generated.</w:t>
      </w:r>
    </w:p>
    <w:p>
      <w:r>
        <w:pict>
          <v:rect style="width:0;height:1.5pt" o:hralign="center" o:hrstd="t" o:hr="t"/>
        </w:pict>
      </w:r>
    </w:p>
    <w:bookmarkEnd w:id="37"/>
    <w:bookmarkStart w:id="42" w:name="analysis-plan"/>
    <w:p>
      <w:pPr>
        <w:pStyle w:val="Heading2"/>
      </w:pPr>
      <w:r>
        <w:t xml:space="preserve">6. Analysis plan</w:t>
      </w:r>
    </w:p>
    <w:bookmarkStart w:id="38" w:name="estimation"/>
    <w:p>
      <w:pPr>
        <w:pStyle w:val="Heading3"/>
      </w:pPr>
      <w:r>
        <w:t xml:space="preserve">6.1 Estimation</w:t>
      </w:r>
    </w:p>
    <w:p>
      <w:pPr>
        <w:pStyle w:val="FirstParagraph"/>
      </w:pPr>
      <w:r>
        <w:t xml:space="preserve">For each model, the following are computed on the equal-benchmark scale, with pooled values also reported:</w:t>
      </w:r>
      <w:r>
        <w:t xml:space="preserve"> </w:t>
      </w:r>
      <w:r>
        <w:t xml:space="preserve">- I, F and E.</w:t>
      </w:r>
      <w:r>
        <w:t xml:space="preserve"> </w:t>
      </w:r>
      <w:r>
        <w:t xml:space="preserve">- Canonical change rate.</w:t>
      </w:r>
      <w:r>
        <w:t xml:space="preserve"> </w:t>
      </w:r>
      <w:r>
        <w:t xml:space="preserve">- Accuracy in each condition.</w:t>
      </w:r>
    </w:p>
    <w:p>
      <w:pPr>
        <w:pStyle w:val="BodyText"/>
      </w:pPr>
      <w:r>
        <w:t xml:space="preserve">Uncertainty uses 100,000 bootstrap resamples (seed 20261010) of questions within benchmark.</w:t>
      </w:r>
      <w:r>
        <w:t xml:space="preserve"> </w:t>
      </w:r>
      <w:r>
        <w:t xml:space="preserve">- The resampled questions are shared across models (joint, paired bootstrap), so differences and trends between models respect the pairing.</w:t>
      </w:r>
      <w:r>
        <w:t xml:space="preserve"> </w:t>
      </w:r>
      <w:r>
        <w:t xml:space="preserve">- Intervals are 95% percentile intervals. The accuracy difference uses a 90% interval for two one-sided tests at ±5 points.</w:t>
      </w:r>
    </w:p>
    <w:bookmarkEnd w:id="38"/>
    <w:bookmarkStart w:id="39" w:name="confirmatory-decisions"/>
    <w:p>
      <w:pPr>
        <w:pStyle w:val="Heading3"/>
      </w:pPr>
      <w:r>
        <w:t xml:space="preserve">6.2 Confirmatory decisions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H1 (Qwen3-32B):</w:t>
      </w:r>
    </w:p>
    <w:p>
      <w:pPr>
        <w:numPr>
          <w:ilvl w:val="1"/>
          <w:numId w:val="1011"/>
        </w:numPr>
        <w:pStyle w:val="Compact"/>
      </w:pPr>
      <w:r>
        <w:rPr>
          <w:iCs/>
          <w:i/>
        </w:rPr>
        <w:t xml:space="preserve">supported</w:t>
      </w:r>
      <w:r>
        <w:t xml:space="preserve"> </w:t>
      </w:r>
      <w:r>
        <w:t xml:space="preserve">if E ≥ 5 points and the 95% lower bound is &gt; 2 points;</w:t>
      </w:r>
    </w:p>
    <w:p>
      <w:pPr>
        <w:numPr>
          <w:ilvl w:val="1"/>
          <w:numId w:val="1011"/>
        </w:numPr>
        <w:pStyle w:val="Compact"/>
      </w:pPr>
      <w:r>
        <w:rPr>
          <w:iCs/>
          <w:i/>
        </w:rPr>
        <w:t xml:space="preserve">falsified (vanishes)</w:t>
      </w:r>
      <w:r>
        <w:t xml:space="preserve"> </w:t>
      </w:r>
      <w:r>
        <w:t xml:space="preserve">if the 95% upper bound is &lt; 2 points;</w:t>
      </w:r>
    </w:p>
    <w:p>
      <w:pPr>
        <w:numPr>
          <w:ilvl w:val="1"/>
          <w:numId w:val="1011"/>
        </w:numPr>
        <w:pStyle w:val="Compact"/>
      </w:pPr>
      <w:r>
        <w:t xml:space="preserve">otherwise</w:t>
      </w:r>
      <w:r>
        <w:t xml:space="preserve"> </w:t>
      </w:r>
      <w:r>
        <w:rPr>
          <w:iCs/>
          <w:i/>
        </w:rPr>
        <w:t xml:space="preserve">inconclusive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H2:</w:t>
      </w:r>
    </w:p>
    <w:p>
      <w:pPr>
        <w:numPr>
          <w:ilvl w:val="1"/>
          <w:numId w:val="1012"/>
        </w:numPr>
        <w:pStyle w:val="Compact"/>
      </w:pPr>
      <w:r>
        <w:rPr>
          <w:iCs/>
          <w:i/>
        </w:rPr>
        <w:t xml:space="preserve">supported</w:t>
      </w:r>
      <w:r>
        <w:t xml:space="preserve"> </w:t>
      </w:r>
      <w:r>
        <w:t xml:space="preserve">if the 95% lower bound of E exceeds 2 points at every executed primary size;</w:t>
      </w:r>
    </w:p>
    <w:p>
      <w:pPr>
        <w:numPr>
          <w:ilvl w:val="1"/>
          <w:numId w:val="1012"/>
        </w:numPr>
        <w:pStyle w:val="Compact"/>
      </w:pPr>
      <w:r>
        <w:t xml:space="preserve">whether all six sizes were executed is reported alongside.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H3:</w:t>
      </w:r>
    </w:p>
    <w:p>
      <w:pPr>
        <w:numPr>
          <w:ilvl w:val="1"/>
          <w:numId w:val="1013"/>
        </w:numPr>
        <w:pStyle w:val="Compact"/>
      </w:pPr>
      <w:r>
        <w:t xml:space="preserve">Ordinary least-squares slope of E on log10(parameters, billions) across executed primary sizes (at least three required).</w:t>
      </w:r>
    </w:p>
    <w:p>
      <w:pPr>
        <w:numPr>
          <w:ilvl w:val="1"/>
          <w:numId w:val="1013"/>
        </w:numPr>
        <w:pStyle w:val="Compact"/>
      </w:pPr>
      <w:r>
        <w:t xml:space="preserve">95% interval from the joint bootstrap.</w:t>
      </w:r>
    </w:p>
    <w:p>
      <w:pPr>
        <w:numPr>
          <w:ilvl w:val="1"/>
          <w:numId w:val="1013"/>
        </w:numPr>
        <w:pStyle w:val="Compact"/>
      </w:pPr>
      <w:r>
        <w:t xml:space="preserve">Classified as decreasing (upper bound &lt; 0), increasing (lower bound &gt; 0) or no detectable trend.</w:t>
      </w:r>
    </w:p>
    <w:p>
      <w:pPr>
        <w:pStyle w:val="FirstParagraph"/>
      </w:pPr>
      <w:r>
        <w:t xml:space="preserve">No α-adjustment is applied across H1–H3. Each hypothesis answers a distinct question, and all are reported regardless of outcome.</w:t>
      </w:r>
    </w:p>
    <w:bookmarkEnd w:id="39"/>
    <w:bookmarkStart w:id="40" w:name="secondary-analyses-descriptive"/>
    <w:p>
      <w:pPr>
        <w:pStyle w:val="Heading3"/>
      </w:pPr>
      <w:r>
        <w:t xml:space="preserve">6.3 Secondary analyses (descriptive)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S1.</w:t>
      </w:r>
      <w:r>
        <w:t xml:space="preserve"> </w:t>
      </w:r>
      <w:r>
        <w:t xml:space="preserve">Canonical change rate by size.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S2.</w:t>
      </w:r>
      <w:r>
        <w:t xml:space="preserve"> </w:t>
      </w:r>
      <w:r>
        <w:t xml:space="preserve">Direction: correct→wrong versus wrong→correct, with an exact two-sided binomial test per size.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S3.</w:t>
      </w:r>
      <w:r>
        <w:t xml:space="preserve"> </w:t>
      </w:r>
      <w:r>
        <w:t xml:space="preserve">Accuracy by condition and size. Two one-sided tests at ±5 points on the paired accuracy difference.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S4.</w:t>
      </w:r>
      <w:r>
        <w:t xml:space="preserve"> </w:t>
      </w:r>
      <w:r>
        <w:t xml:space="preserve">Cross-scale overlap of changed questions:</w:t>
      </w:r>
    </w:p>
    <w:p>
      <w:pPr>
        <w:numPr>
          <w:ilvl w:val="1"/>
          <w:numId w:val="1015"/>
        </w:numPr>
        <w:pStyle w:val="Compact"/>
      </w:pPr>
      <w:r>
        <w:t xml:space="preserve">Jaccard index and Haldane-corrected odds ratio for each pair of sizes.</w:t>
      </w:r>
    </w:p>
    <w:p>
      <w:pPr>
        <w:numPr>
          <w:ilvl w:val="1"/>
          <w:numId w:val="1015"/>
        </w:numPr>
        <w:pStyle w:val="Compact"/>
      </w:pPr>
      <w:r>
        <w:t xml:space="preserve">Distribution of the number of sizes at which each question changes.</w:t>
      </w:r>
    </w:p>
    <w:p>
      <w:pPr>
        <w:numPr>
          <w:ilvl w:val="1"/>
          <w:numId w:val="1015"/>
        </w:numPr>
        <w:pStyle w:val="Compact"/>
      </w:pPr>
      <w:r>
        <w:t xml:space="preserve">Permutation test of concentration (variance of that count; 10,000 within-benchmark permutations; seed 20261011).</w:t>
      </w:r>
    </w:p>
    <w:p>
      <w:pPr>
        <w:numPr>
          <w:ilvl w:val="0"/>
          <w:numId w:val="1000"/>
        </w:numPr>
        <w:pStyle w:val="Compact"/>
      </w:pPr>
      <w:r>
        <w:t xml:space="preserve">S4 asks whether the same questions change across scale.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S5.</w:t>
      </w:r>
      <w:r>
        <w:t xml:space="preserve"> </w:t>
      </w:r>
      <w:r>
        <w:t xml:space="preserve">Change rates by size within strata defined by the frozen P4 judge labels:</w:t>
      </w:r>
    </w:p>
    <w:p>
      <w:pPr>
        <w:numPr>
          <w:ilvl w:val="1"/>
          <w:numId w:val="1016"/>
        </w:numPr>
        <w:pStyle w:val="Compact"/>
      </w:pPr>
      <w:r>
        <w:t xml:space="preserve">no exchanged passage flagged by either judge (93 questions);</w:t>
      </w:r>
    </w:p>
    <w:p>
      <w:pPr>
        <w:numPr>
          <w:ilvl w:val="1"/>
          <w:numId w:val="1016"/>
        </w:numPr>
        <w:pStyle w:val="Compact"/>
      </w:pPr>
      <w:r>
        <w:t xml:space="preserve">judges never agreed (238);</w:t>
      </w:r>
    </w:p>
    <w:p>
      <w:pPr>
        <w:numPr>
          <w:ilvl w:val="1"/>
          <w:numId w:val="1016"/>
        </w:numPr>
        <w:pStyle w:val="Compact"/>
      </w:pPr>
      <w:r>
        <w:t xml:space="preserve">strict registered clean rule (86);</w:t>
      </w:r>
    </w:p>
    <w:p>
      <w:pPr>
        <w:numPr>
          <w:ilvl w:val="1"/>
          <w:numId w:val="1016"/>
        </w:numPr>
        <w:pStyle w:val="Compact"/>
      </w:pPr>
      <w:r>
        <w:t xml:space="preserve">QA items with no gold-answer string in any exchanged passage (282).</w:t>
      </w:r>
    </w:p>
    <w:p>
      <w:pPr>
        <w:numPr>
          <w:ilvl w:val="0"/>
          <w:numId w:val="1000"/>
        </w:numPr>
        <w:pStyle w:val="Compact"/>
      </w:pPr>
      <w:r>
        <w:t xml:space="preserve">Pooled rates are reported with Wilson 95% intervals. No stratum-specific floors are claimed.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S6.</w:t>
      </w:r>
      <w:r>
        <w:t xml:space="preserve"> </w:t>
      </w:r>
      <w:r>
        <w:t xml:space="preserve">The optional 235B tier, analysed with the H1 rule and reported separately.</w:t>
      </w:r>
    </w:p>
    <w:bookmarkEnd w:id="40"/>
    <w:bookmarkStart w:id="41" w:name="interpretation-limits-fixed-in-advance"/>
    <w:p>
      <w:pPr>
        <w:pStyle w:val="Heading3"/>
      </w:pPr>
      <w:r>
        <w:t xml:space="preserve">6.4 Interpretation limits (fixed in advance)</w:t>
      </w:r>
    </w:p>
    <w:p>
      <w:pPr>
        <w:numPr>
          <w:ilvl w:val="0"/>
          <w:numId w:val="1017"/>
        </w:numPr>
        <w:pStyle w:val="Compact"/>
      </w:pPr>
      <w:r>
        <w:t xml:space="preserve">No extrapolation beyond the tested range. No claim of the form</w:t>
      </w:r>
      <w:r>
        <w:t xml:space="preserve"> </w:t>
      </w:r>
      <w:r>
        <w:t xml:space="preserve">“</w:t>
      </w:r>
      <w:r>
        <w:t xml:space="preserve">the effect vanishes at size X</w:t>
      </w:r>
      <w:r>
        <w:t xml:space="preserve">”</w:t>
      </w:r>
      <w:r>
        <w:t xml:space="preserve"> </w:t>
      </w:r>
      <w:r>
        <w:t xml:space="preserve">is permitted.</w:t>
      </w:r>
    </w:p>
    <w:p>
      <w:pPr>
        <w:numPr>
          <w:ilvl w:val="0"/>
          <w:numId w:val="1017"/>
        </w:numPr>
        <w:pStyle w:val="Compact"/>
      </w:pPr>
      <w:r>
        <w:t xml:space="preserve">Results concern one open-weight family, one retriever (BM25), k = 10, four benchmarks and this prompt.</w:t>
      </w:r>
    </w:p>
    <w:p>
      <w:pPr>
        <w:numPr>
          <w:ilvl w:val="0"/>
          <w:numId w:val="1017"/>
        </w:numPr>
        <w:pStyle w:val="Compact"/>
      </w:pPr>
      <w:r>
        <w:t xml:space="preserve">A decreasing trend with H1 supported is reported as</w:t>
      </w:r>
      <w:r>
        <w:t xml:space="preserve"> </w:t>
      </w:r>
      <w:r>
        <w:t xml:space="preserve">“</w:t>
      </w:r>
      <w:r>
        <w:t xml:space="preserve">declines with scale but persists through 32B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A falsified H1 is reported as</w:t>
      </w:r>
      <w:r>
        <w:t xml:space="preserve"> </w:t>
      </w:r>
      <w:r>
        <w:t xml:space="preserve">“</w:t>
      </w:r>
      <w:r>
        <w:t xml:space="preserve">vanishes at 32B in this family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xecution-and-failure-rules"/>
    <w:p>
      <w:pPr>
        <w:pStyle w:val="Heading2"/>
      </w:pPr>
      <w:r>
        <w:t xml:space="preserve">7. Execution and failure rules</w:t>
      </w:r>
    </w:p>
    <w:p>
      <w:pPr>
        <w:numPr>
          <w:ilvl w:val="0"/>
          <w:numId w:val="1018"/>
        </w:numPr>
        <w:pStyle w:val="Compact"/>
      </w:pPr>
      <w:r>
        <w:t xml:space="preserve">One job = one model × one benchmark. Jobs may run in any order and on any compatible hardware.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Infrastructure failure</w:t>
      </w:r>
      <w:r>
        <w:t xml:space="preserve"> </w:t>
      </w:r>
      <w:r>
        <w:t xml:space="preserve">means a crash, timeout or out-of-memory error, before or during generation.</w:t>
      </w:r>
    </w:p>
    <w:p>
      <w:pPr>
        <w:numPr>
          <w:ilvl w:val="1"/>
          <w:numId w:val="1019"/>
        </w:numPr>
        <w:pStyle w:val="Compact"/>
      </w:pPr>
      <w:r>
        <w:t xml:space="preserve">The job is re-run from the start with an identical configuration, up to three attempts.</w:t>
      </w:r>
    </w:p>
    <w:p>
      <w:pPr>
        <w:numPr>
          <w:ilvl w:val="1"/>
          <w:numId w:val="1019"/>
        </w:numPr>
        <w:pStyle w:val="Compact"/>
      </w:pPr>
      <w:r>
        <w:t xml:space="preserve">The attempt number is recorded.</w:t>
      </w:r>
    </w:p>
    <w:p>
      <w:pPr>
        <w:numPr>
          <w:ilvl w:val="1"/>
          <w:numId w:val="1019"/>
        </w:numPr>
        <w:pStyle w:val="Compact"/>
      </w:pPr>
      <w:r>
        <w:t xml:space="preserve">Outputs of failed attempts are kept but never analysed.</w:t>
      </w:r>
    </w:p>
    <w:p>
      <w:pPr>
        <w:numPr>
          <w:ilvl w:val="1"/>
          <w:numId w:val="1019"/>
        </w:numPr>
        <w:pStyle w:val="Compact"/>
      </w:pPr>
      <w:r>
        <w:t xml:space="preserve">Re-runs are triggered only by the failure itself, never by any outcome.</w:t>
      </w:r>
    </w:p>
    <w:p>
      <w:pPr>
        <w:numPr>
          <w:ilvl w:val="0"/>
          <w:numId w:val="1018"/>
        </w:numPr>
        <w:pStyle w:val="Compact"/>
      </w:pPr>
      <w:r>
        <w:t xml:space="preserve">A model that does not complete all four benchmarks within three attempts each is reported as not executed. No substitute model is used.</w:t>
      </w:r>
    </w:p>
    <w:p>
      <w:pPr>
        <w:numPr>
          <w:ilvl w:val="0"/>
          <w:numId w:val="1018"/>
        </w:numPr>
        <w:pStyle w:val="Compact"/>
      </w:pPr>
      <w:r>
        <w:t xml:space="preserve">Code,</w:t>
      </w:r>
      <w:r>
        <w:t xml:space="preserve"> </w:t>
      </w:r>
      <w:r>
        <w:rPr>
          <w:rStyle w:val="VerbatimChar"/>
        </w:rPr>
        <w:t xml:space="preserve">models.json</w:t>
      </w:r>
      <w:r>
        <w:t xml:space="preserve"> </w:t>
      </w:r>
      <w:r>
        <w:t xml:space="preserve">and the analysis script are frozen by</w:t>
      </w:r>
      <w:r>
        <w:t xml:space="preserve"> </w:t>
      </w:r>
      <w:r>
        <w:rPr>
          <w:rStyle w:val="VerbatimChar"/>
        </w:rPr>
        <w:t xml:space="preserve">LOCK.json</w:t>
      </w:r>
      <w:r>
        <w:t xml:space="preserve">, and the runner refuses to start if any file differs.</w:t>
      </w:r>
    </w:p>
    <w:p>
      <w:pPr>
        <w:numPr>
          <w:ilvl w:val="0"/>
          <w:numId w:val="1018"/>
        </w:numPr>
        <w:pStyle w:val="Compact"/>
      </w:pPr>
      <w:r>
        <w:t xml:space="preserve">A defect found after the lock is handled by a dated, public pre-output amendment if no output has been inspected. Otherwise it is reported as a deviation.</w:t>
      </w:r>
    </w:p>
    <w:p>
      <w:pPr>
        <w:numPr>
          <w:ilvl w:val="0"/>
          <w:numId w:val="1018"/>
        </w:numPr>
        <w:pStyle w:val="Compact"/>
      </w:pPr>
      <w:r>
        <w:t xml:space="preserve">The analysis runs once, after all jobs end, with</w:t>
      </w:r>
      <w:r>
        <w:t xml:space="preserve"> </w:t>
      </w:r>
      <w:r>
        <w:rPr>
          <w:rStyle w:val="VerbatimChar"/>
        </w:rPr>
        <w:t xml:space="preserve">aggregate_scale_curve.py</w:t>
      </w:r>
      <w:r>
        <w:t xml:space="preserve"> </w:t>
      </w:r>
      <w:r>
        <w:t xml:space="preserve">exactly as locked.</w:t>
      </w:r>
    </w:p>
    <w:bookmarkEnd w:id="43"/>
    <w:bookmarkStart w:id="44" w:name="data-and-code"/>
    <w:p>
      <w:pPr>
        <w:pStyle w:val="Heading2"/>
      </w:pPr>
      <w:r>
        <w:t xml:space="preserve">8. Data and code</w:t>
      </w:r>
    </w:p>
    <w:p>
      <w:pPr>
        <w:numPr>
          <w:ilvl w:val="0"/>
          <w:numId w:val="1020"/>
        </w:numPr>
        <w:pStyle w:val="Compact"/>
      </w:pPr>
      <w:r>
        <w:t xml:space="preserve">All per-question records, run metadata, hashes and the analysis output will be deposited publicly with the resulting paper.</w:t>
      </w:r>
    </w:p>
    <w:p>
      <w:pPr>
        <w:numPr>
          <w:ilvl w:val="0"/>
          <w:numId w:val="1020"/>
        </w:numPr>
        <w:pStyle w:val="Compact"/>
      </w:pPr>
      <w:r>
        <w:t xml:space="preserve">Code: https://github.com/adeebnoor/ridi (directory</w:t>
      </w:r>
      <w:r>
        <w:t xml:space="preserve"> </w:t>
      </w:r>
      <w:r>
        <w:rPr>
          <w:rStyle w:val="VerbatimChar"/>
        </w:rPr>
        <w:t xml:space="preserve">experiments/qwen3_scale_curve/</w:t>
      </w:r>
      <w:r>
        <w:t xml:space="preserve">).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2026-10-09T20:41:31Z</dcterms:created>
  <dcterms:modified xsi:type="dcterms:W3CDTF">2026-10-09T20:41:31Z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