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6309360" cy="3549015"/>
            <wp:docPr id="1" name="Picture 1" descr="SocietyOS branded cover illustration showing a futuristic residential community operations interface" title="SocietyOS cover"/>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309360" cy="3549015"/>
                    </a:xfrm>
                    <a:prstGeom prst="rect"/>
                  </pic:spPr>
                </pic:pic>
              </a:graphicData>
            </a:graphic>
          </wp:inline>
        </w:drawing>
      </w:r>
    </w:p>
    <w:p>
      <w:pPr>
        <w:jc w:val="left"/>
      </w:pPr>
      <w:r>
        <w:rPr>
          <w:b/>
          <w:color w:val="14B8A6"/>
          <w:sz w:val="22"/>
        </w:rPr>
        <w:t>02</w:t>
      </w:r>
    </w:p>
    <w:p>
      <w:pPr>
        <w:pStyle w:val="Title"/>
      </w:pPr>
      <w:r>
        <w:t>Market Research</w:t>
      </w:r>
    </w:p>
    <w:p>
      <w:r>
        <w:rPr>
          <w:color w:val="64748B"/>
          <w:sz w:val="26"/>
        </w:rPr>
        <w:t>SocietyOS — Pakistan Housing Community Management Market</w:t>
      </w:r>
    </w:p>
    <w:p>
      <w:pPr>
        <w:spacing w:before="360"/>
      </w:pPr>
      <w:r>
        <w:rPr>
          <w:b/>
          <w:color w:val="14B8A6"/>
          <w:sz w:val="17"/>
        </w:rPr>
        <w:t>EVIDENCE, COMPETITION, OPPORTUNITY AND VALIDATION PLAN</w:t>
      </w:r>
    </w:p>
    <w:p>
      <w:pPr>
        <w:pStyle w:val="SmallNote"/>
      </w:pPr>
      <w:r>
        <w:rPr>
          <w:i/>
        </w:rPr>
        <w:t>Prepared for startup pitching, product planning and engineering execution.</w:t>
      </w:r>
    </w:p>
    <w:p>
      <w:r>
        <w:br w:type="page"/>
      </w:r>
    </w:p>
    <w:tbl>
      <w:tblPr>
        <w:tblW w:type="auto" w:w="0"/>
        <w:jc w:val="center"/>
        <w:tblLayout w:type="fixed"/>
        <w:tblLook w:firstColumn="1" w:firstRow="1" w:lastColumn="0" w:lastRow="0" w:noHBand="0" w:noVBand="1" w:val="04A0"/>
      </w:tblPr>
      <w:tblGrid>
        <w:gridCol w:w="2232"/>
        <w:gridCol w:w="7632"/>
      </w:tblGrid>
      <w:tr>
        <w:tc>
          <w:tcPr>
            <w:tcW w:type="dxa" w:w="2232"/>
            <w:shd w:fill="F1F5F9"/>
            <w:vAlign w:val="center"/>
            <w:tcBorders>
              <w:top w:val="single" w:sz="4" w:color="CBD5E1"/>
              <w:left w:val="single" w:sz="4" w:color="CBD5E1"/>
              <w:bottom w:val="single" w:sz="4" w:color="CBD5E1"/>
              <w:right w:val="single" w:sz="4" w:color="CBD5E1"/>
            </w:tcBorders>
          </w:tcPr>
          <w:p>
            <w:r>
              <w:rPr>
                <w:b/>
                <w:color w:val="1E293B"/>
              </w:rPr>
              <w:t>Research date</w:t>
            </w:r>
          </w:p>
        </w:tc>
        <w:tc>
          <w:tcPr>
            <w:tcW w:type="dxa" w:w="7632"/>
            <w:vAlign w:val="center"/>
            <w:tcBorders>
              <w:top w:val="single" w:sz="4" w:color="CBD5E1"/>
              <w:left w:val="single" w:sz="4" w:color="CBD5E1"/>
              <w:bottom w:val="single" w:sz="4" w:color="CBD5E1"/>
              <w:right w:val="single" w:sz="4" w:color="CBD5E1"/>
            </w:tcBorders>
          </w:tcPr>
          <w:p>
            <w:r>
              <w:t>17 September 2026</w:t>
            </w:r>
          </w:p>
        </w:tc>
      </w:tr>
      <w:tr>
        <w:tc>
          <w:tcPr>
            <w:tcW w:type="dxa" w:w="2232"/>
            <w:shd w:fill="F1F5F9"/>
            <w:vAlign w:val="center"/>
            <w:tcBorders>
              <w:top w:val="single" w:sz="4" w:color="CBD5E1"/>
              <w:left w:val="single" w:sz="4" w:color="CBD5E1"/>
              <w:bottom w:val="single" w:sz="4" w:color="CBD5E1"/>
              <w:right w:val="single" w:sz="4" w:color="CBD5E1"/>
            </w:tcBorders>
          </w:tcPr>
          <w:p>
            <w:r>
              <w:rPr>
                <w:b/>
                <w:color w:val="1E293B"/>
              </w:rPr>
              <w:t>Primary geography</w:t>
            </w:r>
          </w:p>
        </w:tc>
        <w:tc>
          <w:tcPr>
            <w:tcW w:type="dxa" w:w="7632"/>
            <w:vAlign w:val="center"/>
            <w:tcBorders>
              <w:top w:val="single" w:sz="4" w:color="CBD5E1"/>
              <w:left w:val="single" w:sz="4" w:color="CBD5E1"/>
              <w:bottom w:val="single" w:sz="4" w:color="CBD5E1"/>
              <w:right w:val="single" w:sz="4" w:color="CBD5E1"/>
            </w:tcBorders>
          </w:tcPr>
          <w:p>
            <w:r>
              <w:t>Pakistan; with Peshawar/KP as initial pilot lens</w:t>
            </w:r>
          </w:p>
        </w:tc>
      </w:tr>
      <w:tr>
        <w:tc>
          <w:tcPr>
            <w:tcW w:type="dxa" w:w="2232"/>
            <w:shd w:fill="F1F5F9"/>
            <w:vAlign w:val="center"/>
            <w:tcBorders>
              <w:top w:val="single" w:sz="4" w:color="CBD5E1"/>
              <w:left w:val="single" w:sz="4" w:color="CBD5E1"/>
              <w:bottom w:val="single" w:sz="4" w:color="CBD5E1"/>
              <w:right w:val="single" w:sz="4" w:color="CBD5E1"/>
            </w:tcBorders>
          </w:tcPr>
          <w:p>
            <w:r>
              <w:rPr>
                <w:b/>
                <w:color w:val="1E293B"/>
              </w:rPr>
              <w:t>Category</w:t>
            </w:r>
          </w:p>
        </w:tc>
        <w:tc>
          <w:tcPr>
            <w:tcW w:type="dxa" w:w="7632"/>
            <w:vAlign w:val="center"/>
            <w:tcBorders>
              <w:top w:val="single" w:sz="4" w:color="CBD5E1"/>
              <w:left w:val="single" w:sz="4" w:color="CBD5E1"/>
              <w:bottom w:val="single" w:sz="4" w:color="CBD5E1"/>
              <w:right w:val="single" w:sz="4" w:color="CBD5E1"/>
            </w:tcBorders>
          </w:tcPr>
          <w:p>
            <w:r>
              <w:t>Housing society / apartment / gated-community management software</w:t>
            </w:r>
          </w:p>
        </w:tc>
      </w:tr>
      <w:tr>
        <w:tc>
          <w:tcPr>
            <w:tcW w:type="dxa" w:w="2232"/>
            <w:shd w:fill="F1F5F9"/>
            <w:vAlign w:val="center"/>
            <w:tcBorders>
              <w:top w:val="single" w:sz="4" w:color="CBD5E1"/>
              <w:left w:val="single" w:sz="4" w:color="CBD5E1"/>
              <w:bottom w:val="single" w:sz="4" w:color="CBD5E1"/>
              <w:right w:val="single" w:sz="4" w:color="CBD5E1"/>
            </w:tcBorders>
          </w:tcPr>
          <w:p>
            <w:r>
              <w:rPr>
                <w:b/>
                <w:color w:val="1E293B"/>
              </w:rPr>
              <w:t>Method</w:t>
            </w:r>
          </w:p>
        </w:tc>
        <w:tc>
          <w:tcPr>
            <w:tcW w:type="dxa" w:w="7632"/>
            <w:vAlign w:val="center"/>
            <w:tcBorders>
              <w:top w:val="single" w:sz="4" w:color="CBD5E1"/>
              <w:left w:val="single" w:sz="4" w:color="CBD5E1"/>
              <w:bottom w:val="single" w:sz="4" w:color="CBD5E1"/>
              <w:right w:val="single" w:sz="4" w:color="CBD5E1"/>
            </w:tcBorders>
          </w:tcPr>
          <w:p>
            <w:r>
              <w:t>Secondary research + competitor scan + pilot validation framework</w:t>
            </w:r>
          </w:p>
        </w:tc>
      </w:tr>
      <w:tr>
        <w:tc>
          <w:tcPr>
            <w:tcW w:type="dxa" w:w="2232"/>
            <w:shd w:fill="F1F5F9"/>
            <w:vAlign w:val="center"/>
            <w:tcBorders>
              <w:top w:val="single" w:sz="4" w:color="CBD5E1"/>
              <w:left w:val="single" w:sz="4" w:color="CBD5E1"/>
              <w:bottom w:val="single" w:sz="4" w:color="CBD5E1"/>
              <w:right w:val="single" w:sz="4" w:color="CBD5E1"/>
            </w:tcBorders>
          </w:tcPr>
          <w:p>
            <w:r>
              <w:rPr>
                <w:b/>
                <w:color w:val="1E293B"/>
              </w:rPr>
              <w:t>Important note</w:t>
            </w:r>
          </w:p>
        </w:tc>
        <w:tc>
          <w:tcPr>
            <w:tcW w:type="dxa" w:w="7632"/>
            <w:vAlign w:val="center"/>
            <w:tcBorders>
              <w:top w:val="single" w:sz="4" w:color="CBD5E1"/>
              <w:left w:val="single" w:sz="4" w:color="CBD5E1"/>
              <w:bottom w:val="single" w:sz="4" w:color="CBD5E1"/>
              <w:right w:val="single" w:sz="4" w:color="CBD5E1"/>
            </w:tcBorders>
          </w:tcPr>
          <w:p>
            <w:r>
              <w:t>Market-size claims are not fabricated; where public data is limited, the report uses formulas and validation steps instead.</w:t>
            </w:r>
          </w:p>
        </w:tc>
      </w:tr>
    </w:tbl>
    <w:p>
      <w:pPr>
        <w:pStyle w:val="Heading1"/>
      </w:pPr>
      <w:r>
        <w:t>Executive Research Summary</w:t>
      </w:r>
    </w:p>
    <w:p>
      <w:r>
        <w:t>The research supports three high-level conclusions. First, the category is real and commercially active: Pakistani vendors already market society-management products, while global and regional platforms demonstrate demand for visitor management, complaints, billing, communication and operations. Second, Pakistan’s payment infrastructure is increasingly digital, which supports electronic dues workflows. Third, the market should be treated as competitive rather than empty; SocietyOS needs a clear product thesis and pilot evidence.</w:t>
      </w:r>
    </w:p>
    <w:tbl>
      <w:tblPr>
        <w:tblW w:type="auto" w:w="0"/>
        <w:jc w:val="center"/>
        <w:tblLayout w:type="fixed"/>
        <w:tblLook w:firstColumn="1" w:firstRow="1" w:lastColumn="0" w:lastRow="0" w:noHBand="0" w:noVBand="1" w:val="04A0"/>
      </w:tblPr>
      <w:tblGrid>
        <w:gridCol w:w="9936"/>
      </w:tblGrid>
      <w:tr>
        <w:trPr>
          <w:cantSplit/>
        </w:trPr>
        <w:tc>
          <w:tcPr>
            <w:tcW w:type="dxa" w:w="9936"/>
            <w:shd w:fill="ECFEFF"/>
            <w:tcBorders>
              <w:top w:val="single" w:sz="8" w:color="14B8A6"/>
              <w:left w:val="single" w:sz="8" w:color="14B8A6"/>
              <w:bottom w:val="single" w:sz="8" w:color="14B8A6"/>
              <w:right w:val="single" w:sz="8" w:color="14B8A6"/>
            </w:tcBorders>
          </w:tcPr>
          <w:p>
            <w:r>
              <w:rPr>
                <w:b/>
                <w:color w:val="14B8A6"/>
                <w:sz w:val="20"/>
              </w:rPr>
              <w:t>Evidence boundary</w:t>
            </w:r>
          </w:p>
          <w:p>
            <w:pPr>
              <w:spacing w:before="40" w:after="0"/>
            </w:pPr>
            <w:r>
              <w:rPr>
                <w:sz w:val="20"/>
              </w:rPr>
              <w:t>Public websites are useful for feature benchmarking but are not sufficient to prove customer satisfaction, retention, revenue or market share. Those claims require direct interviews, product trials or audited third-party data.</w:t>
            </w:r>
          </w:p>
        </w:tc>
      </w:tr>
    </w:tbl>
    <w:p>
      <w:pPr>
        <w:pStyle w:val="Heading1"/>
      </w:pPr>
      <w:r>
        <w:t>1. Market Problem Signals</w:t>
      </w:r>
    </w:p>
    <w:p>
      <w:r>
        <w:t>The target problem is operational fragmentation rather than a single missing feature. Society managers have to coordinate residents, visitors, security, staff, maintenance, billing and communication. Software products in this category increasingly combine these modules, indicating that buyers can understand the value of an integrated operating layer.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0F172A"/>
            <w:vAlign w:val="center"/>
          </w:tcPr>
          <w:p>
            <w:r>
              <w:rPr>
                <w:b/>
                <w:color w:val="FFFFFF"/>
                <w:sz w:val="17"/>
              </w:rPr>
              <w:t>Signal</w:t>
            </w:r>
          </w:p>
        </w:tc>
        <w:tc>
          <w:tcPr>
            <w:tcW w:type="dxa" w:w="4968"/>
            <w:shd w:fill="0F172A"/>
            <w:vAlign w:val="center"/>
          </w:tcPr>
          <w:p>
            <w:r>
              <w:rPr>
                <w:b/>
                <w:color w:val="FFFFFF"/>
                <w:sz w:val="17"/>
              </w:rPr>
              <w:t>Evidence</w:t>
            </w:r>
          </w:p>
        </w:tc>
        <w:tc>
          <w:tcPr>
            <w:tcW w:type="dxa" w:w="3168"/>
            <w:shd w:fill="0F172A"/>
            <w:vAlign w:val="center"/>
          </w:tcPr>
          <w:p>
            <w:r>
              <w:rPr>
                <w:b/>
                <w:color w:val="FFFFFF"/>
                <w:sz w:val="17"/>
              </w:rPr>
              <w:t>Implication for SocietyOS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r>
              <w:rPr>
                <w:color w:val="1E293B"/>
                <w:sz w:val="17"/>
              </w:rPr>
              <w:t>Digital payment readiness</w:t>
            </w:r>
          </w:p>
        </w:tc>
        <w:tc>
          <w:tcPr>
            <w:tcW w:type="dxa" w:w="4968"/>
            <w:vAlign w:val="top"/>
            <w:shd w:fill="F8FAFC"/>
            <w:tcBorders>
              <w:top w:val="single" w:sz="4" w:color="CBD5E1"/>
              <w:left w:val="single" w:sz="4" w:color="CBD5E1"/>
              <w:bottom w:val="single" w:sz="4" w:color="CBD5E1"/>
              <w:right w:val="single" w:sz="4" w:color="CBD5E1"/>
            </w:tcBorders>
          </w:tcPr>
          <w:p>
            <w:r>
              <w:rPr>
                <w:color w:val="1E293B"/>
                <w:sz w:val="17"/>
              </w:rPr>
              <w:t>SBP reports 6.2B mobile-app transactions in FY2024-25 and 1.9B Raast transactions from launch through Jun-25.</w:t>
            </w:r>
          </w:p>
        </w:tc>
        <w:tc>
          <w:tcPr>
            <w:tcW w:type="dxa" w:w="3168"/>
            <w:vAlign w:val="top"/>
            <w:shd w:fill="F8FAFC"/>
            <w:tcBorders>
              <w:top w:val="single" w:sz="4" w:color="CBD5E1"/>
              <w:left w:val="single" w:sz="4" w:color="CBD5E1"/>
              <w:bottom w:val="single" w:sz="4" w:color="CBD5E1"/>
              <w:right w:val="single" w:sz="4" w:color="CBD5E1"/>
            </w:tcBorders>
          </w:tcPr>
          <w:p>
            <w:r>
              <w:rPr>
                <w:color w:val="1E293B"/>
                <w:sz w:val="17"/>
              </w:rPr>
              <w:t>Residents and operators can increasingly support digital dues and receipts; payment adapters should be designed as a first-class integration boundary.</w:t>
            </w:r>
          </w:p>
        </w:tc>
      </w:tr>
      <w:tr>
        <w:trPr>
          <w:cantSplit/>
        </w:trPr>
        <w:tc>
          <w:tcPr>
            <w:tcW w:type="dxa" w:w="1944"/>
            <w:vAlign w:val="top"/>
            <w:tcBorders>
              <w:top w:val="single" w:sz="4" w:color="CBD5E1"/>
              <w:left w:val="single" w:sz="4" w:color="CBD5E1"/>
              <w:bottom w:val="single" w:sz="4" w:color="CBD5E1"/>
              <w:right w:val="single" w:sz="4" w:color="CBD5E1"/>
            </w:tcBorders>
          </w:tcPr>
          <w:p>
            <w:r>
              <w:rPr>
                <w:color w:val="1E293B"/>
                <w:sz w:val="17"/>
              </w:rPr>
              <w:t>Large population base in KP</w:t>
            </w:r>
          </w:p>
        </w:tc>
        <w:tc>
          <w:tcPr>
            <w:tcW w:type="dxa" w:w="4968"/>
            <w:vAlign w:val="top"/>
            <w:tcBorders>
              <w:top w:val="single" w:sz="4" w:color="CBD5E1"/>
              <w:left w:val="single" w:sz="4" w:color="CBD5E1"/>
              <w:bottom w:val="single" w:sz="4" w:color="CBD5E1"/>
              <w:right w:val="single" w:sz="4" w:color="CBD5E1"/>
            </w:tcBorders>
          </w:tcPr>
          <w:p>
            <w:r>
              <w:rPr>
                <w:color w:val="1E293B"/>
                <w:sz w:val="17"/>
              </w:rPr>
              <w:t>PBS 2023 census tables show Peshawar Division at about 10.0M people, including about 2.64M urban population. This is division-level, not city-only.</w:t>
            </w:r>
          </w:p>
        </w:tc>
        <w:tc>
          <w:tcPr>
            <w:tcW w:type="dxa" w:w="3168"/>
            <w:vAlign w:val="top"/>
            <w:tcBorders>
              <w:top w:val="single" w:sz="4" w:color="CBD5E1"/>
              <w:left w:val="single" w:sz="4" w:color="CBD5E1"/>
              <w:bottom w:val="single" w:sz="4" w:color="CBD5E1"/>
              <w:right w:val="single" w:sz="4" w:color="CBD5E1"/>
            </w:tcBorders>
          </w:tcPr>
          <w:p>
            <w:r>
              <w:rPr>
                <w:color w:val="1E293B"/>
                <w:sz w:val="17"/>
              </w:rPr>
              <w:t>Peshawar/KP offers a meaningful pilot geography without claiming a precise city-level software market size from this table.</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r>
              <w:rPr>
                <w:color w:val="1E293B"/>
                <w:sz w:val="17"/>
              </w:rPr>
              <w:t>Local category activity</w:t>
            </w:r>
          </w:p>
        </w:tc>
        <w:tc>
          <w:tcPr>
            <w:tcW w:type="dxa" w:w="4968"/>
            <w:vAlign w:val="top"/>
            <w:shd w:fill="F8FAFC"/>
            <w:tcBorders>
              <w:top w:val="single" w:sz="4" w:color="CBD5E1"/>
              <w:left w:val="single" w:sz="4" w:color="CBD5E1"/>
              <w:bottom w:val="single" w:sz="4" w:color="CBD5E1"/>
              <w:right w:val="single" w:sz="4" w:color="CBD5E1"/>
            </w:tcBorders>
          </w:tcPr>
          <w:p>
            <w:r>
              <w:rPr>
                <w:color w:val="1E293B"/>
                <w:sz w:val="17"/>
              </w:rPr>
              <w:t>Pakistani products such as Manzhil, Nizam, SocioNest, Hayat Tech and others publicly market society-management capabilities.</w:t>
            </w:r>
          </w:p>
        </w:tc>
        <w:tc>
          <w:tcPr>
            <w:tcW w:type="dxa" w:w="3168"/>
            <w:vAlign w:val="top"/>
            <w:shd w:fill="F8FAFC"/>
            <w:tcBorders>
              <w:top w:val="single" w:sz="4" w:color="CBD5E1"/>
              <w:left w:val="single" w:sz="4" w:color="CBD5E1"/>
              <w:bottom w:val="single" w:sz="4" w:color="CBD5E1"/>
              <w:right w:val="single" w:sz="4" w:color="CBD5E1"/>
            </w:tcBorders>
          </w:tcPr>
          <w:p>
            <w:r>
              <w:rPr>
                <w:color w:val="1E293B"/>
                <w:sz w:val="17"/>
              </w:rPr>
              <w:t>The concept is not speculative; differentiation and execution matter.</w:t>
            </w:r>
          </w:p>
        </w:tc>
      </w:tr>
      <w:tr>
        <w:trPr>
          <w:cantSplit/>
        </w:trPr>
        <w:tc>
          <w:tcPr>
            <w:tcW w:type="dxa" w:w="1944"/>
            <w:vAlign w:val="top"/>
            <w:tcBorders>
              <w:top w:val="single" w:sz="4" w:color="CBD5E1"/>
              <w:left w:val="single" w:sz="4" w:color="CBD5E1"/>
              <w:bottom w:val="single" w:sz="4" w:color="CBD5E1"/>
              <w:right w:val="single" w:sz="4" w:color="CBD5E1"/>
            </w:tcBorders>
          </w:tcPr>
          <w:p>
            <w:r>
              <w:rPr>
                <w:color w:val="1E293B"/>
                <w:sz w:val="17"/>
              </w:rPr>
              <w:t>International category maturity</w:t>
            </w:r>
          </w:p>
        </w:tc>
        <w:tc>
          <w:tcPr>
            <w:tcW w:type="dxa" w:w="4968"/>
            <w:vAlign w:val="top"/>
            <w:tcBorders>
              <w:top w:val="single" w:sz="4" w:color="CBD5E1"/>
              <w:left w:val="single" w:sz="4" w:color="CBD5E1"/>
              <w:bottom w:val="single" w:sz="4" w:color="CBD5E1"/>
              <w:right w:val="single" w:sz="4" w:color="CBD5E1"/>
            </w:tcBorders>
          </w:tcPr>
          <w:p>
            <w:r>
              <w:rPr>
                <w:color w:val="1E293B"/>
                <w:sz w:val="17"/>
              </w:rPr>
              <w:t>Mygate, ADDA and BuildingLink combine resident services, security, complaints, finance and community operations.</w:t>
            </w:r>
          </w:p>
        </w:tc>
        <w:tc>
          <w:tcPr>
            <w:tcW w:type="dxa" w:w="3168"/>
            <w:vAlign w:val="top"/>
            <w:tcBorders>
              <w:top w:val="single" w:sz="4" w:color="CBD5E1"/>
              <w:left w:val="single" w:sz="4" w:color="CBD5E1"/>
              <w:bottom w:val="single" w:sz="4" w:color="CBD5E1"/>
              <w:right w:val="single" w:sz="4" w:color="CBD5E1"/>
            </w:tcBorders>
          </w:tcPr>
          <w:p>
            <w:r>
              <w:rPr>
                <w:color w:val="1E293B"/>
                <w:sz w:val="17"/>
              </w:rPr>
              <w:t>There is established product precedent and a reference set for UX and workflow design.</w:t>
            </w:r>
          </w:p>
        </w:tc>
      </w:tr>
    </w:tbl>
    <w:p>
      <w:pPr>
        <w:pStyle w:val="Heading1"/>
      </w:pPr>
      <w:r>
        <w:t>2. Customer Segments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48"/>
            <w:shd w:fill="0F172A"/>
            <w:vAlign w:val="center"/>
          </w:tcPr>
          <w:p>
            <w:r>
              <w:rPr>
                <w:b/>
                <w:color w:val="FFFFFF"/>
                <w:sz w:val="18"/>
              </w:rPr>
              <w:t>Segment</w:t>
            </w:r>
          </w:p>
        </w:tc>
        <w:tc>
          <w:tcPr>
            <w:tcW w:type="dxa" w:w="1584"/>
            <w:shd w:fill="0F172A"/>
            <w:vAlign w:val="center"/>
          </w:tcPr>
          <w:p>
            <w:r>
              <w:rPr>
                <w:b/>
                <w:color w:val="FFFFFF"/>
                <w:sz w:val="18"/>
              </w:rPr>
              <w:t>Pain intensity</w:t>
            </w:r>
          </w:p>
        </w:tc>
        <w:tc>
          <w:tcPr>
            <w:tcW w:type="dxa" w:w="3456"/>
            <w:shd w:fill="0F172A"/>
            <w:vAlign w:val="center"/>
          </w:tcPr>
          <w:p>
            <w:r>
              <w:rPr>
                <w:b/>
                <w:color w:val="FFFFFF"/>
                <w:sz w:val="18"/>
              </w:rPr>
              <w:t>Buying motion</w:t>
            </w:r>
          </w:p>
        </w:tc>
        <w:tc>
          <w:tcPr>
            <w:tcW w:type="dxa" w:w="2592"/>
            <w:shd w:fill="0F172A"/>
            <w:vAlign w:val="center"/>
          </w:tcPr>
          <w:p>
            <w:r>
              <w:rPr>
                <w:b/>
                <w:color w:val="FFFFFF"/>
                <w:sz w:val="18"/>
              </w:rPr>
              <w:t>SocietyOS fit</w:t>
            </w:r>
          </w:p>
        </w:tc>
      </w:tr>
      <w:tr>
        <w:trPr>
          <w:cantSplit/>
        </w:trPr>
        <w:tc>
          <w:tcPr>
            <w:tcW w:type="dxa" w:w="2448"/>
            <w:vAlign w:val="top"/>
            <w:shd w:fill="F8FAFC"/>
            <w:tcBorders>
              <w:top w:val="single" w:sz="4" w:color="CBD5E1"/>
              <w:left w:val="single" w:sz="4" w:color="CBD5E1"/>
              <w:bottom w:val="single" w:sz="4" w:color="CBD5E1"/>
              <w:right w:val="single" w:sz="4" w:color="CBD5E1"/>
            </w:tcBorders>
          </w:tcPr>
          <w:p>
            <w:r>
              <w:rPr>
                <w:color w:val="1E293B"/>
                <w:sz w:val="18"/>
              </w:rPr>
              <w:t>Gated housing societies</w:t>
            </w:r>
          </w:p>
        </w:tc>
        <w:tc>
          <w:tcPr>
            <w:tcW w:type="dxa" w:w="1584"/>
            <w:vAlign w:val="top"/>
            <w:shd w:fill="F8FAFC"/>
            <w:tcBorders>
              <w:top w:val="single" w:sz="4" w:color="CBD5E1"/>
              <w:left w:val="single" w:sz="4" w:color="CBD5E1"/>
              <w:bottom w:val="single" w:sz="4" w:color="CBD5E1"/>
              <w:right w:val="single" w:sz="4" w:color="CBD5E1"/>
            </w:tcBorders>
          </w:tcPr>
          <w:p>
            <w:r>
              <w:rPr>
                <w:color w:val="1E293B"/>
                <w:sz w:val="18"/>
              </w:rPr>
              <w:t>High</w:t>
            </w:r>
          </w:p>
        </w:tc>
        <w:tc>
          <w:tcPr>
            <w:tcW w:type="dxa" w:w="3456"/>
            <w:vAlign w:val="top"/>
            <w:shd w:fill="F8FAFC"/>
            <w:tcBorders>
              <w:top w:val="single" w:sz="4" w:color="CBD5E1"/>
              <w:left w:val="single" w:sz="4" w:color="CBD5E1"/>
              <w:bottom w:val="single" w:sz="4" w:color="CBD5E1"/>
              <w:right w:val="single" w:sz="4" w:color="CBD5E1"/>
            </w:tcBorders>
          </w:tcPr>
          <w:p>
            <w:r>
              <w:rPr>
                <w:color w:val="1E293B"/>
                <w:sz w:val="18"/>
              </w:rPr>
              <w:t>Management committee / operator decision</w:t>
            </w:r>
          </w:p>
        </w:tc>
        <w:tc>
          <w:tcPr>
            <w:tcW w:type="dxa" w:w="2592"/>
            <w:vAlign w:val="top"/>
            <w:shd w:fill="F8FAFC"/>
            <w:tcBorders>
              <w:top w:val="single" w:sz="4" w:color="CBD5E1"/>
              <w:left w:val="single" w:sz="4" w:color="CBD5E1"/>
              <w:bottom w:val="single" w:sz="4" w:color="CBD5E1"/>
              <w:right w:val="single" w:sz="4" w:color="CBD5E1"/>
            </w:tcBorders>
          </w:tcPr>
          <w:p>
            <w:r>
              <w:rPr>
                <w:color w:val="1E293B"/>
                <w:sz w:val="18"/>
              </w:rPr>
              <w:t>Strong</w:t>
            </w:r>
          </w:p>
        </w:tc>
      </w:tr>
      <w:tr>
        <w:trPr>
          <w:cantSplit/>
        </w:trPr>
        <w:tc>
          <w:tcPr>
            <w:tcW w:type="dxa" w:w="2448"/>
            <w:vAlign w:val="top"/>
            <w:tcBorders>
              <w:top w:val="single" w:sz="4" w:color="CBD5E1"/>
              <w:left w:val="single" w:sz="4" w:color="CBD5E1"/>
              <w:bottom w:val="single" w:sz="4" w:color="CBD5E1"/>
              <w:right w:val="single" w:sz="4" w:color="CBD5E1"/>
            </w:tcBorders>
          </w:tcPr>
          <w:p>
            <w:r>
              <w:rPr>
                <w:color w:val="1E293B"/>
                <w:sz w:val="18"/>
              </w:rPr>
              <w:t>Apartment / condominium communities</w:t>
            </w:r>
          </w:p>
        </w:tc>
        <w:tc>
          <w:tcPr>
            <w:tcW w:type="dxa" w:w="1584"/>
            <w:vAlign w:val="top"/>
            <w:tcBorders>
              <w:top w:val="single" w:sz="4" w:color="CBD5E1"/>
              <w:left w:val="single" w:sz="4" w:color="CBD5E1"/>
              <w:bottom w:val="single" w:sz="4" w:color="CBD5E1"/>
              <w:right w:val="single" w:sz="4" w:color="CBD5E1"/>
            </w:tcBorders>
          </w:tcPr>
          <w:p>
            <w:r>
              <w:rPr>
                <w:color w:val="1E293B"/>
                <w:sz w:val="18"/>
              </w:rPr>
              <w:t>High</w:t>
            </w:r>
          </w:p>
        </w:tc>
        <w:tc>
          <w:tcPr>
            <w:tcW w:type="dxa" w:w="3456"/>
            <w:vAlign w:val="top"/>
            <w:tcBorders>
              <w:top w:val="single" w:sz="4" w:color="CBD5E1"/>
              <w:left w:val="single" w:sz="4" w:color="CBD5E1"/>
              <w:bottom w:val="single" w:sz="4" w:color="CBD5E1"/>
              <w:right w:val="single" w:sz="4" w:color="CBD5E1"/>
            </w:tcBorders>
          </w:tcPr>
          <w:p>
            <w:r>
              <w:rPr>
                <w:color w:val="1E293B"/>
                <w:sz w:val="18"/>
              </w:rPr>
              <w:t>Property manager / association</w:t>
            </w:r>
          </w:p>
        </w:tc>
        <w:tc>
          <w:tcPr>
            <w:tcW w:type="dxa" w:w="2592"/>
            <w:vAlign w:val="top"/>
            <w:tcBorders>
              <w:top w:val="single" w:sz="4" w:color="CBD5E1"/>
              <w:left w:val="single" w:sz="4" w:color="CBD5E1"/>
              <w:bottom w:val="single" w:sz="4" w:color="CBD5E1"/>
              <w:right w:val="single" w:sz="4" w:color="CBD5E1"/>
            </w:tcBorders>
          </w:tcPr>
          <w:p>
            <w:r>
              <w:rPr>
                <w:color w:val="1E293B"/>
                <w:sz w:val="18"/>
              </w:rPr>
              <w:t>Strong</w:t>
            </w:r>
          </w:p>
        </w:tc>
      </w:tr>
      <w:tr>
        <w:trPr>
          <w:cantSplit/>
        </w:trPr>
        <w:tc>
          <w:tcPr>
            <w:tcW w:type="dxa" w:w="2448"/>
            <w:vAlign w:val="top"/>
            <w:shd w:fill="F8FAFC"/>
            <w:tcBorders>
              <w:top w:val="single" w:sz="4" w:color="CBD5E1"/>
              <w:left w:val="single" w:sz="4" w:color="CBD5E1"/>
              <w:bottom w:val="single" w:sz="4" w:color="CBD5E1"/>
              <w:right w:val="single" w:sz="4" w:color="CBD5E1"/>
            </w:tcBorders>
          </w:tcPr>
          <w:p>
            <w:r>
              <w:rPr>
                <w:color w:val="1E293B"/>
                <w:sz w:val="18"/>
              </w:rPr>
              <w:t>Private residential complexes</w:t>
            </w:r>
          </w:p>
        </w:tc>
        <w:tc>
          <w:tcPr>
            <w:tcW w:type="dxa" w:w="1584"/>
            <w:vAlign w:val="top"/>
            <w:shd w:fill="F8FAFC"/>
            <w:tcBorders>
              <w:top w:val="single" w:sz="4" w:color="CBD5E1"/>
              <w:left w:val="single" w:sz="4" w:color="CBD5E1"/>
              <w:bottom w:val="single" w:sz="4" w:color="CBD5E1"/>
              <w:right w:val="single" w:sz="4" w:color="CBD5E1"/>
            </w:tcBorders>
          </w:tcPr>
          <w:p>
            <w:r>
              <w:rPr>
                <w:color w:val="1E293B"/>
                <w:sz w:val="18"/>
              </w:rPr>
              <w:t>Medium-High</w:t>
            </w:r>
          </w:p>
        </w:tc>
        <w:tc>
          <w:tcPr>
            <w:tcW w:type="dxa" w:w="3456"/>
            <w:vAlign w:val="top"/>
            <w:shd w:fill="F8FAFC"/>
            <w:tcBorders>
              <w:top w:val="single" w:sz="4" w:color="CBD5E1"/>
              <w:left w:val="single" w:sz="4" w:color="CBD5E1"/>
              <w:bottom w:val="single" w:sz="4" w:color="CBD5E1"/>
              <w:right w:val="single" w:sz="4" w:color="CBD5E1"/>
            </w:tcBorders>
          </w:tcPr>
          <w:p>
            <w:r>
              <w:rPr>
                <w:color w:val="1E293B"/>
                <w:sz w:val="18"/>
              </w:rPr>
              <w:t>Developer or management operator</w:t>
            </w:r>
          </w:p>
        </w:tc>
        <w:tc>
          <w:tcPr>
            <w:tcW w:type="dxa" w:w="2592"/>
            <w:vAlign w:val="top"/>
            <w:shd w:fill="F8FAFC"/>
            <w:tcBorders>
              <w:top w:val="single" w:sz="4" w:color="CBD5E1"/>
              <w:left w:val="single" w:sz="4" w:color="CBD5E1"/>
              <w:bottom w:val="single" w:sz="4" w:color="CBD5E1"/>
              <w:right w:val="single" w:sz="4" w:color="CBD5E1"/>
            </w:tcBorders>
          </w:tcPr>
          <w:p>
            <w:r>
              <w:rPr>
                <w:color w:val="1E293B"/>
                <w:sz w:val="18"/>
              </w:rPr>
              <w:t>Strong</w:t>
            </w:r>
          </w:p>
        </w:tc>
      </w:tr>
      <w:tr>
        <w:trPr>
          <w:cantSplit/>
        </w:trPr>
        <w:tc>
          <w:tcPr>
            <w:tcW w:type="dxa" w:w="2448"/>
            <w:vAlign w:val="top"/>
            <w:tcBorders>
              <w:top w:val="single" w:sz="4" w:color="CBD5E1"/>
              <w:left w:val="single" w:sz="4" w:color="CBD5E1"/>
              <w:bottom w:val="single" w:sz="4" w:color="CBD5E1"/>
              <w:right w:val="single" w:sz="4" w:color="CBD5E1"/>
            </w:tcBorders>
          </w:tcPr>
          <w:p>
            <w:r>
              <w:rPr>
                <w:color w:val="1E293B"/>
                <w:sz w:val="18"/>
              </w:rPr>
              <w:t>Small apartment buildings</w:t>
            </w:r>
          </w:p>
        </w:tc>
        <w:tc>
          <w:tcPr>
            <w:tcW w:type="dxa" w:w="1584"/>
            <w:vAlign w:val="top"/>
            <w:tcBorders>
              <w:top w:val="single" w:sz="4" w:color="CBD5E1"/>
              <w:left w:val="single" w:sz="4" w:color="CBD5E1"/>
              <w:bottom w:val="single" w:sz="4" w:color="CBD5E1"/>
              <w:right w:val="single" w:sz="4" w:color="CBD5E1"/>
            </w:tcBorders>
          </w:tcPr>
          <w:p>
            <w:r>
              <w:rPr>
                <w:color w:val="1E293B"/>
                <w:sz w:val="18"/>
              </w:rPr>
              <w:t>Medium</w:t>
            </w:r>
          </w:p>
        </w:tc>
        <w:tc>
          <w:tcPr>
            <w:tcW w:type="dxa" w:w="3456"/>
            <w:vAlign w:val="top"/>
            <w:tcBorders>
              <w:top w:val="single" w:sz="4" w:color="CBD5E1"/>
              <w:left w:val="single" w:sz="4" w:color="CBD5E1"/>
              <w:bottom w:val="single" w:sz="4" w:color="CBD5E1"/>
              <w:right w:val="single" w:sz="4" w:color="CBD5E1"/>
            </w:tcBorders>
          </w:tcPr>
          <w:p>
            <w:r>
              <w:rPr>
                <w:color w:val="1E293B"/>
                <w:sz w:val="18"/>
              </w:rPr>
              <w:t>Owner/manager-led; price sensitive</w:t>
            </w:r>
          </w:p>
        </w:tc>
        <w:tc>
          <w:tcPr>
            <w:tcW w:type="dxa" w:w="2592"/>
            <w:vAlign w:val="top"/>
            <w:tcBorders>
              <w:top w:val="single" w:sz="4" w:color="CBD5E1"/>
              <w:left w:val="single" w:sz="4" w:color="CBD5E1"/>
              <w:bottom w:val="single" w:sz="4" w:color="CBD5E1"/>
              <w:right w:val="single" w:sz="4" w:color="CBD5E1"/>
            </w:tcBorders>
          </w:tcPr>
          <w:p>
            <w:r>
              <w:rPr>
                <w:color w:val="1E293B"/>
                <w:sz w:val="18"/>
              </w:rPr>
              <w:t>Possible later tier</w:t>
            </w:r>
          </w:p>
        </w:tc>
      </w:tr>
      <w:tr>
        <w:trPr>
          <w:cantSplit/>
        </w:trPr>
        <w:tc>
          <w:tcPr>
            <w:tcW w:type="dxa" w:w="2448"/>
            <w:vAlign w:val="top"/>
            <w:shd w:fill="F8FAFC"/>
            <w:tcBorders>
              <w:top w:val="single" w:sz="4" w:color="CBD5E1"/>
              <w:left w:val="single" w:sz="4" w:color="CBD5E1"/>
              <w:bottom w:val="single" w:sz="4" w:color="CBD5E1"/>
              <w:right w:val="single" w:sz="4" w:color="CBD5E1"/>
            </w:tcBorders>
          </w:tcPr>
          <w:p>
            <w:r>
              <w:rPr>
                <w:color w:val="1E293B"/>
                <w:sz w:val="18"/>
              </w:rPr>
              <w:t>Large multi-property operators</w:t>
            </w:r>
          </w:p>
        </w:tc>
        <w:tc>
          <w:tcPr>
            <w:tcW w:type="dxa" w:w="1584"/>
            <w:vAlign w:val="top"/>
            <w:shd w:fill="F8FAFC"/>
            <w:tcBorders>
              <w:top w:val="single" w:sz="4" w:color="CBD5E1"/>
              <w:left w:val="single" w:sz="4" w:color="CBD5E1"/>
              <w:bottom w:val="single" w:sz="4" w:color="CBD5E1"/>
              <w:right w:val="single" w:sz="4" w:color="CBD5E1"/>
            </w:tcBorders>
          </w:tcPr>
          <w:p>
            <w:r>
              <w:rPr>
                <w:color w:val="1E293B"/>
                <w:sz w:val="18"/>
              </w:rPr>
              <w:t>High</w:t>
            </w:r>
          </w:p>
        </w:tc>
        <w:tc>
          <w:tcPr>
            <w:tcW w:type="dxa" w:w="3456"/>
            <w:vAlign w:val="top"/>
            <w:shd w:fill="F8FAFC"/>
            <w:tcBorders>
              <w:top w:val="single" w:sz="4" w:color="CBD5E1"/>
              <w:left w:val="single" w:sz="4" w:color="CBD5E1"/>
              <w:bottom w:val="single" w:sz="4" w:color="CBD5E1"/>
              <w:right w:val="single" w:sz="4" w:color="CBD5E1"/>
            </w:tcBorders>
          </w:tcPr>
          <w:p>
            <w:r>
              <w:rPr>
                <w:color w:val="1E293B"/>
                <w:sz w:val="18"/>
              </w:rPr>
              <w:t>Enterprise / portfolio procurement</w:t>
            </w:r>
          </w:p>
        </w:tc>
        <w:tc>
          <w:tcPr>
            <w:tcW w:type="dxa" w:w="2592"/>
            <w:vAlign w:val="top"/>
            <w:shd w:fill="F8FAFC"/>
            <w:tcBorders>
              <w:top w:val="single" w:sz="4" w:color="CBD5E1"/>
              <w:left w:val="single" w:sz="4" w:color="CBD5E1"/>
              <w:bottom w:val="single" w:sz="4" w:color="CBD5E1"/>
              <w:right w:val="single" w:sz="4" w:color="CBD5E1"/>
            </w:tcBorders>
          </w:tcPr>
          <w:p>
            <w:r>
              <w:rPr>
                <w:color w:val="1E293B"/>
                <w:sz w:val="18"/>
              </w:rPr>
              <w:t>Expansion segment</w:t>
            </w:r>
          </w:p>
        </w:tc>
      </w:tr>
    </w:tbl>
    <w:p>
      <w:pPr>
        <w:pStyle w:val="Heading1"/>
      </w:pPr>
      <w:r>
        <w:t>3. Competitor &amp; Category Scan</w:t>
      </w:r>
    </w:p>
    <w:p>
      <w:r>
        <w:t>Competitors below are presented as documented category examples, not as a ranking. Feature descriptions are based on public product pages available during this research pass.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0F172A"/>
            <w:vAlign w:val="center"/>
          </w:tcPr>
          <w:p>
            <w:r>
              <w:rPr>
                <w:b/>
                <w:color w:val="FFFFFF"/>
                <w:sz w:val="15"/>
              </w:rPr>
              <w:t>Player / category</w:t>
            </w:r>
          </w:p>
        </w:tc>
        <w:tc>
          <w:tcPr>
            <w:tcW w:type="dxa" w:w="3600"/>
            <w:shd w:fill="0F172A"/>
            <w:vAlign w:val="center"/>
          </w:tcPr>
          <w:p>
            <w:r>
              <w:rPr>
                <w:b/>
                <w:color w:val="FFFFFF"/>
                <w:sz w:val="15"/>
              </w:rPr>
              <w:t>Publicly described capabilities</w:t>
            </w:r>
          </w:p>
        </w:tc>
        <w:tc>
          <w:tcPr>
            <w:tcW w:type="dxa" w:w="2232"/>
            <w:shd w:fill="0F172A"/>
            <w:vAlign w:val="center"/>
          </w:tcPr>
          <w:p>
            <w:r>
              <w:rPr>
                <w:b/>
                <w:color w:val="FFFFFF"/>
                <w:sz w:val="15"/>
              </w:rPr>
              <w:t>Observed positioning signal</w:t>
            </w:r>
          </w:p>
        </w:tc>
        <w:tc>
          <w:tcPr>
            <w:tcW w:type="dxa" w:w="2376"/>
            <w:shd w:fill="0F172A"/>
            <w:vAlign w:val="center"/>
          </w:tcPr>
          <w:p>
            <w:r>
              <w:rPr>
                <w:b/>
                <w:color w:val="FFFFFF"/>
                <w:sz w:val="15"/>
              </w:rPr>
              <w:t>What SocietyOS should learn</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r>
              <w:rPr>
                <w:color w:val="1E293B"/>
                <w:sz w:val="15"/>
              </w:rPr>
              <w:t>Manzhil (Pakistan)</w:t>
            </w:r>
          </w:p>
        </w:tc>
        <w:tc>
          <w:tcPr>
            <w:tcW w:type="dxa" w:w="3600"/>
            <w:vAlign w:val="top"/>
            <w:shd w:fill="F8FAFC"/>
            <w:tcBorders>
              <w:top w:val="single" w:sz="4" w:color="CBD5E1"/>
              <w:left w:val="single" w:sz="4" w:color="CBD5E1"/>
              <w:bottom w:val="single" w:sz="4" w:color="CBD5E1"/>
              <w:right w:val="single" w:sz="4" w:color="CBD5E1"/>
            </w:tcBorders>
          </w:tcPr>
          <w:p>
            <w:r>
              <w:rPr>
                <w:color w:val="1E293B"/>
                <w:sz w:val="15"/>
              </w:rPr>
              <w:t>Maintenance collection, complaints, facility bookings, announcements, WhatsApp; English/Urdu positioning.</w:t>
            </w:r>
          </w:p>
        </w:tc>
        <w:tc>
          <w:tcPr>
            <w:tcW w:type="dxa" w:w="2232"/>
            <w:vAlign w:val="top"/>
            <w:shd w:fill="F8FAFC"/>
            <w:tcBorders>
              <w:top w:val="single" w:sz="4" w:color="CBD5E1"/>
              <w:left w:val="single" w:sz="4" w:color="CBD5E1"/>
              <w:bottom w:val="single" w:sz="4" w:color="CBD5E1"/>
              <w:right w:val="single" w:sz="4" w:color="CBD5E1"/>
            </w:tcBorders>
          </w:tcPr>
          <w:p>
            <w:r>
              <w:rPr>
                <w:color w:val="1E293B"/>
                <w:sz w:val="15"/>
              </w:rPr>
              <w:t>WhatsApp-first and Pakistan-specific workflows.</w:t>
            </w:r>
          </w:p>
        </w:tc>
        <w:tc>
          <w:tcPr>
            <w:tcW w:type="dxa" w:w="2376"/>
            <w:vAlign w:val="top"/>
            <w:shd w:fill="F8FAFC"/>
            <w:tcBorders>
              <w:top w:val="single" w:sz="4" w:color="CBD5E1"/>
              <w:left w:val="single" w:sz="4" w:color="CBD5E1"/>
              <w:bottom w:val="single" w:sz="4" w:color="CBD5E1"/>
              <w:right w:val="single" w:sz="4" w:color="CBD5E1"/>
            </w:tcBorders>
          </w:tcPr>
          <w:p>
            <w:r>
              <w:rPr>
                <w:color w:val="1E293B"/>
                <w:sz w:val="15"/>
              </w:rPr>
              <w:t>Adoption friction is a major product concern; resident communication should not depend on a new app alone.</w:t>
            </w:r>
          </w:p>
        </w:tc>
      </w:tr>
      <w:tr>
        <w:trPr>
          <w:cantSplit/>
        </w:trPr>
        <w:tc>
          <w:tcPr>
            <w:tcW w:type="dxa" w:w="1800"/>
            <w:vAlign w:val="top"/>
            <w:tcBorders>
              <w:top w:val="single" w:sz="4" w:color="CBD5E1"/>
              <w:left w:val="single" w:sz="4" w:color="CBD5E1"/>
              <w:bottom w:val="single" w:sz="4" w:color="CBD5E1"/>
              <w:right w:val="single" w:sz="4" w:color="CBD5E1"/>
            </w:tcBorders>
          </w:tcPr>
          <w:p>
            <w:r>
              <w:rPr>
                <w:color w:val="1E293B"/>
                <w:sz w:val="15"/>
              </w:rPr>
              <w:t>Nizam (Pakistan)</w:t>
            </w:r>
          </w:p>
        </w:tc>
        <w:tc>
          <w:tcPr>
            <w:tcW w:type="dxa" w:w="3600"/>
            <w:vAlign w:val="top"/>
            <w:tcBorders>
              <w:top w:val="single" w:sz="4" w:color="CBD5E1"/>
              <w:left w:val="single" w:sz="4" w:color="CBD5E1"/>
              <w:bottom w:val="single" w:sz="4" w:color="CBD5E1"/>
              <w:right w:val="single" w:sz="4" w:color="CBD5E1"/>
            </w:tcBorders>
          </w:tcPr>
          <w:p>
            <w:r>
              <w:rPr>
                <w:color w:val="1E293B"/>
                <w:sz w:val="15"/>
              </w:rPr>
              <w:t>PKR billing, visitor management, staff tracking, emergency alerts, accounting/reporting, English/Urdu.</w:t>
            </w:r>
          </w:p>
        </w:tc>
        <w:tc>
          <w:tcPr>
            <w:tcW w:type="dxa" w:w="2232"/>
            <w:vAlign w:val="top"/>
            <w:tcBorders>
              <w:top w:val="single" w:sz="4" w:color="CBD5E1"/>
              <w:left w:val="single" w:sz="4" w:color="CBD5E1"/>
              <w:bottom w:val="single" w:sz="4" w:color="CBD5E1"/>
              <w:right w:val="single" w:sz="4" w:color="CBD5E1"/>
            </w:tcBorders>
          </w:tcPr>
          <w:p>
            <w:r>
              <w:rPr>
                <w:color w:val="1E293B"/>
                <w:sz w:val="15"/>
              </w:rPr>
              <w:t>Finance and society ERP depth.</w:t>
            </w:r>
          </w:p>
        </w:tc>
        <w:tc>
          <w:tcPr>
            <w:tcW w:type="dxa" w:w="2376"/>
            <w:vAlign w:val="top"/>
            <w:tcBorders>
              <w:top w:val="single" w:sz="4" w:color="CBD5E1"/>
              <w:left w:val="single" w:sz="4" w:color="CBD5E1"/>
              <w:bottom w:val="single" w:sz="4" w:color="CBD5E1"/>
              <w:right w:val="single" w:sz="4" w:color="CBD5E1"/>
            </w:tcBorders>
          </w:tcPr>
          <w:p>
            <w:r>
              <w:rPr>
                <w:color w:val="1E293B"/>
                <w:sz w:val="15"/>
              </w:rPr>
              <w:t>Financial records and terminology need to feel locally credible.</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r>
              <w:rPr>
                <w:color w:val="1E293B"/>
                <w:sz w:val="15"/>
              </w:rPr>
              <w:t>SocioNest (Pakistan)</w:t>
            </w:r>
          </w:p>
        </w:tc>
        <w:tc>
          <w:tcPr>
            <w:tcW w:type="dxa" w:w="3600"/>
            <w:vAlign w:val="top"/>
            <w:shd w:fill="F8FAFC"/>
            <w:tcBorders>
              <w:top w:val="single" w:sz="4" w:color="CBD5E1"/>
              <w:left w:val="single" w:sz="4" w:color="CBD5E1"/>
              <w:bottom w:val="single" w:sz="4" w:color="CBD5E1"/>
              <w:right w:val="single" w:sz="4" w:color="CBD5E1"/>
            </w:tcBorders>
          </w:tcPr>
          <w:p>
            <w:r>
              <w:rPr>
                <w:color w:val="1E293B"/>
                <w:sz w:val="15"/>
              </w:rPr>
              <w:t>Billing, visitors, complaints, residents and notices.</w:t>
            </w:r>
          </w:p>
        </w:tc>
        <w:tc>
          <w:tcPr>
            <w:tcW w:type="dxa" w:w="2232"/>
            <w:vAlign w:val="top"/>
            <w:shd w:fill="F8FAFC"/>
            <w:tcBorders>
              <w:top w:val="single" w:sz="4" w:color="CBD5E1"/>
              <w:left w:val="single" w:sz="4" w:color="CBD5E1"/>
              <w:bottom w:val="single" w:sz="4" w:color="CBD5E1"/>
              <w:right w:val="single" w:sz="4" w:color="CBD5E1"/>
            </w:tcBorders>
          </w:tcPr>
          <w:p>
            <w:r>
              <w:rPr>
                <w:color w:val="1E293B"/>
                <w:sz w:val="15"/>
              </w:rPr>
              <w:t>All-in-one society platform.</w:t>
            </w:r>
          </w:p>
        </w:tc>
        <w:tc>
          <w:tcPr>
            <w:tcW w:type="dxa" w:w="2376"/>
            <w:vAlign w:val="top"/>
            <w:shd w:fill="F8FAFC"/>
            <w:tcBorders>
              <w:top w:val="single" w:sz="4" w:color="CBD5E1"/>
              <w:left w:val="single" w:sz="4" w:color="CBD5E1"/>
              <w:bottom w:val="single" w:sz="4" w:color="CBD5E1"/>
              <w:right w:val="single" w:sz="4" w:color="CBD5E1"/>
            </w:tcBorders>
          </w:tcPr>
          <w:p>
            <w:r>
              <w:rPr>
                <w:color w:val="1E293B"/>
                <w:sz w:val="15"/>
              </w:rPr>
              <w:t>Core workflows are table stakes; quality and trust become differentiators.</w:t>
            </w:r>
          </w:p>
        </w:tc>
      </w:tr>
      <w:tr>
        <w:trPr>
          <w:cantSplit/>
        </w:trPr>
        <w:tc>
          <w:tcPr>
            <w:tcW w:type="dxa" w:w="1800"/>
            <w:vAlign w:val="top"/>
            <w:tcBorders>
              <w:top w:val="single" w:sz="4" w:color="CBD5E1"/>
              <w:left w:val="single" w:sz="4" w:color="CBD5E1"/>
              <w:bottom w:val="single" w:sz="4" w:color="CBD5E1"/>
              <w:right w:val="single" w:sz="4" w:color="CBD5E1"/>
            </w:tcBorders>
          </w:tcPr>
          <w:p>
            <w:r>
              <w:rPr>
                <w:color w:val="1E293B"/>
                <w:sz w:val="15"/>
              </w:rPr>
              <w:t>Hayat Tech (Pakistan)</w:t>
            </w:r>
          </w:p>
        </w:tc>
        <w:tc>
          <w:tcPr>
            <w:tcW w:type="dxa" w:w="3600"/>
            <w:vAlign w:val="top"/>
            <w:tcBorders>
              <w:top w:val="single" w:sz="4" w:color="CBD5E1"/>
              <w:left w:val="single" w:sz="4" w:color="CBD5E1"/>
              <w:bottom w:val="single" w:sz="4" w:color="CBD5E1"/>
              <w:right w:val="single" w:sz="4" w:color="CBD5E1"/>
            </w:tcBorders>
          </w:tcPr>
          <w:p>
            <w:r>
              <w:rPr>
                <w:color w:val="1E293B"/>
                <w:sz w:val="15"/>
              </w:rPr>
              <w:t>Resident/unit management, maintenance, billing, amenity booking, communication, vendors, security, documents, accounting.</w:t>
            </w:r>
          </w:p>
        </w:tc>
        <w:tc>
          <w:tcPr>
            <w:tcW w:type="dxa" w:w="2232"/>
            <w:vAlign w:val="top"/>
            <w:tcBorders>
              <w:top w:val="single" w:sz="4" w:color="CBD5E1"/>
              <w:left w:val="single" w:sz="4" w:color="CBD5E1"/>
              <w:bottom w:val="single" w:sz="4" w:color="CBD5E1"/>
              <w:right w:val="single" w:sz="4" w:color="CBD5E1"/>
            </w:tcBorders>
          </w:tcPr>
          <w:p>
            <w:r>
              <w:rPr>
                <w:color w:val="1E293B"/>
                <w:sz w:val="15"/>
              </w:rPr>
              <w:t>Enterprise-style ERP breadth.</w:t>
            </w:r>
          </w:p>
        </w:tc>
        <w:tc>
          <w:tcPr>
            <w:tcW w:type="dxa" w:w="2376"/>
            <w:vAlign w:val="top"/>
            <w:tcBorders>
              <w:top w:val="single" w:sz="4" w:color="CBD5E1"/>
              <w:left w:val="single" w:sz="4" w:color="CBD5E1"/>
              <w:bottom w:val="single" w:sz="4" w:color="CBD5E1"/>
              <w:right w:val="single" w:sz="4" w:color="CBD5E1"/>
            </w:tcBorders>
          </w:tcPr>
          <w:p>
            <w:r>
              <w:rPr>
                <w:color w:val="1E293B"/>
                <w:sz w:val="15"/>
              </w:rPr>
              <w:t>Avoid competing on feature count alone; focus on workflow quality and maintainability.</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r>
              <w:rPr>
                <w:color w:val="1E293B"/>
                <w:sz w:val="15"/>
              </w:rPr>
              <w:t>Mygate (India/global benchmark)</w:t>
            </w:r>
          </w:p>
        </w:tc>
        <w:tc>
          <w:tcPr>
            <w:tcW w:type="dxa" w:w="3600"/>
            <w:vAlign w:val="top"/>
            <w:shd w:fill="F8FAFC"/>
            <w:tcBorders>
              <w:top w:val="single" w:sz="4" w:color="CBD5E1"/>
              <w:left w:val="single" w:sz="4" w:color="CBD5E1"/>
              <w:bottom w:val="single" w:sz="4" w:color="CBD5E1"/>
              <w:right w:val="single" w:sz="4" w:color="CBD5E1"/>
            </w:tcBorders>
          </w:tcPr>
          <w:p>
            <w:r>
              <w:rPr>
                <w:color w:val="1E293B"/>
                <w:sz w:val="15"/>
              </w:rPr>
              <w:t>Visitor/security, complaints, dues, services, broad community platform.</w:t>
            </w:r>
          </w:p>
        </w:tc>
        <w:tc>
          <w:tcPr>
            <w:tcW w:type="dxa" w:w="2232"/>
            <w:vAlign w:val="top"/>
            <w:shd w:fill="F8FAFC"/>
            <w:tcBorders>
              <w:top w:val="single" w:sz="4" w:color="CBD5E1"/>
              <w:left w:val="single" w:sz="4" w:color="CBD5E1"/>
              <w:bottom w:val="single" w:sz="4" w:color="CBD5E1"/>
              <w:right w:val="single" w:sz="4" w:color="CBD5E1"/>
            </w:tcBorders>
          </w:tcPr>
          <w:p>
            <w:r>
              <w:rPr>
                <w:color w:val="1E293B"/>
                <w:sz w:val="15"/>
              </w:rPr>
              <w:t>Large-scale community ecosystem.</w:t>
            </w:r>
          </w:p>
        </w:tc>
        <w:tc>
          <w:tcPr>
            <w:tcW w:type="dxa" w:w="2376"/>
            <w:vAlign w:val="top"/>
            <w:shd w:fill="F8FAFC"/>
            <w:tcBorders>
              <w:top w:val="single" w:sz="4" w:color="CBD5E1"/>
              <w:left w:val="single" w:sz="4" w:color="CBD5E1"/>
              <w:bottom w:val="single" w:sz="4" w:color="CBD5E1"/>
              <w:right w:val="single" w:sz="4" w:color="CBD5E1"/>
            </w:tcBorders>
          </w:tcPr>
          <w:p>
            <w:r>
              <w:rPr>
                <w:color w:val="1E293B"/>
                <w:sz w:val="15"/>
              </w:rPr>
              <w:t>Use as benchmark for end-to-end community workflows, not as a direct local market-size proxy.</w:t>
            </w:r>
          </w:p>
        </w:tc>
      </w:tr>
      <w:tr>
        <w:trPr>
          <w:cantSplit/>
        </w:trPr>
        <w:tc>
          <w:tcPr>
            <w:tcW w:type="dxa" w:w="1800"/>
            <w:vAlign w:val="top"/>
            <w:tcBorders>
              <w:top w:val="single" w:sz="4" w:color="CBD5E1"/>
              <w:left w:val="single" w:sz="4" w:color="CBD5E1"/>
              <w:bottom w:val="single" w:sz="4" w:color="CBD5E1"/>
              <w:right w:val="single" w:sz="4" w:color="CBD5E1"/>
            </w:tcBorders>
          </w:tcPr>
          <w:p>
            <w:r>
              <w:rPr>
                <w:color w:val="1E293B"/>
                <w:sz w:val="15"/>
              </w:rPr>
              <w:t>ADDA (India/global benchmark)</w:t>
            </w:r>
          </w:p>
        </w:tc>
        <w:tc>
          <w:tcPr>
            <w:tcW w:type="dxa" w:w="3600"/>
            <w:vAlign w:val="top"/>
            <w:tcBorders>
              <w:top w:val="single" w:sz="4" w:color="CBD5E1"/>
              <w:left w:val="single" w:sz="4" w:color="CBD5E1"/>
              <w:bottom w:val="single" w:sz="4" w:color="CBD5E1"/>
              <w:right w:val="single" w:sz="4" w:color="CBD5E1"/>
            </w:tcBorders>
          </w:tcPr>
          <w:p>
            <w:r>
              <w:rPr>
                <w:color w:val="1E293B"/>
                <w:sz w:val="15"/>
              </w:rPr>
              <w:t>Accounting, maintenance, resident management, security/visitor, communication, facility management.</w:t>
            </w:r>
          </w:p>
        </w:tc>
        <w:tc>
          <w:tcPr>
            <w:tcW w:type="dxa" w:w="2232"/>
            <w:vAlign w:val="top"/>
            <w:tcBorders>
              <w:top w:val="single" w:sz="4" w:color="CBD5E1"/>
              <w:left w:val="single" w:sz="4" w:color="CBD5E1"/>
              <w:bottom w:val="single" w:sz="4" w:color="CBD5E1"/>
              <w:right w:val="single" w:sz="4" w:color="CBD5E1"/>
            </w:tcBorders>
          </w:tcPr>
          <w:p>
            <w:r>
              <w:rPr>
                <w:color w:val="1E293B"/>
                <w:sz w:val="15"/>
              </w:rPr>
              <w:t>Integrated apartment ERP.</w:t>
            </w:r>
          </w:p>
        </w:tc>
        <w:tc>
          <w:tcPr>
            <w:tcW w:type="dxa" w:w="2376"/>
            <w:vAlign w:val="top"/>
            <w:tcBorders>
              <w:top w:val="single" w:sz="4" w:color="CBD5E1"/>
              <w:left w:val="single" w:sz="4" w:color="CBD5E1"/>
              <w:bottom w:val="single" w:sz="4" w:color="CBD5E1"/>
              <w:right w:val="single" w:sz="4" w:color="CBD5E1"/>
            </w:tcBorders>
          </w:tcPr>
          <w:p>
            <w:r>
              <w:rPr>
                <w:color w:val="1E293B"/>
                <w:sz w:val="15"/>
              </w:rPr>
              <w:t>Operational modules should share the same resident/unit model.</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r>
              <w:rPr>
                <w:color w:val="1E293B"/>
                <w:sz w:val="15"/>
              </w:rPr>
              <w:t>BuildingLink (global)</w:t>
            </w:r>
          </w:p>
        </w:tc>
        <w:tc>
          <w:tcPr>
            <w:tcW w:type="dxa" w:w="3600"/>
            <w:vAlign w:val="top"/>
            <w:shd w:fill="F8FAFC"/>
            <w:tcBorders>
              <w:top w:val="single" w:sz="4" w:color="CBD5E1"/>
              <w:left w:val="single" w:sz="4" w:color="CBD5E1"/>
              <w:bottom w:val="single" w:sz="4" w:color="CBD5E1"/>
              <w:right w:val="single" w:sz="4" w:color="CBD5E1"/>
            </w:tcBorders>
          </w:tcPr>
          <w:p>
            <w:r>
              <w:rPr>
                <w:color w:val="1E293B"/>
                <w:sz w:val="15"/>
              </w:rPr>
              <w:t>Resident dashboard, announcements, documents, deliveries and property services.</w:t>
            </w:r>
          </w:p>
        </w:tc>
        <w:tc>
          <w:tcPr>
            <w:tcW w:type="dxa" w:w="2232"/>
            <w:vAlign w:val="top"/>
            <w:shd w:fill="F8FAFC"/>
            <w:tcBorders>
              <w:top w:val="single" w:sz="4" w:color="CBD5E1"/>
              <w:left w:val="single" w:sz="4" w:color="CBD5E1"/>
              <w:bottom w:val="single" w:sz="4" w:color="CBD5E1"/>
              <w:right w:val="single" w:sz="4" w:color="CBD5E1"/>
            </w:tcBorders>
          </w:tcPr>
          <w:p>
            <w:r>
              <w:rPr>
                <w:color w:val="1E293B"/>
                <w:sz w:val="15"/>
              </w:rPr>
              <w:t>Property operations platform.</w:t>
            </w:r>
          </w:p>
        </w:tc>
        <w:tc>
          <w:tcPr>
            <w:tcW w:type="dxa" w:w="2376"/>
            <w:vAlign w:val="top"/>
            <w:shd w:fill="F8FAFC"/>
            <w:tcBorders>
              <w:top w:val="single" w:sz="4" w:color="CBD5E1"/>
              <w:left w:val="single" w:sz="4" w:color="CBD5E1"/>
              <w:bottom w:val="single" w:sz="4" w:color="CBD5E1"/>
              <w:right w:val="single" w:sz="4" w:color="CBD5E1"/>
            </w:tcBorders>
          </w:tcPr>
          <w:p>
            <w:r>
              <w:rPr>
                <w:color w:val="1E293B"/>
                <w:sz w:val="15"/>
              </w:rPr>
              <w:t>Resident-facing UX needs clear navigation and modular configuration.</w:t>
            </w:r>
          </w:p>
        </w:tc>
      </w:tr>
    </w:tbl>
    <w:p>
      <w:pPr>
        <w:pStyle w:val="Heading1"/>
      </w:pPr>
      <w:r>
        <w:t>4. Competitive White-Space Hypotheses</w:t>
      </w:r>
    </w:p>
    <w:p>
      <w:r>
        <w:t>These are hypotheses to validate, not established facts.</w:t>
      </w:r>
    </w:p>
    <w:p>
      <w:pPr>
        <w:pStyle w:val="ListBullet"/>
        <w:spacing w:after="60"/>
      </w:pPr>
      <w:r>
        <w:t>A premium but locally practical UX may help communities that find enterprise ERPs heavy or consumer apps insufficiently operational.</w:t>
      </w:r>
    </w:p>
    <w:p>
      <w:pPr>
        <w:pStyle w:val="ListBullet"/>
        <w:spacing w:after="60"/>
      </w:pPr>
      <w:r>
        <w:t>A modular architecture can combine resident convenience with management-grade auditability without forcing every community to enable every module.</w:t>
      </w:r>
    </w:p>
    <w:p>
      <w:pPr>
        <w:pStyle w:val="ListBullet"/>
        <w:spacing w:after="60"/>
      </w:pPr>
      <w:r>
        <w:t>An explicit “AI with permission boundaries” model can make AI useful without turning the system into an unreliable chatbot layer.</w:t>
      </w:r>
    </w:p>
    <w:p>
      <w:pPr>
        <w:pStyle w:val="ListBullet"/>
        <w:spacing w:after="60"/>
      </w:pPr>
      <w:r>
        <w:t>A web-first responsive experience can reduce onboarding friction while retaining a path to mobile/native applications later.</w:t>
      </w:r>
    </w:p>
    <w:p>
      <w:pPr>
        <w:pStyle w:val="ListBullet"/>
        <w:spacing w:after="60"/>
      </w:pPr>
      <w:r>
        <w:t>Bilingual-ready workflows (English + Urdu, with future Roman Urdu handling where useful) could improve usability for mixed user populations; the degree of demand should be validated with residents and guards.</w:t>
      </w:r>
    </w:p>
    <w:p>
      <w:pPr>
        <w:pStyle w:val="Heading1"/>
      </w:pPr>
      <w:r>
        <w:t>5. Market Sizing Framework</w:t>
      </w:r>
    </w:p>
    <w:p>
      <w:r>
        <w:t>Publicly available sources reviewed here do not provide a sufficiently reliable count of all Pakistani housing societies/apartment communities that should be multiplied into a precise TAM. Instead, use a transparent bottom-up model during the pitch and replace assumptions with verified numbers after interviews.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0F172A"/>
            <w:vAlign w:val="center"/>
          </w:tcPr>
          <w:p>
            <w:r>
              <w:rPr>
                <w:b/>
                <w:color w:val="FFFFFF"/>
                <w:sz w:val="18"/>
              </w:rPr>
              <w:t>Layer</w:t>
            </w:r>
          </w:p>
        </w:tc>
        <w:tc>
          <w:tcPr>
            <w:tcW w:type="dxa" w:w="4680"/>
            <w:shd w:fill="0F172A"/>
            <w:vAlign w:val="center"/>
          </w:tcPr>
          <w:p>
            <w:r>
              <w:rPr>
                <w:b/>
                <w:color w:val="FFFFFF"/>
                <w:sz w:val="18"/>
              </w:rPr>
              <w:t>Formula</w:t>
            </w:r>
          </w:p>
        </w:tc>
        <w:tc>
          <w:tcPr>
            <w:tcW w:type="dxa" w:w="3384"/>
            <w:shd w:fill="0F172A"/>
            <w:vAlign w:val="center"/>
          </w:tcPr>
          <w:p>
            <w:r>
              <w:rPr>
                <w:b/>
                <w:color w:val="FFFFFF"/>
                <w:sz w:val="18"/>
              </w:rPr>
              <w:t>Example input to validate</w:t>
            </w:r>
          </w:p>
        </w:tc>
      </w:tr>
      <w:tr>
        <w:trPr>
          <w:cantSplit/>
        </w:trPr>
        <w:tc>
          <w:tcPr>
            <w:tcW w:type="dxa" w:w="2016"/>
            <w:vAlign w:val="top"/>
            <w:shd w:fill="F8FAFC"/>
            <w:tcBorders>
              <w:top w:val="single" w:sz="4" w:color="CBD5E1"/>
              <w:left w:val="single" w:sz="4" w:color="CBD5E1"/>
              <w:bottom w:val="single" w:sz="4" w:color="CBD5E1"/>
              <w:right w:val="single" w:sz="4" w:color="CBD5E1"/>
            </w:tcBorders>
          </w:tcPr>
          <w:p>
            <w:r>
              <w:rPr>
                <w:color w:val="1E293B"/>
                <w:sz w:val="18"/>
              </w:rPr>
              <w:t>TAM — communities</w:t>
            </w:r>
          </w:p>
        </w:tc>
        <w:tc>
          <w:tcPr>
            <w:tcW w:type="dxa" w:w="4680"/>
            <w:vAlign w:val="top"/>
            <w:shd w:fill="F8FAFC"/>
            <w:tcBorders>
              <w:top w:val="single" w:sz="4" w:color="CBD5E1"/>
              <w:left w:val="single" w:sz="4" w:color="CBD5E1"/>
              <w:bottom w:val="single" w:sz="4" w:color="CBD5E1"/>
              <w:right w:val="single" w:sz="4" w:color="CBD5E1"/>
            </w:tcBorders>
          </w:tcPr>
          <w:p>
            <w:r>
              <w:rPr>
                <w:color w:val="1E293B"/>
                <w:sz w:val="18"/>
              </w:rPr>
              <w:t>Number of addressable residential communities in chosen geography × annual contract value</w:t>
            </w:r>
          </w:p>
        </w:tc>
        <w:tc>
          <w:tcPr>
            <w:tcW w:type="dxa" w:w="3384"/>
            <w:vAlign w:val="top"/>
            <w:shd w:fill="F8FAFC"/>
            <w:tcBorders>
              <w:top w:val="single" w:sz="4" w:color="CBD5E1"/>
              <w:left w:val="single" w:sz="4" w:color="CBD5E1"/>
              <w:bottom w:val="single" w:sz="4" w:color="CBD5E1"/>
              <w:right w:val="single" w:sz="4" w:color="CBD5E1"/>
            </w:tcBorders>
          </w:tcPr>
          <w:p>
            <w:r>
              <w:rPr>
                <w:color w:val="1E293B"/>
                <w:sz w:val="18"/>
              </w:rPr>
              <w:t>Count of societies/communities by target city/region</w:t>
            </w:r>
          </w:p>
        </w:tc>
      </w:tr>
      <w:tr>
        <w:trPr>
          <w:cantSplit/>
        </w:trPr>
        <w:tc>
          <w:tcPr>
            <w:tcW w:type="dxa" w:w="2016"/>
            <w:vAlign w:val="top"/>
            <w:tcBorders>
              <w:top w:val="single" w:sz="4" w:color="CBD5E1"/>
              <w:left w:val="single" w:sz="4" w:color="CBD5E1"/>
              <w:bottom w:val="single" w:sz="4" w:color="CBD5E1"/>
              <w:right w:val="single" w:sz="4" w:color="CBD5E1"/>
            </w:tcBorders>
          </w:tcPr>
          <w:p>
            <w:r>
              <w:rPr>
                <w:color w:val="1E293B"/>
                <w:sz w:val="18"/>
              </w:rPr>
              <w:t>TAM — units</w:t>
            </w:r>
          </w:p>
        </w:tc>
        <w:tc>
          <w:tcPr>
            <w:tcW w:type="dxa" w:w="4680"/>
            <w:vAlign w:val="top"/>
            <w:tcBorders>
              <w:top w:val="single" w:sz="4" w:color="CBD5E1"/>
              <w:left w:val="single" w:sz="4" w:color="CBD5E1"/>
              <w:bottom w:val="single" w:sz="4" w:color="CBD5E1"/>
              <w:right w:val="single" w:sz="4" w:color="CBD5E1"/>
            </w:tcBorders>
          </w:tcPr>
          <w:p>
            <w:r>
              <w:rPr>
                <w:color w:val="1E293B"/>
                <w:sz w:val="18"/>
              </w:rPr>
              <w:t>Addressable units × annual revenue per unit</w:t>
            </w:r>
          </w:p>
        </w:tc>
        <w:tc>
          <w:tcPr>
            <w:tcW w:type="dxa" w:w="3384"/>
            <w:vAlign w:val="top"/>
            <w:tcBorders>
              <w:top w:val="single" w:sz="4" w:color="CBD5E1"/>
              <w:left w:val="single" w:sz="4" w:color="CBD5E1"/>
              <w:bottom w:val="single" w:sz="4" w:color="CBD5E1"/>
              <w:right w:val="single" w:sz="4" w:color="CBD5E1"/>
            </w:tcBorders>
          </w:tcPr>
          <w:p>
            <w:r>
              <w:rPr>
                <w:color w:val="1E293B"/>
                <w:sz w:val="18"/>
              </w:rPr>
              <w:t>Unit count bands and expected ARPU</w:t>
            </w:r>
          </w:p>
        </w:tc>
      </w:tr>
      <w:tr>
        <w:trPr>
          <w:cantSplit/>
        </w:trPr>
        <w:tc>
          <w:tcPr>
            <w:tcW w:type="dxa" w:w="2016"/>
            <w:vAlign w:val="top"/>
            <w:shd w:fill="F8FAFC"/>
            <w:tcBorders>
              <w:top w:val="single" w:sz="4" w:color="CBD5E1"/>
              <w:left w:val="single" w:sz="4" w:color="CBD5E1"/>
              <w:bottom w:val="single" w:sz="4" w:color="CBD5E1"/>
              <w:right w:val="single" w:sz="4" w:color="CBD5E1"/>
            </w:tcBorders>
          </w:tcPr>
          <w:p>
            <w:r>
              <w:rPr>
                <w:color w:val="1E293B"/>
                <w:sz w:val="18"/>
              </w:rPr>
              <w:t>SAM</w:t>
            </w:r>
          </w:p>
        </w:tc>
        <w:tc>
          <w:tcPr>
            <w:tcW w:type="dxa" w:w="4680"/>
            <w:vAlign w:val="top"/>
            <w:shd w:fill="F8FAFC"/>
            <w:tcBorders>
              <w:top w:val="single" w:sz="4" w:color="CBD5E1"/>
              <w:left w:val="single" w:sz="4" w:color="CBD5E1"/>
              <w:bottom w:val="single" w:sz="4" w:color="CBD5E1"/>
              <w:right w:val="single" w:sz="4" w:color="CBD5E1"/>
            </w:tcBorders>
          </w:tcPr>
          <w:p>
            <w:r>
              <w:rPr>
                <w:color w:val="1E293B"/>
                <w:sz w:val="18"/>
              </w:rPr>
              <w:t>TAM subset matching product scope, geography and operational maturity</w:t>
            </w:r>
          </w:p>
        </w:tc>
        <w:tc>
          <w:tcPr>
            <w:tcW w:type="dxa" w:w="3384"/>
            <w:vAlign w:val="top"/>
            <w:shd w:fill="F8FAFC"/>
            <w:tcBorders>
              <w:top w:val="single" w:sz="4" w:color="CBD5E1"/>
              <w:left w:val="single" w:sz="4" w:color="CBD5E1"/>
              <w:bottom w:val="single" w:sz="4" w:color="CBD5E1"/>
              <w:right w:val="single" w:sz="4" w:color="CBD5E1"/>
            </w:tcBorders>
          </w:tcPr>
          <w:p>
            <w:r>
              <w:rPr>
                <w:color w:val="1E293B"/>
                <w:sz w:val="18"/>
              </w:rPr>
              <w:t>Peshawar/KP + selected major cities</w:t>
            </w:r>
          </w:p>
        </w:tc>
      </w:tr>
      <w:tr>
        <w:trPr>
          <w:cantSplit/>
        </w:trPr>
        <w:tc>
          <w:tcPr>
            <w:tcW w:type="dxa" w:w="2016"/>
            <w:vAlign w:val="top"/>
            <w:tcBorders>
              <w:top w:val="single" w:sz="4" w:color="CBD5E1"/>
              <w:left w:val="single" w:sz="4" w:color="CBD5E1"/>
              <w:bottom w:val="single" w:sz="4" w:color="CBD5E1"/>
              <w:right w:val="single" w:sz="4" w:color="CBD5E1"/>
            </w:tcBorders>
          </w:tcPr>
          <w:p>
            <w:r>
              <w:rPr>
                <w:color w:val="1E293B"/>
                <w:sz w:val="18"/>
              </w:rPr>
              <w:t>SOM — 24 months</w:t>
            </w:r>
          </w:p>
        </w:tc>
        <w:tc>
          <w:tcPr>
            <w:tcW w:type="dxa" w:w="4680"/>
            <w:vAlign w:val="top"/>
            <w:tcBorders>
              <w:top w:val="single" w:sz="4" w:color="CBD5E1"/>
              <w:left w:val="single" w:sz="4" w:color="CBD5E1"/>
              <w:bottom w:val="single" w:sz="4" w:color="CBD5E1"/>
              <w:right w:val="single" w:sz="4" w:color="CBD5E1"/>
            </w:tcBorders>
          </w:tcPr>
          <w:p>
            <w:r>
              <w:rPr>
                <w:color w:val="1E293B"/>
                <w:sz w:val="18"/>
              </w:rPr>
              <w:t>Realistic pilot-to-paid conversion × target sales capacity</w:t>
            </w:r>
          </w:p>
        </w:tc>
        <w:tc>
          <w:tcPr>
            <w:tcW w:type="dxa" w:w="3384"/>
            <w:vAlign w:val="top"/>
            <w:tcBorders>
              <w:top w:val="single" w:sz="4" w:color="CBD5E1"/>
              <w:left w:val="single" w:sz="4" w:color="CBD5E1"/>
              <w:bottom w:val="single" w:sz="4" w:color="CBD5E1"/>
              <w:right w:val="single" w:sz="4" w:color="CBD5E1"/>
            </w:tcBorders>
          </w:tcPr>
          <w:p>
            <w:r>
              <w:rPr>
                <w:color w:val="1E293B"/>
                <w:sz w:val="18"/>
              </w:rPr>
              <w:t>Pilot communities, sales cycle, onboarding capacity</w:t>
            </w:r>
          </w:p>
        </w:tc>
      </w:tr>
    </w:tbl>
    <w:tbl>
      <w:tblPr>
        <w:tblW w:type="auto" w:w="0"/>
        <w:jc w:val="center"/>
        <w:tblLayout w:type="fixed"/>
        <w:tblLook w:firstColumn="1" w:firstRow="1" w:lastColumn="0" w:lastRow="0" w:noHBand="0" w:noVBand="1" w:val="04A0"/>
      </w:tblPr>
      <w:tblGrid>
        <w:gridCol w:w="9936"/>
      </w:tblGrid>
      <w:tr>
        <w:trPr>
          <w:cantSplit/>
        </w:trPr>
        <w:tc>
          <w:tcPr>
            <w:tcW w:type="dxa" w:w="9936"/>
            <w:shd w:fill="ECFEFF"/>
            <w:tcBorders>
              <w:top w:val="single" w:sz="8" w:color="14B8A6"/>
              <w:left w:val="single" w:sz="8" w:color="14B8A6"/>
              <w:bottom w:val="single" w:sz="8" w:color="14B8A6"/>
              <w:right w:val="single" w:sz="8" w:color="14B8A6"/>
            </w:tcBorders>
          </w:tcPr>
          <w:p>
            <w:r>
              <w:rPr>
                <w:b/>
                <w:color w:val="14B8A6"/>
                <w:sz w:val="20"/>
              </w:rPr>
              <w:t>Pitch-safe sizing</w:t>
            </w:r>
          </w:p>
          <w:p>
            <w:pPr>
              <w:spacing w:before="40" w:after="0"/>
            </w:pPr>
            <w:r>
              <w:rPr>
                <w:sz w:val="20"/>
              </w:rPr>
              <w:t>Use ranges and label assumptions. A transparent “we need to validate X” is stronger than an invented billion-dollar TAM number.</w:t>
            </w:r>
          </w:p>
        </w:tc>
      </w:tr>
    </w:tbl>
    <w:p>
      <w:pPr>
        <w:pStyle w:val="Heading1"/>
      </w:pPr>
      <w:r>
        <w:t>6. Buyer &amp; User Discovery Plan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0F172A"/>
            <w:vAlign w:val="center"/>
          </w:tcPr>
          <w:p>
            <w:r>
              <w:rPr>
                <w:b/>
                <w:color w:val="FFFFFF"/>
                <w:sz w:val="16"/>
              </w:rPr>
              <w:t>Interview group</w:t>
            </w:r>
          </w:p>
        </w:tc>
        <w:tc>
          <w:tcPr>
            <w:tcW w:type="dxa" w:w="1656"/>
            <w:shd w:fill="0F172A"/>
            <w:vAlign w:val="center"/>
          </w:tcPr>
          <w:p>
            <w:r>
              <w:rPr>
                <w:b/>
                <w:color w:val="FFFFFF"/>
                <w:sz w:val="16"/>
              </w:rPr>
              <w:t>Sample</w:t>
            </w:r>
          </w:p>
        </w:tc>
        <w:tc>
          <w:tcPr>
            <w:tcW w:type="dxa" w:w="6192"/>
            <w:shd w:fill="0F172A"/>
            <w:vAlign w:val="center"/>
          </w:tcPr>
          <w:p>
            <w:r>
              <w:rPr>
                <w:b/>
                <w:color w:val="FFFFFF"/>
                <w:sz w:val="16"/>
              </w:rPr>
              <w:t>Questions to validate</w:t>
            </w:r>
          </w:p>
        </w:tc>
      </w:tr>
      <w:tr>
        <w:trPr>
          <w:cantSplit/>
        </w:trPr>
        <w:tc>
          <w:tcPr>
            <w:tcW w:type="dxa" w:w="2232"/>
            <w:vAlign w:val="top"/>
            <w:shd w:fill="F8FAFC"/>
            <w:tcBorders>
              <w:top w:val="single" w:sz="4" w:color="CBD5E1"/>
              <w:left w:val="single" w:sz="4" w:color="CBD5E1"/>
              <w:bottom w:val="single" w:sz="4" w:color="CBD5E1"/>
              <w:right w:val="single" w:sz="4" w:color="CBD5E1"/>
            </w:tcBorders>
          </w:tcPr>
          <w:p>
            <w:r>
              <w:rPr>
                <w:color w:val="1E293B"/>
                <w:sz w:val="16"/>
              </w:rPr>
              <w:t>Society management</w:t>
            </w:r>
          </w:p>
        </w:tc>
        <w:tc>
          <w:tcPr>
            <w:tcW w:type="dxa" w:w="1656"/>
            <w:vAlign w:val="top"/>
            <w:shd w:fill="F8FAFC"/>
            <w:tcBorders>
              <w:top w:val="single" w:sz="4" w:color="CBD5E1"/>
              <w:left w:val="single" w:sz="4" w:color="CBD5E1"/>
              <w:bottom w:val="single" w:sz="4" w:color="CBD5E1"/>
              <w:right w:val="single" w:sz="4" w:color="CBD5E1"/>
            </w:tcBorders>
          </w:tcPr>
          <w:p>
            <w:r>
              <w:rPr>
                <w:color w:val="1E293B"/>
                <w:sz w:val="16"/>
              </w:rPr>
              <w:t>10–15 operators</w:t>
            </w:r>
          </w:p>
        </w:tc>
        <w:tc>
          <w:tcPr>
            <w:tcW w:type="dxa" w:w="6192"/>
            <w:vAlign w:val="top"/>
            <w:shd w:fill="F8FAFC"/>
            <w:tcBorders>
              <w:top w:val="single" w:sz="4" w:color="CBD5E1"/>
              <w:left w:val="single" w:sz="4" w:color="CBD5E1"/>
              <w:bottom w:val="single" w:sz="4" w:color="CBD5E1"/>
              <w:right w:val="single" w:sz="4" w:color="CBD5E1"/>
            </w:tcBorders>
          </w:tcPr>
          <w:p>
            <w:r>
              <w:rPr>
                <w:color w:val="1E293B"/>
                <w:sz w:val="16"/>
              </w:rPr>
              <w:t>Current tools, biggest recurring manual tasks, complaint load, collections process, staff workflow, willingness to pay.</w:t>
            </w:r>
          </w:p>
        </w:tc>
      </w:tr>
      <w:tr>
        <w:trPr>
          <w:cantSplit/>
        </w:trPr>
        <w:tc>
          <w:tcPr>
            <w:tcW w:type="dxa" w:w="2232"/>
            <w:vAlign w:val="top"/>
            <w:tcBorders>
              <w:top w:val="single" w:sz="4" w:color="CBD5E1"/>
              <w:left w:val="single" w:sz="4" w:color="CBD5E1"/>
              <w:bottom w:val="single" w:sz="4" w:color="CBD5E1"/>
              <w:right w:val="single" w:sz="4" w:color="CBD5E1"/>
            </w:tcBorders>
          </w:tcPr>
          <w:p>
            <w:r>
              <w:rPr>
                <w:color w:val="1E293B"/>
                <w:sz w:val="16"/>
              </w:rPr>
              <w:t>Residents</w:t>
            </w:r>
          </w:p>
        </w:tc>
        <w:tc>
          <w:tcPr>
            <w:tcW w:type="dxa" w:w="1656"/>
            <w:vAlign w:val="top"/>
            <w:tcBorders>
              <w:top w:val="single" w:sz="4" w:color="CBD5E1"/>
              <w:left w:val="single" w:sz="4" w:color="CBD5E1"/>
              <w:bottom w:val="single" w:sz="4" w:color="CBD5E1"/>
              <w:right w:val="single" w:sz="4" w:color="CBD5E1"/>
            </w:tcBorders>
          </w:tcPr>
          <w:p>
            <w:r>
              <w:rPr>
                <w:color w:val="1E293B"/>
                <w:sz w:val="16"/>
              </w:rPr>
              <w:t>20–30 across 2–3 communities</w:t>
            </w:r>
          </w:p>
        </w:tc>
        <w:tc>
          <w:tcPr>
            <w:tcW w:type="dxa" w:w="6192"/>
            <w:vAlign w:val="top"/>
            <w:tcBorders>
              <w:top w:val="single" w:sz="4" w:color="CBD5E1"/>
              <w:left w:val="single" w:sz="4" w:color="CBD5E1"/>
              <w:bottom w:val="single" w:sz="4" w:color="CBD5E1"/>
              <w:right w:val="single" w:sz="4" w:color="CBD5E1"/>
            </w:tcBorders>
          </w:tcPr>
          <w:p>
            <w:r>
              <w:rPr>
                <w:color w:val="1E293B"/>
                <w:sz w:val="16"/>
              </w:rPr>
              <w:t>Visitor friction, complaint experience, payment preferences, notification preferences, trust/privacy concerns.</w:t>
            </w:r>
          </w:p>
        </w:tc>
      </w:tr>
      <w:tr>
        <w:trPr>
          <w:cantSplit/>
        </w:trPr>
        <w:tc>
          <w:tcPr>
            <w:tcW w:type="dxa" w:w="2232"/>
            <w:vAlign w:val="top"/>
            <w:shd w:fill="F8FAFC"/>
            <w:tcBorders>
              <w:top w:val="single" w:sz="4" w:color="CBD5E1"/>
              <w:left w:val="single" w:sz="4" w:color="CBD5E1"/>
              <w:bottom w:val="single" w:sz="4" w:color="CBD5E1"/>
              <w:right w:val="single" w:sz="4" w:color="CBD5E1"/>
            </w:tcBorders>
          </w:tcPr>
          <w:p>
            <w:r>
              <w:rPr>
                <w:color w:val="1E293B"/>
                <w:sz w:val="16"/>
              </w:rPr>
              <w:t>Security staff</w:t>
            </w:r>
          </w:p>
        </w:tc>
        <w:tc>
          <w:tcPr>
            <w:tcW w:type="dxa" w:w="1656"/>
            <w:vAlign w:val="top"/>
            <w:shd w:fill="F8FAFC"/>
            <w:tcBorders>
              <w:top w:val="single" w:sz="4" w:color="CBD5E1"/>
              <w:left w:val="single" w:sz="4" w:color="CBD5E1"/>
              <w:bottom w:val="single" w:sz="4" w:color="CBD5E1"/>
              <w:right w:val="single" w:sz="4" w:color="CBD5E1"/>
            </w:tcBorders>
          </w:tcPr>
          <w:p>
            <w:r>
              <w:rPr>
                <w:color w:val="1E293B"/>
                <w:sz w:val="16"/>
              </w:rPr>
              <w:t>8–12 guards/supervisors</w:t>
            </w:r>
          </w:p>
        </w:tc>
        <w:tc>
          <w:tcPr>
            <w:tcW w:type="dxa" w:w="6192"/>
            <w:vAlign w:val="top"/>
            <w:shd w:fill="F8FAFC"/>
            <w:tcBorders>
              <w:top w:val="single" w:sz="4" w:color="CBD5E1"/>
              <w:left w:val="single" w:sz="4" w:color="CBD5E1"/>
              <w:bottom w:val="single" w:sz="4" w:color="CBD5E1"/>
              <w:right w:val="single" w:sz="4" w:color="CBD5E1"/>
            </w:tcBorders>
          </w:tcPr>
          <w:p>
            <w:r>
              <w:rPr>
                <w:color w:val="1E293B"/>
                <w:sz w:val="16"/>
              </w:rPr>
              <w:t>Gate process, verification speed, device constraints, common failure cases, language needs.</w:t>
            </w:r>
          </w:p>
        </w:tc>
      </w:tr>
      <w:tr>
        <w:trPr>
          <w:cantSplit/>
        </w:trPr>
        <w:tc>
          <w:tcPr>
            <w:tcW w:type="dxa" w:w="2232"/>
            <w:vAlign w:val="top"/>
            <w:tcBorders>
              <w:top w:val="single" w:sz="4" w:color="CBD5E1"/>
              <w:left w:val="single" w:sz="4" w:color="CBD5E1"/>
              <w:bottom w:val="single" w:sz="4" w:color="CBD5E1"/>
              <w:right w:val="single" w:sz="4" w:color="CBD5E1"/>
            </w:tcBorders>
          </w:tcPr>
          <w:p>
            <w:r>
              <w:rPr>
                <w:color w:val="1E293B"/>
                <w:sz w:val="16"/>
              </w:rPr>
              <w:t>Maintenance staff</w:t>
            </w:r>
          </w:p>
        </w:tc>
        <w:tc>
          <w:tcPr>
            <w:tcW w:type="dxa" w:w="1656"/>
            <w:vAlign w:val="top"/>
            <w:tcBorders>
              <w:top w:val="single" w:sz="4" w:color="CBD5E1"/>
              <w:left w:val="single" w:sz="4" w:color="CBD5E1"/>
              <w:bottom w:val="single" w:sz="4" w:color="CBD5E1"/>
              <w:right w:val="single" w:sz="4" w:color="CBD5E1"/>
            </w:tcBorders>
          </w:tcPr>
          <w:p>
            <w:r>
              <w:rPr>
                <w:color w:val="1E293B"/>
                <w:sz w:val="16"/>
              </w:rPr>
              <w:t>8–12 staff/supervisors</w:t>
            </w:r>
          </w:p>
        </w:tc>
        <w:tc>
          <w:tcPr>
            <w:tcW w:type="dxa" w:w="6192"/>
            <w:vAlign w:val="top"/>
            <w:tcBorders>
              <w:top w:val="single" w:sz="4" w:color="CBD5E1"/>
              <w:left w:val="single" w:sz="4" w:color="CBD5E1"/>
              <w:bottom w:val="single" w:sz="4" w:color="CBD5E1"/>
              <w:right w:val="single" w:sz="4" w:color="CBD5E1"/>
            </w:tcBorders>
          </w:tcPr>
          <w:p>
            <w:r>
              <w:rPr>
                <w:color w:val="1E293B"/>
                <w:sz w:val="16"/>
              </w:rPr>
              <w:t>Assignment process, evidence collection, status reporting, SLA/escalation pain points.</w:t>
            </w:r>
          </w:p>
        </w:tc>
      </w:tr>
      <w:tr>
        <w:trPr>
          <w:cantSplit/>
        </w:trPr>
        <w:tc>
          <w:tcPr>
            <w:tcW w:type="dxa" w:w="2232"/>
            <w:vAlign w:val="top"/>
            <w:shd w:fill="F8FAFC"/>
            <w:tcBorders>
              <w:top w:val="single" w:sz="4" w:color="CBD5E1"/>
              <w:left w:val="single" w:sz="4" w:color="CBD5E1"/>
              <w:bottom w:val="single" w:sz="4" w:color="CBD5E1"/>
              <w:right w:val="single" w:sz="4" w:color="CBD5E1"/>
            </w:tcBorders>
          </w:tcPr>
          <w:p>
            <w:r>
              <w:rPr>
                <w:color w:val="1E293B"/>
                <w:sz w:val="16"/>
              </w:rPr>
              <w:t>Accountants/admins</w:t>
            </w:r>
          </w:p>
        </w:tc>
        <w:tc>
          <w:tcPr>
            <w:tcW w:type="dxa" w:w="1656"/>
            <w:vAlign w:val="top"/>
            <w:shd w:fill="F8FAFC"/>
            <w:tcBorders>
              <w:top w:val="single" w:sz="4" w:color="CBD5E1"/>
              <w:left w:val="single" w:sz="4" w:color="CBD5E1"/>
              <w:bottom w:val="single" w:sz="4" w:color="CBD5E1"/>
              <w:right w:val="single" w:sz="4" w:color="CBD5E1"/>
            </w:tcBorders>
          </w:tcPr>
          <w:p>
            <w:r>
              <w:rPr>
                <w:color w:val="1E293B"/>
                <w:sz w:val="16"/>
              </w:rPr>
              <w:t>5–8</w:t>
            </w:r>
          </w:p>
        </w:tc>
        <w:tc>
          <w:tcPr>
            <w:tcW w:type="dxa" w:w="6192"/>
            <w:vAlign w:val="top"/>
            <w:shd w:fill="F8FAFC"/>
            <w:tcBorders>
              <w:top w:val="single" w:sz="4" w:color="CBD5E1"/>
              <w:left w:val="single" w:sz="4" w:color="CBD5E1"/>
              <w:bottom w:val="single" w:sz="4" w:color="CBD5E1"/>
              <w:right w:val="single" w:sz="4" w:color="CBD5E1"/>
            </w:tcBorders>
          </w:tcPr>
          <w:p>
            <w:r>
              <w:rPr>
                <w:color w:val="1E293B"/>
                <w:sz w:val="16"/>
              </w:rPr>
              <w:t>Bill generation, payment reconciliation, adjustments, reporting and audit requirements.</w:t>
            </w:r>
          </w:p>
        </w:tc>
      </w:tr>
    </w:tbl>
    <w:p>
      <w:pPr>
        <w:pStyle w:val="Heading1"/>
      </w:pPr>
      <w:r>
        <w:t>7. Validation Experiments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0F172A"/>
            <w:vAlign w:val="center"/>
          </w:tcPr>
          <w:p>
            <w:r>
              <w:rPr>
                <w:b/>
                <w:color w:val="FFFFFF"/>
                <w:sz w:val="18"/>
              </w:rPr>
              <w:t>Experiment</w:t>
            </w:r>
          </w:p>
        </w:tc>
        <w:tc>
          <w:tcPr>
            <w:tcW w:type="dxa" w:w="4320"/>
            <w:shd w:fill="0F172A"/>
            <w:vAlign w:val="center"/>
          </w:tcPr>
          <w:p>
            <w:r>
              <w:rPr>
                <w:b/>
                <w:color w:val="FFFFFF"/>
                <w:sz w:val="18"/>
              </w:rPr>
              <w:t>What it tests</w:t>
            </w:r>
          </w:p>
        </w:tc>
        <w:tc>
          <w:tcPr>
            <w:tcW w:type="dxa" w:w="3384"/>
            <w:shd w:fill="0F172A"/>
            <w:vAlign w:val="center"/>
          </w:tcPr>
          <w:p>
            <w:r>
              <w:rPr>
                <w:b/>
                <w:color w:val="FFFFFF"/>
                <w:sz w:val="18"/>
              </w:rPr>
              <w:t>Pass signal</w:t>
            </w:r>
          </w:p>
        </w:tc>
      </w:tr>
      <w:tr>
        <w:trPr>
          <w:cantSplit/>
        </w:trPr>
        <w:tc>
          <w:tcPr>
            <w:tcW w:type="dxa" w:w="2376"/>
            <w:vAlign w:val="top"/>
            <w:shd w:fill="F8FAFC"/>
            <w:tcBorders>
              <w:top w:val="single" w:sz="4" w:color="CBD5E1"/>
              <w:left w:val="single" w:sz="4" w:color="CBD5E1"/>
              <w:bottom w:val="single" w:sz="4" w:color="CBD5E1"/>
              <w:right w:val="single" w:sz="4" w:color="CBD5E1"/>
            </w:tcBorders>
          </w:tcPr>
          <w:p>
            <w:r>
              <w:rPr>
                <w:color w:val="1E293B"/>
                <w:sz w:val="18"/>
              </w:rPr>
              <w:t>Clickable UX test</w:t>
            </w:r>
          </w:p>
        </w:tc>
        <w:tc>
          <w:tcPr>
            <w:tcW w:type="dxa" w:w="4320"/>
            <w:vAlign w:val="top"/>
            <w:shd w:fill="F8FAFC"/>
            <w:tcBorders>
              <w:top w:val="single" w:sz="4" w:color="CBD5E1"/>
              <w:left w:val="single" w:sz="4" w:color="CBD5E1"/>
              <w:bottom w:val="single" w:sz="4" w:color="CBD5E1"/>
              <w:right w:val="single" w:sz="4" w:color="CBD5E1"/>
            </w:tcBorders>
          </w:tcPr>
          <w:p>
            <w:r>
              <w:rPr>
                <w:color w:val="1E293B"/>
                <w:sz w:val="18"/>
              </w:rPr>
              <w:t>Can residents/guards complete high-frequency actions quickly?</w:t>
            </w:r>
          </w:p>
        </w:tc>
        <w:tc>
          <w:tcPr>
            <w:tcW w:type="dxa" w:w="3384"/>
            <w:vAlign w:val="top"/>
            <w:shd w:fill="F8FAFC"/>
            <w:tcBorders>
              <w:top w:val="single" w:sz="4" w:color="CBD5E1"/>
              <w:left w:val="single" w:sz="4" w:color="CBD5E1"/>
              <w:bottom w:val="single" w:sz="4" w:color="CBD5E1"/>
              <w:right w:val="single" w:sz="4" w:color="CBD5E1"/>
            </w:tcBorders>
          </w:tcPr>
          <w:p>
            <w:r>
              <w:rPr>
                <w:color w:val="1E293B"/>
                <w:sz w:val="18"/>
              </w:rPr>
              <w:t>Most participants complete task without explanation.</w:t>
            </w:r>
          </w:p>
        </w:tc>
      </w:tr>
      <w:tr>
        <w:trPr>
          <w:cantSplit/>
        </w:trPr>
        <w:tc>
          <w:tcPr>
            <w:tcW w:type="dxa" w:w="2376"/>
            <w:vAlign w:val="top"/>
            <w:tcBorders>
              <w:top w:val="single" w:sz="4" w:color="CBD5E1"/>
              <w:left w:val="single" w:sz="4" w:color="CBD5E1"/>
              <w:bottom w:val="single" w:sz="4" w:color="CBD5E1"/>
              <w:right w:val="single" w:sz="4" w:color="CBD5E1"/>
            </w:tcBorders>
          </w:tcPr>
          <w:p>
            <w:r>
              <w:rPr>
                <w:color w:val="1E293B"/>
                <w:sz w:val="18"/>
              </w:rPr>
              <w:t>Concierge pilot</w:t>
            </w:r>
          </w:p>
        </w:tc>
        <w:tc>
          <w:tcPr>
            <w:tcW w:type="dxa" w:w="4320"/>
            <w:vAlign w:val="top"/>
            <w:tcBorders>
              <w:top w:val="single" w:sz="4" w:color="CBD5E1"/>
              <w:left w:val="single" w:sz="4" w:color="CBD5E1"/>
              <w:bottom w:val="single" w:sz="4" w:color="CBD5E1"/>
              <w:right w:val="single" w:sz="4" w:color="CBD5E1"/>
            </w:tcBorders>
          </w:tcPr>
          <w:p>
            <w:r>
              <w:rPr>
                <w:color w:val="1E293B"/>
                <w:sz w:val="18"/>
              </w:rPr>
              <w:t>Does structured ticket + visitor workflow reduce manual chasing?</w:t>
            </w:r>
          </w:p>
        </w:tc>
        <w:tc>
          <w:tcPr>
            <w:tcW w:type="dxa" w:w="3384"/>
            <w:vAlign w:val="top"/>
            <w:tcBorders>
              <w:top w:val="single" w:sz="4" w:color="CBD5E1"/>
              <w:left w:val="single" w:sz="4" w:color="CBD5E1"/>
              <w:bottom w:val="single" w:sz="4" w:color="CBD5E1"/>
              <w:right w:val="single" w:sz="4" w:color="CBD5E1"/>
            </w:tcBorders>
          </w:tcPr>
          <w:p>
            <w:r>
              <w:rPr>
                <w:color w:val="1E293B"/>
                <w:sz w:val="18"/>
              </w:rPr>
              <w:t>Operators report measurable visibility improvement.</w:t>
            </w:r>
          </w:p>
        </w:tc>
      </w:tr>
      <w:tr>
        <w:trPr>
          <w:cantSplit/>
        </w:trPr>
        <w:tc>
          <w:tcPr>
            <w:tcW w:type="dxa" w:w="2376"/>
            <w:vAlign w:val="top"/>
            <w:shd w:fill="F8FAFC"/>
            <w:tcBorders>
              <w:top w:val="single" w:sz="4" w:color="CBD5E1"/>
              <w:left w:val="single" w:sz="4" w:color="CBD5E1"/>
              <w:bottom w:val="single" w:sz="4" w:color="CBD5E1"/>
              <w:right w:val="single" w:sz="4" w:color="CBD5E1"/>
            </w:tcBorders>
          </w:tcPr>
          <w:p>
            <w:r>
              <w:rPr>
                <w:color w:val="1E293B"/>
                <w:sz w:val="18"/>
              </w:rPr>
              <w:t>Notification trial</w:t>
            </w:r>
          </w:p>
        </w:tc>
        <w:tc>
          <w:tcPr>
            <w:tcW w:type="dxa" w:w="4320"/>
            <w:vAlign w:val="top"/>
            <w:shd w:fill="F8FAFC"/>
            <w:tcBorders>
              <w:top w:val="single" w:sz="4" w:color="CBD5E1"/>
              <w:left w:val="single" w:sz="4" w:color="CBD5E1"/>
              <w:bottom w:val="single" w:sz="4" w:color="CBD5E1"/>
              <w:right w:val="single" w:sz="4" w:color="CBD5E1"/>
            </w:tcBorders>
          </w:tcPr>
          <w:p>
            <w:r>
              <w:rPr>
                <w:color w:val="1E293B"/>
                <w:sz w:val="18"/>
              </w:rPr>
              <w:t>Do WhatsApp/email updates reduce follow-up calls?</w:t>
            </w:r>
          </w:p>
        </w:tc>
        <w:tc>
          <w:tcPr>
            <w:tcW w:type="dxa" w:w="3384"/>
            <w:vAlign w:val="top"/>
            <w:shd w:fill="F8FAFC"/>
            <w:tcBorders>
              <w:top w:val="single" w:sz="4" w:color="CBD5E1"/>
              <w:left w:val="single" w:sz="4" w:color="CBD5E1"/>
              <w:bottom w:val="single" w:sz="4" w:color="CBD5E1"/>
              <w:right w:val="single" w:sz="4" w:color="CBD5E1"/>
            </w:tcBorders>
          </w:tcPr>
          <w:p>
            <w:r>
              <w:rPr>
                <w:color w:val="1E293B"/>
                <w:sz w:val="18"/>
              </w:rPr>
              <w:t>Lower repeat follow-up for selected workflow.</w:t>
            </w:r>
          </w:p>
        </w:tc>
      </w:tr>
      <w:tr>
        <w:trPr>
          <w:cantSplit/>
        </w:trPr>
        <w:tc>
          <w:tcPr>
            <w:tcW w:type="dxa" w:w="2376"/>
            <w:vAlign w:val="top"/>
            <w:tcBorders>
              <w:top w:val="single" w:sz="4" w:color="CBD5E1"/>
              <w:left w:val="single" w:sz="4" w:color="CBD5E1"/>
              <w:bottom w:val="single" w:sz="4" w:color="CBD5E1"/>
              <w:right w:val="single" w:sz="4" w:color="CBD5E1"/>
            </w:tcBorders>
          </w:tcPr>
          <w:p>
            <w:r>
              <w:rPr>
                <w:color w:val="1E293B"/>
                <w:sz w:val="18"/>
              </w:rPr>
              <w:t>AI triage shadow mode</w:t>
            </w:r>
          </w:p>
        </w:tc>
        <w:tc>
          <w:tcPr>
            <w:tcW w:type="dxa" w:w="4320"/>
            <w:vAlign w:val="top"/>
            <w:tcBorders>
              <w:top w:val="single" w:sz="4" w:color="CBD5E1"/>
              <w:left w:val="single" w:sz="4" w:color="CBD5E1"/>
              <w:bottom w:val="single" w:sz="4" w:color="CBD5E1"/>
              <w:right w:val="single" w:sz="4" w:color="CBD5E1"/>
            </w:tcBorders>
          </w:tcPr>
          <w:p>
            <w:r>
              <w:rPr>
                <w:color w:val="1E293B"/>
                <w:sz w:val="18"/>
              </w:rPr>
              <w:t>Does classification save staff time without harmful errors?</w:t>
            </w:r>
          </w:p>
        </w:tc>
        <w:tc>
          <w:tcPr>
            <w:tcW w:type="dxa" w:w="3384"/>
            <w:vAlign w:val="top"/>
            <w:tcBorders>
              <w:top w:val="single" w:sz="4" w:color="CBD5E1"/>
              <w:left w:val="single" w:sz="4" w:color="CBD5E1"/>
              <w:bottom w:val="single" w:sz="4" w:color="CBD5E1"/>
              <w:right w:val="single" w:sz="4" w:color="CBD5E1"/>
            </w:tcBorders>
          </w:tcPr>
          <w:p>
            <w:r>
              <w:rPr>
                <w:color w:val="1E293B"/>
                <w:sz w:val="18"/>
              </w:rPr>
              <w:t>Useful suggestions accepted/edited by staff; no unauthorized action.</w:t>
            </w:r>
          </w:p>
        </w:tc>
      </w:tr>
      <w:tr>
        <w:trPr>
          <w:cantSplit/>
        </w:trPr>
        <w:tc>
          <w:tcPr>
            <w:tcW w:type="dxa" w:w="2376"/>
            <w:vAlign w:val="top"/>
            <w:shd w:fill="F8FAFC"/>
            <w:tcBorders>
              <w:top w:val="single" w:sz="4" w:color="CBD5E1"/>
              <w:left w:val="single" w:sz="4" w:color="CBD5E1"/>
              <w:bottom w:val="single" w:sz="4" w:color="CBD5E1"/>
              <w:right w:val="single" w:sz="4" w:color="CBD5E1"/>
            </w:tcBorders>
          </w:tcPr>
          <w:p>
            <w:r>
              <w:rPr>
                <w:color w:val="1E293B"/>
                <w:sz w:val="18"/>
              </w:rPr>
              <w:t>Pricing interviews</w:t>
            </w:r>
          </w:p>
        </w:tc>
        <w:tc>
          <w:tcPr>
            <w:tcW w:type="dxa" w:w="4320"/>
            <w:vAlign w:val="top"/>
            <w:shd w:fill="F8FAFC"/>
            <w:tcBorders>
              <w:top w:val="single" w:sz="4" w:color="CBD5E1"/>
              <w:left w:val="single" w:sz="4" w:color="CBD5E1"/>
              <w:bottom w:val="single" w:sz="4" w:color="CBD5E1"/>
              <w:right w:val="single" w:sz="4" w:color="CBD5E1"/>
            </w:tcBorders>
          </w:tcPr>
          <w:p>
            <w:r>
              <w:rPr>
                <w:color w:val="1E293B"/>
                <w:sz w:val="18"/>
              </w:rPr>
              <w:t>Will operators pay and for what unit band?</w:t>
            </w:r>
          </w:p>
        </w:tc>
        <w:tc>
          <w:tcPr>
            <w:tcW w:type="dxa" w:w="3384"/>
            <w:vAlign w:val="top"/>
            <w:shd w:fill="F8FAFC"/>
            <w:tcBorders>
              <w:top w:val="single" w:sz="4" w:color="CBD5E1"/>
              <w:left w:val="single" w:sz="4" w:color="CBD5E1"/>
              <w:bottom w:val="single" w:sz="4" w:color="CBD5E1"/>
              <w:right w:val="single" w:sz="4" w:color="CBD5E1"/>
            </w:tcBorders>
          </w:tcPr>
          <w:p>
            <w:r>
              <w:rPr>
                <w:color w:val="1E293B"/>
                <w:sz w:val="18"/>
              </w:rPr>
              <w:t>Clear budget owner + credible willingness-to-pay range.</w:t>
            </w:r>
          </w:p>
        </w:tc>
      </w:tr>
    </w:tbl>
    <w:p>
      <w:pPr>
        <w:pStyle w:val="Heading1"/>
      </w:pPr>
      <w:r>
        <w:t>8. SWOT Snapshot</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48"/>
            <w:shd w:fill="0F172A"/>
            <w:vAlign w:val="center"/>
          </w:tcPr>
          <w:p>
            <w:r>
              <w:rPr>
                <w:b/>
                <w:color w:val="FFFFFF"/>
                <w:sz w:val="16"/>
              </w:rPr>
              <w:t>Strengths</w:t>
            </w:r>
          </w:p>
        </w:tc>
        <w:tc>
          <w:tcPr>
            <w:tcW w:type="dxa" w:w="2448"/>
            <w:shd w:fill="0F172A"/>
            <w:vAlign w:val="center"/>
          </w:tcPr>
          <w:p>
            <w:r>
              <w:rPr>
                <w:b/>
                <w:color w:val="FFFFFF"/>
                <w:sz w:val="16"/>
              </w:rPr>
              <w:t>Constraints</w:t>
            </w:r>
          </w:p>
        </w:tc>
        <w:tc>
          <w:tcPr>
            <w:tcW w:type="dxa" w:w="2448"/>
            <w:shd w:fill="0F172A"/>
            <w:vAlign w:val="center"/>
          </w:tcPr>
          <w:p>
            <w:r>
              <w:rPr>
                <w:b/>
                <w:color w:val="FFFFFF"/>
                <w:sz w:val="16"/>
              </w:rPr>
              <w:t>Opportunities</w:t>
            </w:r>
          </w:p>
        </w:tc>
        <w:tc>
          <w:tcPr>
            <w:tcW w:type="dxa" w:w="2448"/>
            <w:shd w:fill="0F172A"/>
            <w:vAlign w:val="center"/>
          </w:tcPr>
          <w:p>
            <w:r>
              <w:rPr>
                <w:b/>
                <w:color w:val="FFFFFF"/>
                <w:sz w:val="16"/>
              </w:rPr>
              <w:t>Threats</w:t>
            </w:r>
          </w:p>
        </w:tc>
      </w:tr>
      <w:tr>
        <w:trPr>
          <w:cantSplit/>
        </w:trPr>
        <w:tc>
          <w:tcPr>
            <w:tcW w:type="dxa" w:w="2448"/>
            <w:vAlign w:val="top"/>
            <w:shd w:fill="F8FAFC"/>
            <w:tcBorders>
              <w:top w:val="single" w:sz="4" w:color="CBD5E1"/>
              <w:left w:val="single" w:sz="4" w:color="CBD5E1"/>
              <w:bottom w:val="single" w:sz="4" w:color="CBD5E1"/>
              <w:right w:val="single" w:sz="4" w:color="CBD5E1"/>
            </w:tcBorders>
          </w:tcPr>
          <w:p>
            <w:r>
              <w:rPr>
                <w:color w:val="1E293B"/>
                <w:sz w:val="16"/>
              </w:rPr>
              <w:t>Full workflow product; modular architecture; strong security posture; AI boundaries; premium UX thesis</w:t>
            </w:r>
          </w:p>
        </w:tc>
        <w:tc>
          <w:tcPr>
            <w:tcW w:type="dxa" w:w="2448"/>
            <w:vAlign w:val="top"/>
            <w:shd w:fill="F8FAFC"/>
            <w:tcBorders>
              <w:top w:val="single" w:sz="4" w:color="CBD5E1"/>
              <w:left w:val="single" w:sz="4" w:color="CBD5E1"/>
              <w:bottom w:val="single" w:sz="4" w:color="CBD5E1"/>
              <w:right w:val="single" w:sz="4" w:color="CBD5E1"/>
            </w:tcBorders>
          </w:tcPr>
          <w:p>
            <w:r>
              <w:rPr>
                <w:color w:val="1E293B"/>
                <w:sz w:val="16"/>
              </w:rPr>
              <w:t>New product with no proven retention; onboarding and integrations require effort</w:t>
            </w:r>
          </w:p>
        </w:tc>
        <w:tc>
          <w:tcPr>
            <w:tcW w:type="dxa" w:w="2448"/>
            <w:vAlign w:val="top"/>
            <w:shd w:fill="F8FAFC"/>
            <w:tcBorders>
              <w:top w:val="single" w:sz="4" w:color="CBD5E1"/>
              <w:left w:val="single" w:sz="4" w:color="CBD5E1"/>
              <w:bottom w:val="single" w:sz="4" w:color="CBD5E1"/>
              <w:right w:val="single" w:sz="4" w:color="CBD5E1"/>
            </w:tcBorders>
          </w:tcPr>
          <w:p>
            <w:r>
              <w:rPr>
                <w:color w:val="1E293B"/>
                <w:sz w:val="16"/>
              </w:rPr>
              <w:t>Pakistan-focused pilots; multilingual UX; integrations; portfolio management; analytics</w:t>
            </w:r>
          </w:p>
        </w:tc>
        <w:tc>
          <w:tcPr>
            <w:tcW w:type="dxa" w:w="2448"/>
            <w:vAlign w:val="top"/>
            <w:shd w:fill="F8FAFC"/>
            <w:tcBorders>
              <w:top w:val="single" w:sz="4" w:color="CBD5E1"/>
              <w:left w:val="single" w:sz="4" w:color="CBD5E1"/>
              <w:bottom w:val="single" w:sz="4" w:color="CBD5E1"/>
              <w:right w:val="single" w:sz="4" w:color="CBD5E1"/>
            </w:tcBorders>
          </w:tcPr>
          <w:p>
            <w:r>
              <w:rPr>
                <w:color w:val="1E293B"/>
                <w:sz w:val="16"/>
              </w:rPr>
              <w:t>Established local ERP vendors; strong community platforms; low resident adoption; privacy/security incidents; provider dependency</w:t>
            </w:r>
          </w:p>
        </w:tc>
      </w:tr>
    </w:tbl>
    <w:p>
      <w:pPr>
        <w:pStyle w:val="Heading1"/>
      </w:pPr>
      <w:r>
        <w:t>9. Key Risks from the Research</w:t>
      </w:r>
    </w:p>
    <w:p>
      <w:pPr>
        <w:pStyle w:val="ListBullet"/>
        <w:spacing w:after="60"/>
      </w:pPr>
      <w:r>
        <w:t>Category competition is real; “all-in-one society management” alone is not enough differentiation.</w:t>
      </w:r>
    </w:p>
    <w:p>
      <w:pPr>
        <w:pStyle w:val="ListBullet"/>
        <w:spacing w:after="60"/>
      </w:pPr>
      <w:r>
        <w:t>Resident adoption can be harder than management procurement, particularly where communities rely heavily on existing WhatsApp habits.</w:t>
      </w:r>
    </w:p>
    <w:p>
      <w:pPr>
        <w:pStyle w:val="ListBullet"/>
        <w:spacing w:after="60"/>
      </w:pPr>
      <w:r>
        <w:t>Financial modules create trust requirements beyond ordinary CRUD: adjustments, reversals, auditability and reconciliation matter.</w:t>
      </w:r>
    </w:p>
    <w:p>
      <w:pPr>
        <w:pStyle w:val="ListBullet"/>
        <w:spacing w:after="60"/>
      </w:pPr>
      <w:r>
        <w:t>Security and privacy are central to visitor/household data and should be product requirements from day one.</w:t>
      </w:r>
    </w:p>
    <w:p>
      <w:pPr>
        <w:pStyle w:val="ListBullet"/>
        <w:spacing w:after="60"/>
      </w:pPr>
      <w:r>
        <w:t>AI claims should remain narrow until real-world accuracy and usefulness are measured in shadow mode.</w:t>
      </w:r>
    </w:p>
    <w:p>
      <w:pPr>
        <w:pStyle w:val="Heading1"/>
      </w:pPr>
      <w:r>
        <w:t>10. Strategic Positioning Statement</w:t>
      </w:r>
    </w:p>
    <w:tbl>
      <w:tblPr>
        <w:tblW w:type="auto" w:w="0"/>
        <w:jc w:val="center"/>
        <w:tblLayout w:type="fixed"/>
        <w:tblLook w:firstColumn="1" w:firstRow="1" w:lastColumn="0" w:lastRow="0" w:noHBand="0" w:noVBand="1" w:val="04A0"/>
      </w:tblPr>
      <w:tblGrid>
        <w:gridCol w:w="9936"/>
      </w:tblGrid>
      <w:tr>
        <w:trPr>
          <w:cantSplit/>
        </w:trPr>
        <w:tc>
          <w:tcPr>
            <w:tcW w:type="dxa" w:w="9936"/>
            <w:shd w:fill="ECFEFF"/>
            <w:tcBorders>
              <w:top w:val="single" w:sz="8" w:color="14B8A6"/>
              <w:left w:val="single" w:sz="8" w:color="14B8A6"/>
              <w:bottom w:val="single" w:sz="8" w:color="14B8A6"/>
              <w:right w:val="single" w:sz="8" w:color="14B8A6"/>
            </w:tcBorders>
          </w:tcPr>
          <w:p>
            <w:r>
              <w:rPr>
                <w:b/>
                <w:color w:val="14B8A6"/>
                <w:sz w:val="20"/>
              </w:rPr>
              <w:t>Proposed positioning</w:t>
            </w:r>
          </w:p>
          <w:p>
            <w:pPr>
              <w:spacing w:before="40" w:after="0"/>
            </w:pPr>
            <w:r>
              <w:rPr>
                <w:sz w:val="20"/>
              </w:rPr>
              <w:t>SocietyOS is a premium, Pakistan-ready operating platform for residential communities that want one trusted system for residents, security, maintenance and management—without sacrificing clean UX, auditability or controlled AI assistance.</w:t>
            </w:r>
          </w:p>
        </w:tc>
      </w:tr>
    </w:tbl>
    <w:p>
      <w:pPr>
        <w:pStyle w:val="Heading1"/>
      </w:pPr>
      <w:r>
        <w:t>Sources &amp; Research References</w:t>
      </w:r>
    </w:p>
    <w:p>
      <w:r>
        <w:rPr>
          <w:b/>
          <w:sz w:val="19"/>
        </w:rPr>
        <w:t>SBP — Annual Payment Systems Review FY2024-25</w:t>
      </w:r>
      <w:r>
        <w:t xml:space="preserve"> — Primary source for FY25 digital payment figures. </w:t>
      </w:r>
      <w:r>
        <w:rPr>
          <w:color w:val="64748B"/>
          <w:sz w:val="17"/>
        </w:rPr>
        <w:t>https://www.sbp.org.pk/PS/PDF/Annual-Payment-Systems-Review-FY25.pdf</w:t>
      </w:r>
    </w:p>
    <w:p>
      <w:r>
        <w:rPr>
          <w:b/>
          <w:sz w:val="19"/>
        </w:rPr>
        <w:t>PBS — 2023 Census KP table</w:t>
      </w:r>
      <w:r>
        <w:t xml:space="preserve"> — Primary source for KP/Peshawar Division population context. </w:t>
      </w:r>
      <w:r>
        <w:rPr>
          <w:color w:val="64748B"/>
          <w:sz w:val="17"/>
        </w:rPr>
        <w:t>https://www.pbs.gov.pk/sites/default/files/population/2023/tables/kp/pcr/table_1.pdf</w:t>
      </w:r>
    </w:p>
    <w:p>
      <w:r>
        <w:rPr>
          <w:b/>
          <w:sz w:val="19"/>
        </w:rPr>
        <w:t>Manzhil Pakistan</w:t>
      </w:r>
      <w:r>
        <w:t xml:space="preserve"> — Publicly described Pakistan society-management features and WhatsApp/English/Urdu positioning. </w:t>
      </w:r>
      <w:r>
        <w:rPr>
          <w:color w:val="64748B"/>
          <w:sz w:val="17"/>
        </w:rPr>
        <w:t>https://www.manzhil.com/pakistan</w:t>
      </w:r>
    </w:p>
    <w:p>
      <w:r>
        <w:rPr>
          <w:b/>
          <w:sz w:val="19"/>
        </w:rPr>
        <w:t>Nizam Pakistan</w:t>
      </w:r>
      <w:r>
        <w:t xml:space="preserve"> — Publicly described Pakistan-focused billing, security, visitor and accounting features. </w:t>
      </w:r>
      <w:r>
        <w:rPr>
          <w:color w:val="64748B"/>
          <w:sz w:val="17"/>
        </w:rPr>
        <w:t>https://www.nizamco.com/pk</w:t>
      </w:r>
    </w:p>
    <w:p>
      <w:r>
        <w:rPr>
          <w:b/>
          <w:sz w:val="19"/>
        </w:rPr>
        <w:t>SocioNest Pakistan</w:t>
      </w:r>
      <w:r>
        <w:t xml:space="preserve"> — Publicly described society-management product features. </w:t>
      </w:r>
      <w:r>
        <w:rPr>
          <w:color w:val="64748B"/>
          <w:sz w:val="17"/>
        </w:rPr>
        <w:t>https://socionest.pk/society-management-software-pakistan</w:t>
      </w:r>
    </w:p>
    <w:p>
      <w:r>
        <w:rPr>
          <w:b/>
          <w:sz w:val="19"/>
        </w:rPr>
        <w:t>Hayat Tech — Housing Society Management</w:t>
      </w:r>
      <w:r>
        <w:t xml:space="preserve"> — Publicly described ERP feature breadth. </w:t>
      </w:r>
      <w:r>
        <w:rPr>
          <w:color w:val="64748B"/>
          <w:sz w:val="17"/>
        </w:rPr>
        <w:t>https://hayattech.com/products/housing-society-management</w:t>
      </w:r>
    </w:p>
    <w:p>
      <w:r>
        <w:rPr>
          <w:b/>
          <w:sz w:val="19"/>
        </w:rPr>
        <w:t>Mygate</w:t>
      </w:r>
      <w:r>
        <w:t xml:space="preserve"> — Community-management category benchmark. </w:t>
      </w:r>
      <w:r>
        <w:rPr>
          <w:color w:val="64748B"/>
          <w:sz w:val="17"/>
        </w:rPr>
        <w:t>https://mygate.com/</w:t>
      </w:r>
    </w:p>
    <w:p>
      <w:r>
        <w:rPr>
          <w:b/>
          <w:sz w:val="19"/>
        </w:rPr>
        <w:t>ADDA</w:t>
      </w:r>
      <w:r>
        <w:t xml:space="preserve"> — Apartment management category benchmark. </w:t>
      </w:r>
      <w:r>
        <w:rPr>
          <w:color w:val="64748B"/>
          <w:sz w:val="17"/>
        </w:rPr>
        <w:t>https://ind.adda.io/apartment-management-system</w:t>
      </w:r>
    </w:p>
    <w:p>
      <w:r>
        <w:rPr>
          <w:b/>
          <w:sz w:val="19"/>
        </w:rPr>
        <w:t>BuildingLink resident features</w:t>
      </w:r>
      <w:r>
        <w:t xml:space="preserve"> — Resident/property operations benchmark. </w:t>
      </w:r>
      <w:r>
        <w:rPr>
          <w:color w:val="64748B"/>
          <w:sz w:val="17"/>
        </w:rPr>
        <w:t>https://help-resident.buildinglink.com/en/support/solutions/articles/42000099088-buildinglink-features-for-residents</w:t>
      </w:r>
    </w:p>
    <w:p>
      <w:r>
        <w:rPr>
          <w:b/>
          <w:sz w:val="19"/>
        </w:rPr>
        <w:t>Wasooli.Online — Peshawar</w:t>
      </w:r>
      <w:r>
        <w:t xml:space="preserve"> — Example of locally targeted fee-collection positioning in Peshawar. </w:t>
      </w:r>
      <w:r>
        <w:rPr>
          <w:color w:val="64748B"/>
          <w:sz w:val="17"/>
        </w:rPr>
        <w:t>https://wasooli.online/town-society-fee-collection-software-in-peshawar</w:t>
      </w:r>
    </w:p>
    <w:p>
      <w:r>
        <w:rPr>
          <w:b/>
          <w:sz w:val="19"/>
        </w:rPr>
        <w:t>Google Play — myABDALIANS</w:t>
      </w:r>
      <w:r>
        <w:t xml:space="preserve"> — Example of a Pakistani society-specific resident app listing. </w:t>
      </w:r>
      <w:r>
        <w:rPr>
          <w:color w:val="64748B"/>
          <w:sz w:val="17"/>
        </w:rPr>
        <w:t>https://play.google.com/store/apps/details?id=com.nmsolutions.ABDALINS</w:t>
      </w:r>
    </w:p>
    <w:p>
      <w:r>
        <w:rPr>
          <w:b/>
          <w:sz w:val="19"/>
        </w:rPr>
        <w:t>Google Play — AACHS</w:t>
      </w:r>
      <w:r>
        <w:t xml:space="preserve"> — Example of another Pakistani housing society app listing. </w:t>
      </w:r>
      <w:r>
        <w:rPr>
          <w:color w:val="64748B"/>
          <w:sz w:val="17"/>
        </w:rPr>
        <w:t>https://play.google.com/store/apps/details?hl=en&amp;id=com.aachs.app</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t xml:space="preserve">SocietyOS  |  Confidential Working Document  •  </w:t>
    </w:r>
    <w:r>
      <w:fldChar w:fldCharType="begin"/>
      <w:instrText xml:space="preserve">PAGE</w:instrText>
      <w:fldChar w:fldCharType="end"/>
    </w:r>
    <w:r>
      <w:rPr>
        <w:color w:val="64748B"/>
        <w:sz w:val="16"/>
      </w:rPr>
      <w:t xml:space="preserve">  |  Sept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64748B"/>
        <w:sz w:val="16"/>
      </w:rPr>
      <w:t>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4B8A6"/>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172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rFonts w:ascii="Aptos" w:hAnsi="Aptos"/>
      <w:color w:val="64748B"/>
      <w:sz w:val="17"/>
    </w:rPr>
  </w:style>
  <w:style w:type="paragraph" w:customStyle="1" w:styleId="Callout">
    <w:name w:val="Callout"/>
    <w:basedOn w:val="Normal"/>
    <w:rPr>
      <w:rFonts w:ascii="Aptos" w:hAnsi="Aptos"/>
      <w:color w:val="1E293B"/>
      <w:sz w:val="22"/>
    </w:rPr>
  </w:style>
  <w:style w:type="paragraph" w:customStyle="1" w:styleId="Label">
    <w:name w:val="Label"/>
    <w:basedOn w:val="Normal"/>
    <w:rPr>
      <w:rFonts w:ascii="Aptos" w:hAnsi="Aptos"/>
      <w:color w:val="14B8A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