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22620"/>
          <w:sz w:val="48"/>
        </w:rPr>
        <w:t>Tijara Suite Screenshot User Guide</w:t>
      </w:r>
    </w:p>
    <w:p>
      <w:pPr>
        <w:spacing w:after="240"/>
      </w:pPr>
      <w:r>
        <w:rPr>
          <w:i/>
        </w:rPr>
        <w:t>Live local Odoo walkthrough for POS, kiosk, displays, inventory, back office, SaaS controls, analytics, and production evidence.</w:t>
      </w:r>
    </w:p>
    <w:p>
      <w:pPr>
        <w:pStyle w:val="Heading1"/>
      </w:pPr>
      <w:r>
        <w:t>Live Verification Snapshot</w:t>
      </w:r>
    </w:p>
    <w:p>
      <w:pPr>
        <w:pStyle w:val="ListBullet"/>
        <w:spacing w:after="80"/>
      </w:pPr>
      <w:r>
        <w:t>Database: tijara_dev</w:t>
      </w:r>
    </w:p>
    <w:p>
      <w:pPr>
        <w:pStyle w:val="ListBullet"/>
        <w:spacing w:after="80"/>
      </w:pPr>
      <w:r>
        <w:t>Localization: Pakistan country, PKR currency, GST 18% sales tax verified</w:t>
      </w:r>
    </w:p>
    <w:p>
      <w:pPr>
        <w:pStyle w:val="ListBullet"/>
        <w:spacing w:after="80"/>
      </w:pPr>
      <w:r>
        <w:t>Demo users: seeded from docs/TEST_CREDENTIALS.csv</w:t>
      </w:r>
    </w:p>
    <w:p>
      <w:pPr>
        <w:pStyle w:val="ListBullet"/>
        <w:spacing w:after="80"/>
      </w:pPr>
      <w:r>
        <w:t>Screenshot source: docs/screenshots/INDEX.md</w:t>
      </w:r>
    </w:p>
    <w:p>
      <w:pPr>
        <w:pStyle w:val="Heading1"/>
      </w:pPr>
      <w:r>
        <w:t>Demo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Login</w:t>
            </w:r>
          </w:p>
        </w:tc>
        <w:tc>
          <w:tcPr>
            <w:tcW w:type="dxa" w:w="3360"/>
          </w:tcPr>
          <w:p>
            <w:r>
              <w:t>Primary use</w:t>
            </w:r>
          </w:p>
        </w:tc>
      </w:tr>
      <w:tr>
        <w:tc>
          <w:tcPr>
            <w:tcW w:type="dxa" w:w="3360"/>
          </w:tcPr>
          <w:p>
            <w:r>
              <w:t>platform_superadmin</w:t>
            </w:r>
          </w:p>
        </w:tc>
        <w:tc>
          <w:tcPr>
            <w:tcW w:type="dxa" w:w="3360"/>
          </w:tcPr>
          <w:p>
            <w:r>
              <w:t>superadmin@demo.tijara-suite.local</w:t>
            </w:r>
          </w:p>
        </w:tc>
        <w:tc>
          <w:tcPr>
            <w:tcW w:type="dxa" w:w="3360"/>
          </w:tcPr>
          <w:p>
            <w:r>
              <w:t>Provision tenants, control SaaS plans, review protected release evidence, and manage platform configuration.</w:t>
            </w:r>
          </w:p>
        </w:tc>
      </w:tr>
      <w:tr>
        <w:tc>
          <w:tcPr>
            <w:tcW w:type="dxa" w:w="3360"/>
          </w:tcPr>
          <w:p>
            <w:r>
              <w:t>tenant_admin</w:t>
            </w:r>
          </w:p>
        </w:tc>
        <w:tc>
          <w:tcPr>
            <w:tcW w:type="dxa" w:w="3360"/>
          </w:tcPr>
          <w:p>
            <w:r>
              <w:t>tenant-admin@demo.tijara-suite.local</w:t>
            </w:r>
          </w:p>
        </w:tc>
        <w:tc>
          <w:tcPr>
            <w:tcW w:type="dxa" w:w="3360"/>
          </w:tcPr>
          <w:p>
            <w:r>
              <w:t>Configure company settings, feature flags, staff access, POS hardware, receipt templates, dashboards, and approvals.</w:t>
            </w:r>
          </w:p>
        </w:tc>
      </w:tr>
      <w:tr>
        <w:tc>
          <w:tcPr>
            <w:tcW w:type="dxa" w:w="3360"/>
          </w:tcPr>
          <w:p>
            <w:r>
              <w:t>cashier</w:t>
            </w:r>
          </w:p>
        </w:tc>
        <w:tc>
          <w:tcPr>
            <w:tcW w:type="dxa" w:w="3360"/>
          </w:tcPr>
          <w:p>
            <w:r>
              <w:t>cashier@demo.tijara-suite.local</w:t>
            </w:r>
          </w:p>
        </w:tc>
        <w:tc>
          <w:tcPr>
            <w:tcW w:type="dxa" w:w="3360"/>
          </w:tcPr>
          <w:p>
            <w:r>
              <w:t>Run B2C/B2B checkout, bill discounts, barcode refund scans, receipt print, and offline queue retry.</w:t>
            </w:r>
          </w:p>
        </w:tc>
      </w:tr>
      <w:tr>
        <w:tc>
          <w:tcPr>
            <w:tcW w:type="dxa" w:w="3360"/>
          </w:tcPr>
          <w:p>
            <w:r>
              <w:t>inventory_manager</w:t>
            </w:r>
          </w:p>
        </w:tc>
        <w:tc>
          <w:tcPr>
            <w:tcW w:type="dxa" w:w="3360"/>
          </w:tcPr>
          <w:p>
            <w:r>
              <w:t>inventory-manager@demo.tijara-suite.local</w:t>
            </w:r>
          </w:p>
        </w:tc>
        <w:tc>
          <w:tcPr>
            <w:tcW w:type="dxa" w:w="3360"/>
          </w:tcPr>
          <w:p>
            <w:r>
              <w:t>Maintain products, low-stock/expiry alerts, racks, shelves, bins, warehouses, and bulk import/export.</w:t>
            </w:r>
          </w:p>
        </w:tc>
      </w:tr>
      <w:tr>
        <w:tc>
          <w:tcPr>
            <w:tcW w:type="dxa" w:w="3360"/>
          </w:tcPr>
          <w:p>
            <w:r>
              <w:t>accountant</w:t>
            </w:r>
          </w:p>
        </w:tc>
        <w:tc>
          <w:tcPr>
            <w:tcW w:type="dxa" w:w="3360"/>
          </w:tcPr>
          <w:p>
            <w:r>
              <w:t>accountant@demo.tijara-suite.local</w:t>
            </w:r>
          </w:p>
        </w:tc>
        <w:tc>
          <w:tcPr>
            <w:tcW w:type="dxa" w:w="3360"/>
          </w:tcPr>
          <w:p>
            <w:r>
              <w:t>Review settlements, refunds, chargebacks, draft accounting moves, and FBR queue evidence.</w:t>
            </w:r>
          </w:p>
        </w:tc>
      </w:tr>
      <w:tr>
        <w:tc>
          <w:tcPr>
            <w:tcW w:type="dxa" w:w="3360"/>
          </w:tcPr>
          <w:p>
            <w:r>
              <w:t>restaurant_operator</w:t>
            </w:r>
          </w:p>
        </w:tc>
        <w:tc>
          <w:tcPr>
            <w:tcW w:type="dxa" w:w="3360"/>
          </w:tcPr>
          <w:p>
            <w:r>
              <w:t>restaurant@demo.tijara-suite.local</w:t>
            </w:r>
          </w:p>
        </w:tc>
        <w:tc>
          <w:tcPr>
            <w:tcW w:type="dxa" w:w="3360"/>
          </w:tcPr>
          <w:p>
            <w:r>
              <w:t>Operate dine-in, takeaway, pickup, kiosk orders, queue tickets, kitchen status, menu boards, and pickup screens.</w:t>
            </w:r>
          </w:p>
        </w:tc>
      </w:tr>
      <w:tr>
        <w:tc>
          <w:tcPr>
            <w:tcW w:type="dxa" w:w="3360"/>
          </w:tcPr>
          <w:p>
            <w:r>
              <w:t>public_display</w:t>
            </w:r>
          </w:p>
        </w:tc>
        <w:tc>
          <w:tcPr>
            <w:tcW w:type="dxa" w:w="3360"/>
          </w:tcPr>
          <w:p>
            <w:r>
              <w:t>public-display@demo.tijara-suite.local</w:t>
            </w:r>
          </w:p>
        </w:tc>
        <w:tc>
          <w:tcPr>
            <w:tcW w:type="dxa" w:w="3360"/>
          </w:tcPr>
          <w:p>
            <w:r>
              <w:t>Run public display routes for kiosk, customer display, queue, menu, deals, and promotions.</w:t>
            </w:r>
          </w:p>
        </w:tc>
      </w:tr>
    </w:tbl>
    <w:p>
      <w:r>
        <w:br w:type="page"/>
      </w:r>
    </w:p>
    <w:p>
      <w:pPr>
        <w:pStyle w:val="Heading1"/>
      </w:pPr>
      <w:r>
        <w:t>Screenshot Walkthrough</w:t>
      </w:r>
    </w:p>
    <w:p>
      <w:pPr>
        <w:pStyle w:val="Heading2"/>
      </w:pPr>
      <w:r>
        <w:t>1. Login And Authenticated App Shell</w:t>
      </w:r>
    </w:p>
    <w:p>
      <w:r>
        <w:t>Start from the Odoo login page, select the `tijara_dev` database when prompted, and sign in with the role account assigned to your workflow.</w:t>
      </w:r>
    </w:p>
    <w:p>
      <w:r>
        <w:drawing>
          <wp:inline xmlns:a="http://schemas.openxmlformats.org/drawingml/2006/main" xmlns:pic="http://schemas.openxmlformats.org/drawingml/2006/picture">
            <wp:extent cx="603504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oo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55555"/>
          <w:sz w:val="18"/>
        </w:rPr>
        <w:t>Figure 1: Login And Authenticated App Shell captured from live local Odoo.</w:t>
      </w:r>
    </w:p>
    <w:p>
      <w:pPr>
        <w:pStyle w:val="ListNumber"/>
        <w:spacing w:after="80"/>
      </w:pPr>
      <w:r>
        <w:t>Open `http://localhost:8069/web/login?db=tijara_dev`.</w:t>
      </w:r>
    </w:p>
    <w:p>
      <w:pPr>
        <w:pStyle w:val="ListNumber"/>
        <w:spacing w:after="80"/>
      </w:pPr>
      <w:r>
        <w:t>Use the role account from `docs/TEST_CREDENTIALS.csv`.</w:t>
      </w:r>
    </w:p>
    <w:p>
      <w:pPr>
        <w:pStyle w:val="ListNumber"/>
        <w:spacing w:after="80"/>
      </w:pPr>
      <w:r>
        <w:t>After login, confirm the top Odoo navigation and company switcher are visible.</w:t>
      </w:r>
    </w:p>
    <w:p>
      <w:pPr>
        <w:pStyle w:val="Heading2"/>
      </w:pPr>
      <w:r>
        <w:t>2. Back Office App Shell</w:t>
      </w:r>
    </w:p>
    <w:p>
      <w:r>
        <w:t>The authenticated Odoo shell is the entry point for Apps, POS, Inventory, Sales, Purchases, Accounting, SaaS control, analytics, and configuration menus.</w:t>
      </w:r>
    </w:p>
    <w:p>
      <w:r>
        <w:drawing>
          <wp:inline xmlns:a="http://schemas.openxmlformats.org/drawingml/2006/main" xmlns:pic="http://schemas.openxmlformats.org/drawingml/2006/picture">
            <wp:extent cx="603504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oo-app-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55555"/>
          <w:sz w:val="18"/>
        </w:rPr>
        <w:t>Figure 2: Back Office App Shell captured from live local Odoo.</w:t>
      </w:r>
    </w:p>
    <w:p>
      <w:pPr>
        <w:pStyle w:val="ListNumber"/>
        <w:spacing w:after="80"/>
      </w:pPr>
      <w:r>
        <w:t>Use the app switcher to open the required module.</w:t>
      </w:r>
    </w:p>
    <w:p>
      <w:pPr>
        <w:pStyle w:val="ListNumber"/>
        <w:spacing w:after="80"/>
      </w:pPr>
      <w:r>
        <w:t>Use role-specific menus for daily work and manager approvals.</w:t>
      </w:r>
    </w:p>
    <w:p>
      <w:pPr>
        <w:pStyle w:val="ListNumber"/>
        <w:spacing w:after="80"/>
      </w:pPr>
      <w:r>
        <w:t>Keep demo operations in the local `tijara_dev` database.</w:t>
      </w:r>
    </w:p>
    <w:p>
      <w:r>
        <w:br w:type="page"/>
      </w:r>
    </w:p>
    <w:p>
      <w:pPr>
        <w:pStyle w:val="Heading2"/>
      </w:pPr>
      <w:r>
        <w:t>3. Kiosk Self Ordering</w:t>
      </w:r>
    </w:p>
    <w:p>
      <w:r>
        <w:t>The kiosk route supports dine-in, takeaway, pickup, B2C/B2B pricing, PKR prices, customer details, payment selection, and checkout.</w:t>
      </w:r>
    </w:p>
    <w:p>
      <w:r>
        <w:drawing>
          <wp:inline xmlns:a="http://schemas.openxmlformats.org/drawingml/2006/main" xmlns:pic="http://schemas.openxmlformats.org/drawingml/2006/picture">
            <wp:extent cx="603504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osk-disp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55555"/>
          <w:sz w:val="18"/>
        </w:rPr>
        <w:t>Figure 3: Kiosk Self Ordering captured from live local Odoo.</w:t>
      </w:r>
    </w:p>
    <w:p>
      <w:pPr>
        <w:pStyle w:val="ListNumber"/>
        <w:spacing w:after="80"/>
      </w:pPr>
      <w:r>
        <w:t>Open `/tijara/display/tijara-demo-kiosk?db=tijara_dev` on a kiosk or tablet.</w:t>
      </w:r>
    </w:p>
    <w:p>
      <w:pPr>
        <w:pStyle w:val="ListNumber"/>
        <w:spacing w:after="80"/>
      </w:pPr>
      <w:r>
        <w:t>Choose the service mode and customer type.</w:t>
      </w:r>
    </w:p>
    <w:p>
      <w:pPr>
        <w:pStyle w:val="ListNumber"/>
        <w:spacing w:after="80"/>
      </w:pPr>
      <w:r>
        <w:t>Tap products to add them to the cart, enter customer details when needed, and press Checkout.</w:t>
      </w:r>
    </w:p>
    <w:p>
      <w:pPr>
        <w:pStyle w:val="Heading2"/>
      </w:pPr>
      <w:r>
        <w:t>4. Customer Display</w:t>
      </w:r>
    </w:p>
    <w:p>
      <w:r>
        <w:t>The customer-facing display shows the live order reference, item lines, quantities, PKR subtotal, discount, tax, and total.</w:t>
      </w:r>
    </w:p>
    <w:p>
      <w:r>
        <w:drawing>
          <wp:inline xmlns:a="http://schemas.openxmlformats.org/drawingml/2006/main" xmlns:pic="http://schemas.openxmlformats.org/drawingml/2006/picture">
            <wp:extent cx="603504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dis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55555"/>
          <w:sz w:val="18"/>
        </w:rPr>
        <w:t>Figure 4: Customer Display captured from live local Odoo.</w:t>
      </w:r>
    </w:p>
    <w:p>
      <w:pPr>
        <w:pStyle w:val="ListNumber"/>
        <w:spacing w:after="80"/>
      </w:pPr>
      <w:r>
        <w:t>Open `/tijara/display/tijara-demo-customer-display?db=tijara_dev` on the customer-side display.</w:t>
      </w:r>
    </w:p>
    <w:p>
      <w:pPr>
        <w:pStyle w:val="ListNumber"/>
        <w:spacing w:after="80"/>
      </w:pPr>
      <w:r>
        <w:t>Keep it full screen near the POS counter.</w:t>
      </w:r>
    </w:p>
    <w:p>
      <w:pPr>
        <w:pStyle w:val="ListNumber"/>
        <w:spacing w:after="80"/>
      </w:pPr>
      <w:r>
        <w:t>Use it to verify cart lines, discounts, GST, and totals with the customer before payment.</w:t>
      </w:r>
    </w:p>
    <w:p>
      <w:r>
        <w:br w:type="page"/>
      </w:r>
    </w:p>
    <w:p>
      <w:pPr>
        <w:pStyle w:val="Heading2"/>
      </w:pPr>
      <w:r>
        <w:t>5. Queue Display</w:t>
      </w:r>
    </w:p>
    <w:p>
      <w:r>
        <w:t>The queue display shows waiting, preparing, ready, and called tickets in large, readable cards for restaurant, bakery, and pickup counters.</w:t>
      </w:r>
    </w:p>
    <w:p>
      <w:r>
        <w:drawing>
          <wp:inline xmlns:a="http://schemas.openxmlformats.org/drawingml/2006/main" xmlns:pic="http://schemas.openxmlformats.org/drawingml/2006/picture">
            <wp:extent cx="603504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-disp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55555"/>
          <w:sz w:val="18"/>
        </w:rPr>
        <w:t>Figure 5: Queue Display captured from live local Odoo.</w:t>
      </w:r>
    </w:p>
    <w:p>
      <w:pPr>
        <w:pStyle w:val="ListNumber"/>
        <w:spacing w:after="80"/>
      </w:pPr>
      <w:r>
        <w:t>Open `/tijara/display/tijara-demo-queue-display?db=tijara_dev` on a public screen.</w:t>
      </w:r>
    </w:p>
    <w:p>
      <w:pPr>
        <w:pStyle w:val="ListNumber"/>
        <w:spacing w:after="80"/>
      </w:pPr>
      <w:r>
        <w:t>Use queue tickets from kiosk or POS orders.</w:t>
      </w:r>
    </w:p>
    <w:p>
      <w:pPr>
        <w:pStyle w:val="ListNumber"/>
        <w:spacing w:after="80"/>
      </w:pPr>
      <w:r>
        <w:t>Advance ticket state from the operator workflow so the display reflects pickup readiness.</w:t>
      </w:r>
    </w:p>
    <w:p>
      <w:pPr>
        <w:pStyle w:val="Heading2"/>
      </w:pPr>
      <w:r>
        <w:t>6. Menu Board</w:t>
      </w:r>
    </w:p>
    <w:p>
      <w:r>
        <w:t>The menu board displays active menu items and promotions for restaurant, bakery, and food-service verticals.</w:t>
      </w:r>
    </w:p>
    <w:p>
      <w:r>
        <w:drawing>
          <wp:inline xmlns:a="http://schemas.openxmlformats.org/drawingml/2006/main" xmlns:pic="http://schemas.openxmlformats.org/drawingml/2006/picture">
            <wp:extent cx="603504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-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55555"/>
          <w:sz w:val="18"/>
        </w:rPr>
        <w:t>Figure 6: Menu Board captured from live local Odoo.</w:t>
      </w:r>
    </w:p>
    <w:p>
      <w:pPr>
        <w:pStyle w:val="ListNumber"/>
        <w:spacing w:after="80"/>
      </w:pPr>
      <w:r>
        <w:t>Open `/tijara/display/tijara-demo-menu-board?db=tijara_dev`.</w:t>
      </w:r>
    </w:p>
    <w:p>
      <w:pPr>
        <w:pStyle w:val="ListNumber"/>
        <w:spacing w:after="80"/>
      </w:pPr>
      <w:r>
        <w:t>Maintain menu items, Urdu/English names, and prices in display content or products.</w:t>
      </w:r>
    </w:p>
    <w:p>
      <w:pPr>
        <w:pStyle w:val="ListNumber"/>
        <w:spacing w:after="80"/>
      </w:pPr>
      <w:r>
        <w:t>Use active start/end dates for timed menu or campaign changes.</w:t>
      </w:r>
    </w:p>
    <w:p>
      <w:pPr>
        <w:pStyle w:val="Heading2"/>
      </w:pPr>
      <w:r>
        <w:t>7. Deals And Promotions Board</w:t>
      </w:r>
    </w:p>
    <w:p>
      <w:r>
        <w:t>The deals board highlights discount campaigns and promotion messages for in-store screens.</w:t>
      </w:r>
    </w:p>
    <w:p>
      <w:r>
        <w:drawing>
          <wp:inline xmlns:a="http://schemas.openxmlformats.org/drawingml/2006/main" xmlns:pic="http://schemas.openxmlformats.org/drawingml/2006/picture">
            <wp:extent cx="6035040" cy="3771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ls-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</w:pPr>
      <w:r>
        <w:rPr>
          <w:i/>
          <w:color w:val="555555"/>
          <w:sz w:val="18"/>
        </w:rPr>
        <w:t>Figure 7: Deals And Promotions Board captured from live local Odoo.</w:t>
      </w:r>
    </w:p>
    <w:p>
      <w:pPr>
        <w:pStyle w:val="ListNumber"/>
        <w:spacing w:after="80"/>
      </w:pPr>
      <w:r>
        <w:t>Open `/tijara/display/tijara-demo-deals-board?db=tijara_dev`.</w:t>
      </w:r>
    </w:p>
    <w:p>
      <w:pPr>
        <w:pStyle w:val="ListNumber"/>
        <w:spacing w:after="80"/>
      </w:pPr>
      <w:r>
        <w:t>Create promotions with display visibility enabled.</w:t>
      </w:r>
    </w:p>
    <w:p>
      <w:pPr>
        <w:pStyle w:val="ListNumber"/>
        <w:spacing w:after="80"/>
      </w:pPr>
      <w:r>
        <w:t>Review price, discount, and availability before running the campaign in store.</w:t>
      </w:r>
    </w:p>
    <w:p>
      <w:r>
        <w:br w:type="page"/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Workflow Checklist</w:t>
      </w:r>
    </w:p>
    <w:p>
      <w:pPr>
        <w:pStyle w:val="Heading2"/>
      </w:pPr>
      <w:r>
        <w:t>POS Checkout, Discounts, Refunds, And Print</w:t>
      </w:r>
    </w:p>
    <w:p>
      <w:pPr>
        <w:pStyle w:val="ListBullet"/>
        <w:spacing w:after="80"/>
      </w:pPr>
      <w:r>
        <w:t>Open POS from the app shell and select the active Tijara Demo POS session.</w:t>
      </w:r>
    </w:p>
    <w:p>
      <w:pPr>
        <w:pStyle w:val="ListBullet"/>
        <w:spacing w:after="80"/>
      </w:pPr>
      <w:r>
        <w:t>Choose B2C or B2B when the feature is enabled for the tenant.</w:t>
      </w:r>
    </w:p>
    <w:p>
      <w:pPr>
        <w:pStyle w:val="ListBullet"/>
        <w:spacing w:after="80"/>
      </w:pPr>
      <w:r>
        <w:t>Add products by search, barcode scanner, QR scanner, or touch product cards.</w:t>
      </w:r>
    </w:p>
    <w:p>
      <w:pPr>
        <w:pStyle w:val="ListBullet"/>
        <w:spacing w:after="80"/>
      </w:pPr>
      <w:r>
        <w:t>Apply an overall bill discount by percentage or amount; the paired value recalculates automatically.</w:t>
      </w:r>
    </w:p>
    <w:p>
      <w:pPr>
        <w:pStyle w:val="ListBullet"/>
        <w:spacing w:after="80"/>
      </w:pPr>
      <w:r>
        <w:t>Take payment, validate the sale, print the receipt, and use the receipt barcode for future refund/exchange lookup.</w:t>
      </w:r>
    </w:p>
    <w:p>
      <w:pPr>
        <w:pStyle w:val="Heading2"/>
      </w:pPr>
      <w:r>
        <w:t>Inventory, Expiry, Shelves, And Bulk Data</w:t>
      </w:r>
    </w:p>
    <w:p>
      <w:pPr>
        <w:pStyle w:val="ListBullet"/>
        <w:spacing w:after="80"/>
      </w:pPr>
      <w:r>
        <w:t>Use product forms for B2C/B2B prices, Urdu names, GST category, barcode aliases, and quick-sale flags.</w:t>
      </w:r>
    </w:p>
    <w:p>
      <w:pPr>
        <w:pStyle w:val="ListBullet"/>
        <w:spacing w:after="80"/>
      </w:pPr>
      <w:r>
        <w:t>Use inventory intelligence for low-stock alerts, expiry alerts, warehouses, store rooms, racks, shelves, and bins.</w:t>
      </w:r>
    </w:p>
    <w:p>
      <w:pPr>
        <w:pStyle w:val="ListBullet"/>
        <w:spacing w:after="80"/>
      </w:pPr>
      <w:r>
        <w:t>Use CSV import/export for products, prices, stock, contacts, hardware devices, receipt templates, storage positions, and promotions.</w:t>
      </w:r>
    </w:p>
    <w:p>
      <w:pPr>
        <w:pStyle w:val="ListBullet"/>
        <w:spacing w:after="80"/>
      </w:pPr>
      <w:r>
        <w:t>Review import validation messages before applying data to a tenant database.</w:t>
      </w:r>
    </w:p>
    <w:p>
      <w:pPr>
        <w:pStyle w:val="Heading2"/>
      </w:pPr>
      <w:r>
        <w:t>Restaurant, Bakery, And Pickup Operations</w:t>
      </w:r>
    </w:p>
    <w:p>
      <w:pPr>
        <w:pStyle w:val="ListBullet"/>
        <w:spacing w:after="80"/>
      </w:pPr>
      <w:r>
        <w:t>Use dine-in, takeaway, and pickup modes on kiosk or POS flows.</w:t>
      </w:r>
    </w:p>
    <w:p>
      <w:pPr>
        <w:pStyle w:val="ListBullet"/>
        <w:spacing w:after="80"/>
      </w:pPr>
      <w:r>
        <w:t>Send kiosk orders into queue tickets and linked POS payments when the profile has a POS register and payment method.</w:t>
      </w:r>
    </w:p>
    <w:p>
      <w:pPr>
        <w:pStyle w:val="ListBullet"/>
        <w:spacing w:after="80"/>
      </w:pPr>
      <w:r>
        <w:t>Use queue display for public ticket status and kitchen/operator views for preparation stages.</w:t>
      </w:r>
    </w:p>
    <w:p>
      <w:pPr>
        <w:pStyle w:val="ListBullet"/>
        <w:spacing w:after="80"/>
      </w:pPr>
      <w:r>
        <w:t>Use menu and deals boards for active promotions, food menus, bakery offers, and pickup announcements.</w:t>
      </w:r>
    </w:p>
    <w:p>
      <w:pPr>
        <w:pStyle w:val="Heading2"/>
      </w:pPr>
      <w:r>
        <w:t>SaaS Controls And Tenant Operations</w:t>
      </w:r>
    </w:p>
    <w:p>
      <w:pPr>
        <w:pStyle w:val="ListBullet"/>
        <w:spacing w:after="80"/>
      </w:pPr>
      <w:r>
        <w:t>Enable or disable B2B sales, queue display, promotion display, customer display, kiosk, and vertical packs by tenant plan.</w:t>
      </w:r>
    </w:p>
    <w:p>
      <w:pPr>
        <w:pStyle w:val="ListBullet"/>
        <w:spacing w:after="80"/>
      </w:pPr>
      <w:r>
        <w:t>Use tenant provisioning manifests for DNS, ingress, admin bootstrap, backup, monitoring, and smoke evidence.</w:t>
      </w:r>
    </w:p>
    <w:p>
      <w:pPr>
        <w:pStyle w:val="ListBullet"/>
        <w:spacing w:after="80"/>
      </w:pPr>
      <w:r>
        <w:t>Keep secrets in `secrets/.env.secrets`; keep non-secret runtime configuration in `.env` and deploy templates.</w:t>
      </w:r>
    </w:p>
    <w:p>
      <w:pPr>
        <w:pStyle w:val="Heading2"/>
      </w:pPr>
      <w:r>
        <w:t>Payments, FBR, Analytics, And Production Evidence</w:t>
      </w:r>
    </w:p>
    <w:p>
      <w:pPr>
        <w:pStyle w:val="ListBullet"/>
        <w:spacing w:after="80"/>
      </w:pPr>
      <w:r>
        <w:t>Use payment provider records for JazzCash, Easypaisa, Stripe, generic/manual webhooks, settlement imports, refunds, and chargebacks.</w:t>
      </w:r>
    </w:p>
    <w:p>
      <w:pPr>
        <w:pStyle w:val="ListBullet"/>
        <w:spacing w:after="80"/>
      </w:pPr>
      <w:r>
        <w:t>Use FBR queue records for dry-run/live adapter evidence until certified-provider credentials are available.</w:t>
      </w:r>
    </w:p>
    <w:p>
      <w:pPr>
        <w:pStyle w:val="ListBullet"/>
        <w:spacing w:after="80"/>
      </w:pPr>
      <w:r>
        <w:t>Use analytics dashboards for POS, inventory, queue, promotions, trends, history, KPI snapshots, charts, and report catalogs.</w:t>
      </w:r>
    </w:p>
    <w:p>
      <w:pPr>
        <w:pStyle w:val="ListBullet"/>
        <w:spacing w:after="80"/>
      </w:pPr>
      <w:r>
        <w:t>Use protected release evidence, security scans, monitoring evidence, backups, restore drills, and load tests before production sign-off.</w:t>
      </w:r>
    </w:p>
    <w:p>
      <w:pPr>
        <w:pStyle w:val="Heading1"/>
      </w:pPr>
      <w:r>
        <w:t>Production Readiness Notes</w:t>
      </w:r>
    </w:p>
    <w:p>
      <w:pPr>
        <w:pStyle w:val="ListBullet"/>
        <w:spacing w:after="80"/>
      </w:pPr>
      <w:r>
        <w:t>Physical hardware certification still needs real printer, scanner, drawer, scale, and display evidence.</w:t>
      </w:r>
    </w:p>
    <w:p>
      <w:pPr>
        <w:pStyle w:val="ListBullet"/>
        <w:spacing w:after="80"/>
      </w:pPr>
      <w:r>
        <w:t>FBR live operation still needs certified-provider credentials and compliance sign-off.</w:t>
      </w:r>
    </w:p>
    <w:p>
      <w:pPr>
        <w:pStyle w:val="ListBullet"/>
        <w:spacing w:after="80"/>
      </w:pPr>
      <w:r>
        <w:t>Payment providers still need PSP certification, settlement reconciliation, refunds, and chargeback sign-off.</w:t>
      </w:r>
    </w:p>
    <w:p>
      <w:pPr>
        <w:pStyle w:val="ListBullet"/>
        <w:spacing w:after="80"/>
      </w:pPr>
      <w:r>
        <w:t>Full staging browser E2E should run against seeded users and real staging URLs before customer deployment.</w:t>
      </w:r>
    </w:p>
    <w:p>
      <w:pPr>
        <w:pStyle w:val="ListBullet"/>
        <w:spacing w:after="80"/>
      </w:pPr>
      <w:r>
        <w:t>Monitoring, alerting, restore drills, load tests, and security scans should be attached to release sign-off.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