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00" w:lineRule="auto"/>
      </w:pPr>
      <w:r>
        <w:rPr>
          <w:rFonts w:ascii="Calibri" w:hAnsi="Calibri"/>
          <w:b/>
          <w:i w:val="0"/>
          <w:color w:val="172033"/>
          <w:sz w:val="52"/>
        </w:rPr>
        <w:t>Tijara Suite</w:t>
      </w:r>
    </w:p>
    <w:p>
      <w:pPr>
        <w:spacing w:before="0" w:after="240" w:line="300" w:lineRule="auto"/>
      </w:pPr>
      <w:r>
        <w:rPr>
          <w:rFonts w:ascii="Calibri" w:hAnsi="Calibri"/>
          <w:b w:val="0"/>
          <w:i w:val="0"/>
          <w:color w:val="5C6A7C"/>
          <w:sz w:val="30"/>
        </w:rPr>
        <w:t>All-User Application Guide</w:t>
      </w:r>
    </w:p>
    <w:p>
      <w:pPr>
        <w:spacing w:before="0" w:after="24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For platform owners, tenant admins, cashiers, inventory teams, accountants, restaurant operators, display/kiosk operators, and business managers.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Local demo access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21"/>
              </w:rPr>
              <w:t>Open http://localhost:8069/web/login?db=tijara_dev. Credentials are listed in docs/TEST_CREDENTIALS.csv. Demo passwords are for local training only.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Item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Value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Project directory</w:t>
            </w:r>
          </w:p>
        </w:tc>
        <w:tc>
          <w:tcPr>
            <w:tcW w:type="dxa" w:w="68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/Users/adeel.arshad/Documents/Codex/2026-06-04/what-do-you-know-about-odoo/outputs/tijara-suite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Local URL</w:t>
            </w:r>
          </w:p>
        </w:tc>
        <w:tc>
          <w:tcPr>
            <w:tcW w:type="dxa" w:w="68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http://localhost:8069/web/login?db=tijara_dev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Database</w:t>
            </w:r>
          </w:p>
        </w:tc>
        <w:tc>
          <w:tcPr>
            <w:tcW w:type="dxa" w:w="68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tijara_dev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Start command</w:t>
            </w:r>
          </w:p>
        </w:tc>
        <w:tc>
          <w:tcPr>
            <w:tcW w:type="dxa" w:w="68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TIJARA_DEV_INSTALL_SUITE=1 TIJARA_DEV_SEED_POS_DEMO=1 bash scripts/dev-start.sh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Stop command</w:t>
            </w:r>
          </w:p>
        </w:tc>
        <w:tc>
          <w:tcPr>
            <w:tcW w:type="dxa" w:w="68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bash scripts/dev-stop.sh</w:t>
            </w:r>
          </w:p>
        </w:tc>
      </w:tr>
    </w:tbl>
    <w:p/>
    <w:p>
      <w:pPr>
        <w:spacing w:before="360" w:after="200" w:line="276" w:lineRule="auto"/>
      </w:pPr>
      <w:r>
        <w:rPr>
          <w:rFonts w:ascii="Calibri" w:hAnsi="Calibri"/>
          <w:b/>
          <w:i w:val="0"/>
          <w:color w:val="2E74B5"/>
          <w:sz w:val="32"/>
        </w:rPr>
        <w:t>1. What Tijara Suite Is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Tijara Suite is a Pakistan-focused retail and restaurant business platform built on Odoo Community. It supports POS, inventory, procurement, customers, suppliers, refunds, exchanges, restaurant dine-in/takeaway/pickup, kiosk, queue screens, customer display, promotion/menu/deal screens, analytics, hardware bridge readiness, and SaaS feature control.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72033"/>
          <w:sz w:val="22"/>
        </w:rPr>
        <w:t>Use it for superstores, groceries, bakeries, restaurants, pharmacies, garments, cloth, electronics, wholesale, and multi-branch retail.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72033"/>
          <w:sz w:val="22"/>
        </w:rPr>
        <w:t>Use B2C and B2B selling modes where the tenant plan allows them.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72033"/>
          <w:sz w:val="22"/>
        </w:rPr>
        <w:t>Use analytics and audit records to manage sales, stock, expiry, discounts, refunds, payments, and queue performance.</w:t>
      </w:r>
    </w:p>
    <w:p>
      <w:r>
        <w:br w:type="page"/>
      </w:r>
    </w:p>
    <w:p>
      <w:pPr>
        <w:spacing w:before="360" w:after="200" w:line="276" w:lineRule="auto"/>
      </w:pPr>
      <w:r>
        <w:rPr>
          <w:rFonts w:ascii="Calibri" w:hAnsi="Calibri"/>
          <w:b/>
          <w:i w:val="0"/>
          <w:color w:val="2E74B5"/>
          <w:sz w:val="32"/>
        </w:rPr>
        <w:t>2. Demo Users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1850"/>
        <w:gridCol w:w="3000"/>
        <w:gridCol w:w="2450"/>
        <w:gridCol w:w="2060"/>
      </w:tblGrid>
      <w:tr>
        <w:trPr>
          <w:tblHeader w:val="true"/>
        </w:trP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Role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Login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Password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Main use</w:t>
            </w:r>
          </w:p>
        </w:tc>
      </w:tr>
      <w:tr>
        <w:tc>
          <w:tcPr>
            <w:tcW w:type="dxa" w:w="1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Platform Superadmin</w:t>
            </w:r>
          </w:p>
        </w:tc>
        <w:tc>
          <w:tcPr>
            <w:tcW w:type="dxa" w:w="30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superadmin@demo.tijara-suite.local</w:t>
            </w:r>
          </w:p>
        </w:tc>
        <w:tc>
          <w:tcPr>
            <w:tcW w:type="dxa" w:w="24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Demo@Superadmin2024!</w:t>
            </w:r>
          </w:p>
        </w:tc>
        <w:tc>
          <w:tcPr>
            <w:tcW w:type="dxa" w:w="20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SaaS plans, tenants, settings, release evidence</w:t>
            </w:r>
          </w:p>
        </w:tc>
      </w:tr>
      <w:tr>
        <w:tc>
          <w:tcPr>
            <w:tcW w:type="dxa" w:w="1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Tenant Admin</w:t>
            </w:r>
          </w:p>
        </w:tc>
        <w:tc>
          <w:tcPr>
            <w:tcW w:type="dxa" w:w="30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tenant-admin@demo.tijara-suite.local</w:t>
            </w:r>
          </w:p>
        </w:tc>
        <w:tc>
          <w:tcPr>
            <w:tcW w:type="dxa" w:w="24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Demo@TenantAdmin2024!</w:t>
            </w:r>
          </w:p>
        </w:tc>
        <w:tc>
          <w:tcPr>
            <w:tcW w:type="dxa" w:w="20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Business setup, users, features, configuration</w:t>
            </w:r>
          </w:p>
        </w:tc>
      </w:tr>
      <w:tr>
        <w:tc>
          <w:tcPr>
            <w:tcW w:type="dxa" w:w="1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Cashier</w:t>
            </w:r>
          </w:p>
        </w:tc>
        <w:tc>
          <w:tcPr>
            <w:tcW w:type="dxa" w:w="30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cashier@demo.tijara-suite.local</w:t>
            </w:r>
          </w:p>
        </w:tc>
        <w:tc>
          <w:tcPr>
            <w:tcW w:type="dxa" w:w="24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Demo@Cashier2024!</w:t>
            </w:r>
          </w:p>
        </w:tc>
        <w:tc>
          <w:tcPr>
            <w:tcW w:type="dxa" w:w="20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POS checkout, refund, exchange, receipt printing</w:t>
            </w:r>
          </w:p>
        </w:tc>
      </w:tr>
      <w:tr>
        <w:tc>
          <w:tcPr>
            <w:tcW w:type="dxa" w:w="1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Inventory Manager</w:t>
            </w:r>
          </w:p>
        </w:tc>
        <w:tc>
          <w:tcPr>
            <w:tcW w:type="dxa" w:w="30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inventory-manager@demo.tijara-suite.local</w:t>
            </w:r>
          </w:p>
        </w:tc>
        <w:tc>
          <w:tcPr>
            <w:tcW w:type="dxa" w:w="24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Demo@InventoryManager2024!</w:t>
            </w:r>
          </w:p>
        </w:tc>
        <w:tc>
          <w:tcPr>
            <w:tcW w:type="dxa" w:w="20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Products, stock, racks, shelves, expiry alerts</w:t>
            </w:r>
          </w:p>
        </w:tc>
      </w:tr>
      <w:tr>
        <w:tc>
          <w:tcPr>
            <w:tcW w:type="dxa" w:w="1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Accountant</w:t>
            </w:r>
          </w:p>
        </w:tc>
        <w:tc>
          <w:tcPr>
            <w:tcW w:type="dxa" w:w="30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accountant@demo.tijara-suite.local</w:t>
            </w:r>
          </w:p>
        </w:tc>
        <w:tc>
          <w:tcPr>
            <w:tcW w:type="dxa" w:w="24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Demo@Accountant2024!</w:t>
            </w:r>
          </w:p>
        </w:tc>
        <w:tc>
          <w:tcPr>
            <w:tcW w:type="dxa" w:w="20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Invoices, settlements, refunds, FBR queue</w:t>
            </w:r>
          </w:p>
        </w:tc>
      </w:tr>
      <w:tr>
        <w:tc>
          <w:tcPr>
            <w:tcW w:type="dxa" w:w="1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Restaurant Operator</w:t>
            </w:r>
          </w:p>
        </w:tc>
        <w:tc>
          <w:tcPr>
            <w:tcW w:type="dxa" w:w="30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restaurant@demo.tijara-suite.local</w:t>
            </w:r>
          </w:p>
        </w:tc>
        <w:tc>
          <w:tcPr>
            <w:tcW w:type="dxa" w:w="24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Demo@Restaurant2024!</w:t>
            </w:r>
          </w:p>
        </w:tc>
        <w:tc>
          <w:tcPr>
            <w:tcW w:type="dxa" w:w="20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Dine-in, takeaway, pickup, queue, kiosk</w:t>
            </w:r>
          </w:p>
        </w:tc>
      </w:tr>
      <w:tr>
        <w:tc>
          <w:tcPr>
            <w:tcW w:type="dxa" w:w="1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Public Display</w:t>
            </w:r>
          </w:p>
        </w:tc>
        <w:tc>
          <w:tcPr>
            <w:tcW w:type="dxa" w:w="30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public-display@demo.tijara-suite.local</w:t>
            </w:r>
          </w:p>
        </w:tc>
        <w:tc>
          <w:tcPr>
            <w:tcW w:type="dxa" w:w="24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Demo@Display2024!</w:t>
            </w:r>
          </w:p>
        </w:tc>
        <w:tc>
          <w:tcPr>
            <w:tcW w:type="dxa" w:w="20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Display route checks; many screens are public</w:t>
            </w:r>
          </w:p>
        </w:tc>
      </w:tr>
    </w:tbl>
    <w:p/>
    <w:p>
      <w:pPr>
        <w:spacing w:before="360" w:after="200" w:line="276" w:lineRule="auto"/>
      </w:pPr>
      <w:r>
        <w:rPr>
          <w:rFonts w:ascii="Calibri" w:hAnsi="Calibri"/>
          <w:b/>
          <w:i w:val="0"/>
          <w:color w:val="2E74B5"/>
          <w:sz w:val="32"/>
        </w:rPr>
        <w:t>3. First Login Checklist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1100"/>
        <w:gridCol w:w="8260"/>
      </w:tblGrid>
      <w:tr>
        <w:trPr>
          <w:tblHeader w:val="true"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Step</w:t>
            </w:r>
          </w:p>
        </w:tc>
        <w:tc>
          <w:tcPr>
            <w:tcW w:type="dxa" w:w="8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Action</w:t>
            </w:r>
          </w:p>
        </w:tc>
      </w:tr>
      <w:tr>
        <w:tc>
          <w:tcPr>
            <w:tcW w:type="dxa" w:w="11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1</w:t>
            </w:r>
          </w:p>
        </w:tc>
        <w:tc>
          <w:tcPr>
            <w:tcW w:type="dxa" w:w="82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Open the local login URL and select database tijara_dev if prompted.</w:t>
            </w:r>
          </w:p>
        </w:tc>
      </w:tr>
      <w:tr>
        <w:tc>
          <w:tcPr>
            <w:tcW w:type="dxa" w:w="11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2</w:t>
            </w:r>
          </w:p>
        </w:tc>
        <w:tc>
          <w:tcPr>
            <w:tcW w:type="dxa" w:w="82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Enter the assigned email and password.</w:t>
            </w:r>
          </w:p>
        </w:tc>
      </w:tr>
      <w:tr>
        <w:tc>
          <w:tcPr>
            <w:tcW w:type="dxa" w:w="11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3</w:t>
            </w:r>
          </w:p>
        </w:tc>
        <w:tc>
          <w:tcPr>
            <w:tcW w:type="dxa" w:w="82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Confirm the Odoo dashboard loads.</w:t>
            </w:r>
          </w:p>
        </w:tc>
      </w:tr>
      <w:tr>
        <w:tc>
          <w:tcPr>
            <w:tcW w:type="dxa" w:w="11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4</w:t>
            </w:r>
          </w:p>
        </w:tc>
        <w:tc>
          <w:tcPr>
            <w:tcW w:type="dxa" w:w="82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Open the assigned app area: POS, Inventory, Tijara, Analytics, Restaurant, SaaS Control, or Accounting.</w:t>
            </w:r>
          </w:p>
        </w:tc>
      </w:tr>
      <w:tr>
        <w:tc>
          <w:tcPr>
            <w:tcW w:type="dxa" w:w="11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5</w:t>
            </w:r>
          </w:p>
        </w:tc>
        <w:tc>
          <w:tcPr>
            <w:tcW w:type="dxa" w:w="82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If the expected menu is missing, ask an admin to check groups and SaaS feature flags.</w:t>
            </w:r>
          </w:p>
        </w:tc>
      </w:tr>
    </w:tbl>
    <w:p/>
    <w:p>
      <w:pPr>
        <w:spacing w:before="360" w:after="200" w:line="276" w:lineRule="auto"/>
      </w:pPr>
      <w:r>
        <w:rPr>
          <w:rFonts w:ascii="Calibri" w:hAnsi="Calibri"/>
          <w:b/>
          <w:i w:val="0"/>
          <w:color w:val="2E74B5"/>
          <w:sz w:val="32"/>
        </w:rPr>
        <w:t>4. Platform Superadmin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Owns platform-level configuration, tenant readiness, release evidence, and production controls.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72033"/>
          <w:sz w:val="22"/>
        </w:rPr>
        <w:t>Manage SaaS plans, tenant readiness, feature flags, and platform settings.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72033"/>
          <w:sz w:val="22"/>
        </w:rPr>
        <w:t>Review protected release evidence, certification status, operations reports, and security/DevOps readiness.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72033"/>
          <w:sz w:val="22"/>
        </w:rPr>
        <w:t>Confirm production secrets, provider credentials, backups, monitoring, and incident runbooks before real launch.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72033"/>
          <w:sz w:val="22"/>
        </w:rPr>
        <w:t>Keep demo/staging users separate from production users.</w:t>
      </w:r>
    </w:p>
    <w:p>
      <w:pPr>
        <w:spacing w:before="360" w:after="200" w:line="276" w:lineRule="auto"/>
      </w:pPr>
      <w:r>
        <w:rPr>
          <w:rFonts w:ascii="Calibri" w:hAnsi="Calibri"/>
          <w:b/>
          <w:i w:val="0"/>
          <w:color w:val="2E74B5"/>
          <w:sz w:val="32"/>
        </w:rPr>
        <w:t>5. Tenant Admin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Owns setup for one business or tenant.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72033"/>
          <w:sz w:val="22"/>
        </w:rPr>
        <w:t>Configure company details, branches, warehouses, POS settings, users, payment methods, and receipt profiles.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72033"/>
          <w:sz w:val="22"/>
        </w:rPr>
        <w:t>Enable the correct vertical: superstore, grocery, bakery, restaurant, pharmacy, cloth, garments, or electronics.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72033"/>
          <w:sz w:val="22"/>
        </w:rPr>
        <w:t>Configure B2C/B2B prices, receipt templates, return policies, and barcode behavior.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72033"/>
          <w:sz w:val="22"/>
        </w:rPr>
        <w:t>Enable subscribed SaaS features such as B2B POS, queue display, customer display, kiosk, and promotion screens.</w:t>
      </w:r>
    </w:p>
    <w:p>
      <w:pPr>
        <w:spacing w:before="360" w:after="200" w:line="276" w:lineRule="auto"/>
      </w:pPr>
      <w:r>
        <w:rPr>
          <w:rFonts w:ascii="Calibri" w:hAnsi="Calibri"/>
          <w:b/>
          <w:i w:val="0"/>
          <w:color w:val="2E74B5"/>
          <w:sz w:val="32"/>
        </w:rPr>
        <w:t>6. Cashier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Runs the counter POS for retail and wholesale customers.</w:t>
      </w:r>
    </w:p>
    <w:p>
      <w:pPr>
        <w:spacing w:before="280" w:after="140" w:line="276" w:lineRule="auto"/>
      </w:pPr>
      <w:r>
        <w:rPr>
          <w:rFonts w:ascii="Calibri" w:hAnsi="Calibri"/>
          <w:b/>
          <w:i w:val="0"/>
          <w:color w:val="2E74B5"/>
          <w:sz w:val="26"/>
        </w:rPr>
        <w:t>Checkout workflow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1100"/>
        <w:gridCol w:w="8260"/>
      </w:tblGrid>
      <w:tr>
        <w:trPr>
          <w:tblHeader w:val="true"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Step</w:t>
            </w:r>
          </w:p>
        </w:tc>
        <w:tc>
          <w:tcPr>
            <w:tcW w:type="dxa" w:w="8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Action</w:t>
            </w:r>
          </w:p>
        </w:tc>
      </w:tr>
      <w:tr>
        <w:tc>
          <w:tcPr>
            <w:tcW w:type="dxa" w:w="11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1</w:t>
            </w:r>
          </w:p>
        </w:tc>
        <w:tc>
          <w:tcPr>
            <w:tcW w:type="dxa" w:w="82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Open POS and confirm the active session, cashier, shop, and branch.</w:t>
            </w:r>
          </w:p>
        </w:tc>
      </w:tr>
      <w:tr>
        <w:tc>
          <w:tcPr>
            <w:tcW w:type="dxa" w:w="11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2</w:t>
            </w:r>
          </w:p>
        </w:tc>
        <w:tc>
          <w:tcPr>
            <w:tcW w:type="dxa" w:w="82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Scan the product barcode or search manually.</w:t>
            </w:r>
          </w:p>
        </w:tc>
      </w:tr>
      <w:tr>
        <w:tc>
          <w:tcPr>
            <w:tcW w:type="dxa" w:w="11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3</w:t>
            </w:r>
          </w:p>
        </w:tc>
        <w:tc>
          <w:tcPr>
            <w:tcW w:type="dxa" w:w="82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Confirm quantity, price, tax, and line discounts.</w:t>
            </w:r>
          </w:p>
        </w:tc>
      </w:tr>
      <w:tr>
        <w:tc>
          <w:tcPr>
            <w:tcW w:type="dxa" w:w="11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4</w:t>
            </w:r>
          </w:p>
        </w:tc>
        <w:tc>
          <w:tcPr>
            <w:tcW w:type="dxa" w:w="82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Select the customer when required for B2B, refund, exchange, invoice, or loyalty.</w:t>
            </w:r>
          </w:p>
        </w:tc>
      </w:tr>
      <w:tr>
        <w:tc>
          <w:tcPr>
            <w:tcW w:type="dxa" w:w="11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5</w:t>
            </w:r>
          </w:p>
        </w:tc>
        <w:tc>
          <w:tcPr>
            <w:tcW w:type="dxa" w:w="82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Switch to B2B price mode before payment when the sale is wholesale.</w:t>
            </w:r>
          </w:p>
        </w:tc>
      </w:tr>
      <w:tr>
        <w:tc>
          <w:tcPr>
            <w:tcW w:type="dxa" w:w="11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6</w:t>
            </w:r>
          </w:p>
        </w:tc>
        <w:tc>
          <w:tcPr>
            <w:tcW w:type="dxa" w:w="82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Apply overall bill discount by percentage or amount only with approval.</w:t>
            </w:r>
          </w:p>
        </w:tc>
      </w:tr>
      <w:tr>
        <w:tc>
          <w:tcPr>
            <w:tcW w:type="dxa" w:w="11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7</w:t>
            </w:r>
          </w:p>
        </w:tc>
        <w:tc>
          <w:tcPr>
            <w:tcW w:type="dxa" w:w="82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Take payment, print receipt, and close the order.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Bill discount behavior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21"/>
              </w:rPr>
              <w:t>If percentage is entered, discount amount should update automatically. If amount is entered, percentage should update automatically. High-value discounts should be approved by a manager.</w:t>
            </w:r>
          </w:p>
        </w:tc>
      </w:tr>
    </w:tbl>
    <w:p/>
    <w:p>
      <w:r>
        <w:br w:type="page"/>
      </w:r>
    </w:p>
    <w:p>
      <w:pPr>
        <w:spacing w:before="280" w:after="140" w:line="276" w:lineRule="auto"/>
      </w:pPr>
      <w:r>
        <w:rPr>
          <w:rFonts w:ascii="Calibri" w:hAnsi="Calibri"/>
          <w:b/>
          <w:i w:val="0"/>
          <w:color w:val="2E74B5"/>
          <w:sz w:val="26"/>
        </w:rPr>
        <w:t>Refund or exchange workflow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1100"/>
        <w:gridCol w:w="8260"/>
      </w:tblGrid>
      <w:tr>
        <w:trPr>
          <w:tblHeader w:val="true"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Step</w:t>
            </w:r>
          </w:p>
        </w:tc>
        <w:tc>
          <w:tcPr>
            <w:tcW w:type="dxa" w:w="8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Action</w:t>
            </w:r>
          </w:p>
        </w:tc>
      </w:tr>
      <w:tr>
        <w:tc>
          <w:tcPr>
            <w:tcW w:type="dxa" w:w="11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1</w:t>
            </w:r>
          </w:p>
        </w:tc>
        <w:tc>
          <w:tcPr>
            <w:tcW w:type="dxa" w:w="82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Open the refund/exchange screen.</w:t>
            </w:r>
          </w:p>
        </w:tc>
      </w:tr>
      <w:tr>
        <w:tc>
          <w:tcPr>
            <w:tcW w:type="dxa" w:w="11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2</w:t>
            </w:r>
          </w:p>
        </w:tc>
        <w:tc>
          <w:tcPr>
            <w:tcW w:type="dxa" w:w="82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Scan the invoice barcode or enter the invoice/reference manually.</w:t>
            </w:r>
          </w:p>
        </w:tc>
      </w:tr>
      <w:tr>
        <w:tc>
          <w:tcPr>
            <w:tcW w:type="dxa" w:w="11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3</w:t>
            </w:r>
          </w:p>
        </w:tc>
        <w:tc>
          <w:tcPr>
            <w:tcW w:type="dxa" w:w="82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Confirm original order, customer, items, and payment method.</w:t>
            </w:r>
          </w:p>
        </w:tc>
      </w:tr>
      <w:tr>
        <w:tc>
          <w:tcPr>
            <w:tcW w:type="dxa" w:w="11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4</w:t>
            </w:r>
          </w:p>
        </w:tc>
        <w:tc>
          <w:tcPr>
            <w:tcW w:type="dxa" w:w="82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Select return reason and returned items.</w:t>
            </w:r>
          </w:p>
        </w:tc>
      </w:tr>
      <w:tr>
        <w:tc>
          <w:tcPr>
            <w:tcW w:type="dxa" w:w="11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5</w:t>
            </w:r>
          </w:p>
        </w:tc>
        <w:tc>
          <w:tcPr>
            <w:tcW w:type="dxa" w:w="82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For exchange, add replacement items and confirm price difference.</w:t>
            </w:r>
          </w:p>
        </w:tc>
      </w:tr>
      <w:tr>
        <w:tc>
          <w:tcPr>
            <w:tcW w:type="dxa" w:w="11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6</w:t>
            </w:r>
          </w:p>
        </w:tc>
        <w:tc>
          <w:tcPr>
            <w:tcW w:type="dxa" w:w="82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Request manager approval when policy requires it.</w:t>
            </w:r>
          </w:p>
        </w:tc>
      </w:tr>
      <w:tr>
        <w:tc>
          <w:tcPr>
            <w:tcW w:type="dxa" w:w="11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7</w:t>
            </w:r>
          </w:p>
        </w:tc>
        <w:tc>
          <w:tcPr>
            <w:tcW w:type="dxa" w:w="82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Print the refund/exchange receipt.</w:t>
            </w:r>
          </w:p>
        </w:tc>
      </w:tr>
    </w:tbl>
    <w:p/>
    <w:p>
      <w:pPr>
        <w:spacing w:before="360" w:after="200" w:line="276" w:lineRule="auto"/>
      </w:pPr>
      <w:r>
        <w:rPr>
          <w:rFonts w:ascii="Calibri" w:hAnsi="Calibri"/>
          <w:b/>
          <w:i w:val="0"/>
          <w:color w:val="2E74B5"/>
          <w:sz w:val="32"/>
        </w:rPr>
        <w:t>7. Inventory Manager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Maintains stock quality, location accuracy, and bulk product data.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72033"/>
          <w:sz w:val="22"/>
        </w:rPr>
        <w:t>Maintain products, barcodes, categories, B2C/B2B prices, units, expiry dates, and storage positions.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72033"/>
          <w:sz w:val="22"/>
        </w:rPr>
        <w:t>Track warehouse, store, rack, shelf, bin, aisle, and placement.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72033"/>
          <w:sz w:val="22"/>
        </w:rPr>
        <w:t>Review low-stock and expiry alerts.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72033"/>
          <w:sz w:val="22"/>
        </w:rPr>
        <w:t>Export data before bulk imports and validate barcode uniqueness after import.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72033"/>
          <w:sz w:val="22"/>
        </w:rPr>
        <w:t>Coordinate receiving, transfers, stock adjustments, and cycle counts.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Workflow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Steps</w:t>
            </w:r>
          </w:p>
        </w:tc>
      </w:tr>
      <w:tr>
        <w:tc>
          <w:tcPr>
            <w:tcW w:type="dxa" w:w="21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Low stock</w:t>
            </w:r>
          </w:p>
        </w:tc>
        <w:tc>
          <w:tcPr>
            <w:tcW w:type="dxa" w:w="72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Open alerts, check current/reserved/incoming stock, create replenishment or purchase request, update alert notes.</w:t>
            </w:r>
          </w:p>
        </w:tc>
      </w:tr>
      <w:tr>
        <w:tc>
          <w:tcPr>
            <w:tcW w:type="dxa" w:w="21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Expiry</w:t>
            </w:r>
          </w:p>
        </w:tc>
        <w:tc>
          <w:tcPr>
            <w:tcW w:type="dxa" w:w="72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Filter by date/category/branch, move items to promotion/return/wastage flow, record action for audit.</w:t>
            </w:r>
          </w:p>
        </w:tc>
      </w:tr>
      <w:tr>
        <w:tc>
          <w:tcPr>
            <w:tcW w:type="dxa" w:w="21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Bulk import</w:t>
            </w:r>
          </w:p>
        </w:tc>
        <w:tc>
          <w:tcPr>
            <w:tcW w:type="dxa" w:w="72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Export first, use CSV template, test small batch, verify prices, categories, stock, and barcodes.</w:t>
            </w:r>
          </w:p>
        </w:tc>
      </w:tr>
    </w:tbl>
    <w:p/>
    <w:p>
      <w:pPr>
        <w:spacing w:before="360" w:after="200" w:line="276" w:lineRule="auto"/>
      </w:pPr>
      <w:r>
        <w:rPr>
          <w:rFonts w:ascii="Calibri" w:hAnsi="Calibri"/>
          <w:b/>
          <w:i w:val="0"/>
          <w:color w:val="2E74B5"/>
          <w:sz w:val="32"/>
        </w:rPr>
        <w:t>8. Accountant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Reviews financial records, invoices, settlements, refunds, disputes, and FBR readiness evidence.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72033"/>
          <w:sz w:val="22"/>
        </w:rPr>
        <w:t>Confirm POS cash and digital payments match end-of-day records.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72033"/>
          <w:sz w:val="22"/>
        </w:rPr>
        <w:t>Review refunds and exchanges for approved reasons.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72033"/>
          <w:sz w:val="22"/>
        </w:rPr>
        <w:t>Reconcile provider settlement batches.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72033"/>
          <w:sz w:val="22"/>
        </w:rPr>
        <w:t>Assign chargebacks/disputes and review next actions.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72033"/>
          <w:sz w:val="22"/>
        </w:rPr>
        <w:t>Monitor FBR invoice queue and keep dry-run evidence separate from live compliance evidence.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Area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What to review</w:t>
            </w:r>
          </w:p>
        </w:tc>
      </w:tr>
      <w:tr>
        <w:tc>
          <w:tcPr>
            <w:tcW w:type="dxa" w:w="21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Settlements</w:t>
            </w:r>
          </w:p>
        </w:tc>
        <w:tc>
          <w:tcPr>
            <w:tcW w:type="dxa" w:w="72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Provider reference, POS order/payment event, matched/partial/disputed/failed status, draft accounting action.</w:t>
            </w:r>
          </w:p>
        </w:tc>
      </w:tr>
      <w:tr>
        <w:tc>
          <w:tcPr>
            <w:tcW w:type="dxa" w:w="21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Refunds</w:t>
            </w:r>
          </w:p>
        </w:tc>
        <w:tc>
          <w:tcPr>
            <w:tcW w:type="dxa" w:w="72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Original invoice, return reason, approval user, payment method, stock effect.</w:t>
            </w:r>
          </w:p>
        </w:tc>
      </w:tr>
      <w:tr>
        <w:tc>
          <w:tcPr>
            <w:tcW w:type="dxa" w:w="21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FBR queue</w:t>
            </w:r>
          </w:p>
        </w:tc>
        <w:tc>
          <w:tcPr>
            <w:tcW w:type="dxa" w:w="72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Adapter mode, payload, business identifiers, provider response, retry status.</w:t>
            </w:r>
          </w:p>
        </w:tc>
      </w:tr>
      <w:tr>
        <w:tc>
          <w:tcPr>
            <w:tcW w:type="dxa" w:w="21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Disputes</w:t>
            </w:r>
          </w:p>
        </w:tc>
        <w:tc>
          <w:tcPr>
            <w:tcW w:type="dxa" w:w="72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Case type, provider, assigned owner, finance approval, accounting action.</w:t>
            </w:r>
          </w:p>
        </w:tc>
      </w:tr>
    </w:tbl>
    <w:p/>
    <w:p>
      <w:pPr>
        <w:spacing w:before="360" w:after="200" w:line="276" w:lineRule="auto"/>
      </w:pPr>
      <w:r>
        <w:rPr>
          <w:rFonts w:ascii="Calibri" w:hAnsi="Calibri"/>
          <w:b/>
          <w:i w:val="0"/>
          <w:color w:val="2E74B5"/>
          <w:sz w:val="32"/>
        </w:rPr>
        <w:t>9. Restaurant Operator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Runs dine-in, takeaway, pickup, kitchen status, kiosk, and queue operations.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1100"/>
        <w:gridCol w:w="8260"/>
      </w:tblGrid>
      <w:tr>
        <w:trPr>
          <w:tblHeader w:val="true"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Step</w:t>
            </w:r>
          </w:p>
        </w:tc>
        <w:tc>
          <w:tcPr>
            <w:tcW w:type="dxa" w:w="8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Action</w:t>
            </w:r>
          </w:p>
        </w:tc>
      </w:tr>
      <w:tr>
        <w:tc>
          <w:tcPr>
            <w:tcW w:type="dxa" w:w="11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1</w:t>
            </w:r>
          </w:p>
        </w:tc>
        <w:tc>
          <w:tcPr>
            <w:tcW w:type="dxa" w:w="82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Select service type: dine-in, takeaway, or pickup.</w:t>
            </w:r>
          </w:p>
        </w:tc>
      </w:tr>
      <w:tr>
        <w:tc>
          <w:tcPr>
            <w:tcW w:type="dxa" w:w="11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2</w:t>
            </w:r>
          </w:p>
        </w:tc>
        <w:tc>
          <w:tcPr>
            <w:tcW w:type="dxa" w:w="82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For dine-in, assign table or service area.</w:t>
            </w:r>
          </w:p>
        </w:tc>
      </w:tr>
      <w:tr>
        <w:tc>
          <w:tcPr>
            <w:tcW w:type="dxa" w:w="11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3</w:t>
            </w:r>
          </w:p>
        </w:tc>
        <w:tc>
          <w:tcPr>
            <w:tcW w:type="dxa" w:w="82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Add menu items, modifiers, and deals.</w:t>
            </w:r>
          </w:p>
        </w:tc>
      </w:tr>
      <w:tr>
        <w:tc>
          <w:tcPr>
            <w:tcW w:type="dxa" w:w="11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4</w:t>
            </w:r>
          </w:p>
        </w:tc>
        <w:tc>
          <w:tcPr>
            <w:tcW w:type="dxa" w:w="82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Confirm order and send it to the kitchen/counter queue.</w:t>
            </w:r>
          </w:p>
        </w:tc>
      </w:tr>
      <w:tr>
        <w:tc>
          <w:tcPr>
            <w:tcW w:type="dxa" w:w="11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5</w:t>
            </w:r>
          </w:p>
        </w:tc>
        <w:tc>
          <w:tcPr>
            <w:tcW w:type="dxa" w:w="82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Move status from waiting to preparing, ready, and called.</w:t>
            </w:r>
          </w:p>
        </w:tc>
      </w:tr>
      <w:tr>
        <w:tc>
          <w:tcPr>
            <w:tcW w:type="dxa" w:w="11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6</w:t>
            </w:r>
          </w:p>
        </w:tc>
        <w:tc>
          <w:tcPr>
            <w:tcW w:type="dxa" w:w="82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Close the order after payment or pickup.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Queue status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21"/>
              </w:rPr>
              <w:t>Waiting means order received. Preparing means kitchen or counter is working. Ready means order can be collected. Called means the customer has been notified.</w:t>
            </w:r>
          </w:p>
        </w:tc>
      </w:tr>
    </w:tbl>
    <w:p/>
    <w:p>
      <w:pPr>
        <w:spacing w:before="360" w:after="200" w:line="276" w:lineRule="auto"/>
      </w:pPr>
      <w:r>
        <w:rPr>
          <w:rFonts w:ascii="Calibri" w:hAnsi="Calibri"/>
          <w:b/>
          <w:i w:val="0"/>
          <w:color w:val="2E74B5"/>
          <w:sz w:val="32"/>
        </w:rPr>
        <w:t>10. Display And Kiosk Operator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Maintains customer-facing screens and public display routes.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72033"/>
          <w:sz w:val="22"/>
        </w:rPr>
        <w:t>Open customer display, queue display, menu board, deals board, and promotion display routes.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72033"/>
          <w:sz w:val="22"/>
        </w:rPr>
        <w:t>Confirm the screen is on the correct tenant, branch, and profile.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72033"/>
          <w:sz w:val="22"/>
        </w:rPr>
        <w:t>Use full-screen browser mode on display devices.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72033"/>
          <w:sz w:val="22"/>
        </w:rPr>
        <w:t>Refresh after profile, promotion, or menu changes.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72033"/>
          <w:sz w:val="22"/>
        </w:rPr>
        <w:t>Ensure no private admin data is visible on public display devices.</w:t>
      </w:r>
    </w:p>
    <w:p>
      <w:pPr>
        <w:spacing w:before="360" w:after="200" w:line="276" w:lineRule="auto"/>
      </w:pPr>
      <w:r>
        <w:rPr>
          <w:rFonts w:ascii="Calibri" w:hAnsi="Calibri"/>
          <w:b/>
          <w:i w:val="0"/>
          <w:color w:val="2E74B5"/>
          <w:sz w:val="32"/>
        </w:rPr>
        <w:t>11. Business Owner Or Manager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Uses dashboards, reports, and audit records to run the business.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Daily dashboard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Look for</w:t>
            </w:r>
          </w:p>
        </w:tc>
      </w:tr>
      <w:tr>
        <w:tc>
          <w:tcPr>
            <w:tcW w:type="dxa" w:w="23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Sales</w:t>
            </w:r>
          </w:p>
        </w:tc>
        <w:tc>
          <w:tcPr>
            <w:tcW w:type="dxa" w:w="70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Total sales, order count, B2C/B2B split, branch/category/cashier trend.</w:t>
            </w:r>
          </w:p>
        </w:tc>
      </w:tr>
      <w:tr>
        <w:tc>
          <w:tcPr>
            <w:tcW w:type="dxa" w:w="23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Payments</w:t>
            </w:r>
          </w:p>
        </w:tc>
        <w:tc>
          <w:tcPr>
            <w:tcW w:type="dxa" w:w="70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Cash, card, wallet, settlement status, failed payments, disputes.</w:t>
            </w:r>
          </w:p>
        </w:tc>
      </w:tr>
      <w:tr>
        <w:tc>
          <w:tcPr>
            <w:tcW w:type="dxa" w:w="23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Inventory</w:t>
            </w:r>
          </w:p>
        </w:tc>
        <w:tc>
          <w:tcPr>
            <w:tcW w:type="dxa" w:w="70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Low stock, near expiry, slow moving items, top sellers.</w:t>
            </w:r>
          </w:p>
        </w:tc>
      </w:tr>
      <w:tr>
        <w:tc>
          <w:tcPr>
            <w:tcW w:type="dxa" w:w="23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Controls</w:t>
            </w:r>
          </w:p>
        </w:tc>
        <w:tc>
          <w:tcPr>
            <w:tcW w:type="dxa" w:w="70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Refunds, exchanges, voids, high discounts, stock adjustments.</w:t>
            </w:r>
          </w:p>
        </w:tc>
      </w:tr>
      <w:tr>
        <w:tc>
          <w:tcPr>
            <w:tcW w:type="dxa" w:w="23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Restaurant</w:t>
            </w:r>
          </w:p>
        </w:tc>
        <w:tc>
          <w:tcPr>
            <w:tcW w:type="dxa" w:w="70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Queue wait time, preparing/ready/called orders, pickup performance.</w:t>
            </w:r>
          </w:p>
        </w:tc>
      </w:tr>
      <w:tr>
        <w:tc>
          <w:tcPr>
            <w:tcW w:type="dxa" w:w="23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Promotions</w:t>
            </w:r>
          </w:p>
        </w:tc>
        <w:tc>
          <w:tcPr>
            <w:tcW w:type="dxa" w:w="70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Deal usage, campaign performance, category movement.</w:t>
            </w:r>
          </w:p>
        </w:tc>
      </w:tr>
    </w:tbl>
    <w:p/>
    <w:p>
      <w:pPr>
        <w:spacing w:before="360" w:after="200" w:line="276" w:lineRule="auto"/>
      </w:pPr>
      <w:r>
        <w:rPr>
          <w:rFonts w:ascii="Calibri" w:hAnsi="Calibri"/>
          <w:b/>
          <w:i w:val="0"/>
          <w:color w:val="2E74B5"/>
          <w:sz w:val="32"/>
        </w:rPr>
        <w:t>12. SaaS Feature Flags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Some features are enabled or disabled per tenant plan. If a screen is not available, check plan and feature flags before assuming a permission problem.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72033"/>
          <w:sz w:val="22"/>
        </w:rPr>
        <w:t>B2B selling mode.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72033"/>
          <w:sz w:val="22"/>
        </w:rPr>
        <w:t>Queue system and queue display.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72033"/>
          <w:sz w:val="22"/>
        </w:rPr>
        <w:t>Customer display.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72033"/>
          <w:sz w:val="22"/>
        </w:rPr>
        <w:t>Promotion, menu, and deals screens.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72033"/>
          <w:sz w:val="22"/>
        </w:rPr>
        <w:t>Kiosk/self-ordering.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72033"/>
          <w:sz w:val="22"/>
        </w:rPr>
        <w:t>Advanced analytics.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72033"/>
          <w:sz w:val="22"/>
        </w:rPr>
        <w:t>Hardware bridge access.</w:t>
      </w:r>
    </w:p>
    <w:p>
      <w:pPr>
        <w:spacing w:before="360" w:after="200" w:line="276" w:lineRule="auto"/>
      </w:pPr>
      <w:r>
        <w:rPr>
          <w:rFonts w:ascii="Calibri" w:hAnsi="Calibri"/>
          <w:b/>
          <w:i w:val="0"/>
          <w:color w:val="2E74B5"/>
          <w:sz w:val="32"/>
        </w:rPr>
        <w:t>13. Hardware Usage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The suite includes hardware bridge readiness for barcode scanning, QR/invoice scanning, receipt printing, customer display, cash drawer, scale, CUPS, ESC/POS, and ZPL paths.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1100"/>
        <w:gridCol w:w="8260"/>
      </w:tblGrid>
      <w:tr>
        <w:trPr>
          <w:tblHeader w:val="true"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Step</w:t>
            </w:r>
          </w:p>
        </w:tc>
        <w:tc>
          <w:tcPr>
            <w:tcW w:type="dxa" w:w="8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Action</w:t>
            </w:r>
          </w:p>
        </w:tc>
      </w:tr>
      <w:tr>
        <w:tc>
          <w:tcPr>
            <w:tcW w:type="dxa" w:w="11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1</w:t>
            </w:r>
          </w:p>
        </w:tc>
        <w:tc>
          <w:tcPr>
            <w:tcW w:type="dxa" w:w="82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Confirm the device is connected to the local shop machine.</w:t>
            </w:r>
          </w:p>
        </w:tc>
      </w:tr>
      <w:tr>
        <w:tc>
          <w:tcPr>
            <w:tcW w:type="dxa" w:w="11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2</w:t>
            </w:r>
          </w:p>
        </w:tc>
        <w:tc>
          <w:tcPr>
            <w:tcW w:type="dxa" w:w="82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Confirm the hardware bridge is running when required.</w:t>
            </w:r>
          </w:p>
        </w:tc>
      </w:tr>
      <w:tr>
        <w:tc>
          <w:tcPr>
            <w:tcW w:type="dxa" w:w="11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3</w:t>
            </w:r>
          </w:p>
        </w:tc>
        <w:tc>
          <w:tcPr>
            <w:tcW w:type="dxa" w:w="82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Confirm the device profile is registered.</w:t>
            </w:r>
          </w:p>
        </w:tc>
      </w:tr>
      <w:tr>
        <w:tc>
          <w:tcPr>
            <w:tcW w:type="dxa" w:w="11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4</w:t>
            </w:r>
          </w:p>
        </w:tc>
        <w:tc>
          <w:tcPr>
            <w:tcW w:type="dxa" w:w="82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Run a test print, scan, display, drawer, or scale job.</w:t>
            </w:r>
          </w:p>
        </w:tc>
      </w:tr>
      <w:tr>
        <w:tc>
          <w:tcPr>
            <w:tcW w:type="dxa" w:w="11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5</w:t>
            </w:r>
          </w:p>
        </w:tc>
        <w:tc>
          <w:tcPr>
            <w:tcW w:type="dxa" w:w="82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Record certification result for each real production device.</w:t>
            </w:r>
          </w:p>
        </w:tc>
      </w:tr>
    </w:tbl>
    <w:p/>
    <w:p>
      <w:pPr>
        <w:spacing w:before="280" w:after="140" w:line="276" w:lineRule="auto"/>
      </w:pPr>
      <w:r>
        <w:rPr>
          <w:rFonts w:ascii="Calibri" w:hAnsi="Calibri"/>
          <w:b/>
          <w:i w:val="0"/>
          <w:color w:val="2E74B5"/>
          <w:sz w:val="32"/>
        </w:rPr>
        <w:t>14. Security Rules For All Users</w:t>
      </w:r>
    </w:p>
    <w:p>
      <w:pPr>
        <w:pStyle w:val="ListBullet"/>
        <w:spacing w:before="0" w:after="40" w:line="276" w:lineRule="auto"/>
        <w:ind w:left="540" w:hanging="271"/>
      </w:pPr>
      <w:r>
        <w:rPr>
          <w:rFonts w:ascii="Calibri" w:hAnsi="Calibri"/>
          <w:b w:val="0"/>
          <w:i w:val="0"/>
          <w:color w:val="172033"/>
          <w:sz w:val="22"/>
        </w:rPr>
        <w:t>Use your own login only and never share passwords.</w:t>
      </w:r>
    </w:p>
    <w:p>
      <w:pPr>
        <w:pStyle w:val="ListBullet"/>
        <w:spacing w:before="0" w:after="40" w:line="276" w:lineRule="auto"/>
        <w:ind w:left="540" w:hanging="271"/>
      </w:pPr>
      <w:r>
        <w:rPr>
          <w:rFonts w:ascii="Calibri" w:hAnsi="Calibri"/>
          <w:b w:val="0"/>
          <w:i w:val="0"/>
          <w:color w:val="172033"/>
          <w:sz w:val="22"/>
        </w:rPr>
        <w:t>Lock the device when leaving the counter or office.</w:t>
      </w:r>
    </w:p>
    <w:p>
      <w:pPr>
        <w:pStyle w:val="ListBullet"/>
        <w:spacing w:before="0" w:after="40" w:line="276" w:lineRule="auto"/>
        <w:ind w:left="540" w:hanging="271"/>
      </w:pPr>
      <w:r>
        <w:rPr>
          <w:rFonts w:ascii="Calibri" w:hAnsi="Calibri"/>
          <w:b w:val="0"/>
          <w:i w:val="0"/>
          <w:color w:val="172033"/>
          <w:sz w:val="22"/>
        </w:rPr>
        <w:t>Report suspicious refunds, discounts, failed payments, or admin changes.</w:t>
      </w:r>
    </w:p>
    <w:p>
      <w:pPr>
        <w:pStyle w:val="ListBullet"/>
        <w:spacing w:before="0" w:after="40" w:line="276" w:lineRule="auto"/>
        <w:ind w:left="540" w:hanging="271"/>
      </w:pPr>
      <w:r>
        <w:rPr>
          <w:rFonts w:ascii="Calibri" w:hAnsi="Calibri"/>
          <w:b w:val="0"/>
          <w:i w:val="0"/>
          <w:color w:val="172033"/>
          <w:sz w:val="22"/>
        </w:rPr>
        <w:t>Use production secret managers for real deployments.</w:t>
      </w:r>
    </w:p>
    <w:p>
      <w:pPr>
        <w:pStyle w:val="ListBullet"/>
        <w:spacing w:before="0" w:after="40" w:line="276" w:lineRule="auto"/>
        <w:ind w:left="540" w:hanging="271"/>
      </w:pPr>
      <w:r>
        <w:rPr>
          <w:rFonts w:ascii="Calibri" w:hAnsi="Calibri"/>
          <w:b w:val="0"/>
          <w:i w:val="0"/>
          <w:color w:val="172033"/>
          <w:sz w:val="22"/>
        </w:rPr>
        <w:t>Keep customer, payment, and tax data private.</w:t>
      </w:r>
    </w:p>
    <w:p>
      <w:pPr>
        <w:spacing w:before="360" w:after="200" w:line="276" w:lineRule="auto"/>
      </w:pPr>
      <w:r>
        <w:rPr>
          <w:rFonts w:ascii="Calibri" w:hAnsi="Calibri"/>
          <w:b/>
          <w:i w:val="0"/>
          <w:color w:val="2E74B5"/>
          <w:sz w:val="32"/>
        </w:rPr>
        <w:t>15. Common Problems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Problem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What to check</w:t>
            </w:r>
          </w:p>
        </w:tc>
      </w:tr>
      <w:tr>
        <w:tc>
          <w:tcPr>
            <w:tcW w:type="dxa" w:w="26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Cannot log in</w:t>
            </w:r>
          </w:p>
        </w:tc>
        <w:tc>
          <w:tcPr>
            <w:tcW w:type="dxa" w:w="67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Database, email, password, and active user status.</w:t>
            </w:r>
          </w:p>
        </w:tc>
      </w:tr>
      <w:tr>
        <w:tc>
          <w:tcPr>
            <w:tcW w:type="dxa" w:w="26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Menu missing</w:t>
            </w:r>
          </w:p>
        </w:tc>
        <w:tc>
          <w:tcPr>
            <w:tcW w:type="dxa" w:w="67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User groups, SaaS feature flags, installed modules.</w:t>
            </w:r>
          </w:p>
        </w:tc>
      </w:tr>
      <w:tr>
        <w:tc>
          <w:tcPr>
            <w:tcW w:type="dxa" w:w="26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POS will not open</w:t>
            </w:r>
          </w:p>
        </w:tc>
        <w:tc>
          <w:tcPr>
            <w:tcW w:type="dxa" w:w="67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POS config, open session, cashier permissions.</w:t>
            </w:r>
          </w:p>
        </w:tc>
      </w:tr>
      <w:tr>
        <w:tc>
          <w:tcPr>
            <w:tcW w:type="dxa" w:w="26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Product not found</w:t>
            </w:r>
          </w:p>
        </w:tc>
        <w:tc>
          <w:tcPr>
            <w:tcW w:type="dxa" w:w="67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Barcode, active product, category, POS availability.</w:t>
            </w:r>
          </w:p>
        </w:tc>
      </w:tr>
      <w:tr>
        <w:tc>
          <w:tcPr>
            <w:tcW w:type="dxa" w:w="26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Wrong price</w:t>
            </w:r>
          </w:p>
        </w:tc>
        <w:tc>
          <w:tcPr>
            <w:tcW w:type="dxa" w:w="67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B2C/B2B mode, pricelist, product price, discount.</w:t>
            </w:r>
          </w:p>
        </w:tc>
      </w:tr>
      <w:tr>
        <w:tc>
          <w:tcPr>
            <w:tcW w:type="dxa" w:w="26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Receipt does not print</w:t>
            </w:r>
          </w:p>
        </w:tc>
        <w:tc>
          <w:tcPr>
            <w:tcW w:type="dxa" w:w="67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Printer profile, hardware bridge, browser permissions, paper.</w:t>
            </w:r>
          </w:p>
        </w:tc>
      </w:tr>
      <w:tr>
        <w:tc>
          <w:tcPr>
            <w:tcW w:type="dxa" w:w="26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Refund cannot find invoice</w:t>
            </w:r>
          </w:p>
        </w:tc>
        <w:tc>
          <w:tcPr>
            <w:tcW w:type="dxa" w:w="67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Invoice barcode, order reference, database, customer.</w:t>
            </w:r>
          </w:p>
        </w:tc>
      </w:tr>
      <w:tr>
        <w:tc>
          <w:tcPr>
            <w:tcW w:type="dxa" w:w="26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Stock looks wrong</w:t>
            </w:r>
          </w:p>
        </w:tc>
        <w:tc>
          <w:tcPr>
            <w:tcW w:type="dxa" w:w="67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Warehouse/location filter, pending transfers, adjustments.</w:t>
            </w:r>
          </w:p>
        </w:tc>
      </w:tr>
      <w:tr>
        <w:tc>
          <w:tcPr>
            <w:tcW w:type="dxa" w:w="26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Display empty</w:t>
            </w:r>
          </w:p>
        </w:tc>
        <w:tc>
          <w:tcPr>
            <w:tcW w:type="dxa" w:w="67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Public route, tenant feature flag, screen profile, active content.</w:t>
            </w:r>
          </w:p>
        </w:tc>
      </w:tr>
      <w:tr>
        <w:tc>
          <w:tcPr>
            <w:tcW w:type="dxa" w:w="26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FBR submit fails</w:t>
            </w:r>
          </w:p>
        </w:tc>
        <w:tc>
          <w:tcPr>
            <w:tcW w:type="dxa" w:w="67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Adapter mode, credentials, endpoint, provider status, payload.</w:t>
            </w:r>
          </w:p>
        </w:tc>
      </w:tr>
    </w:tbl>
    <w:p/>
    <w:p>
      <w:pPr>
        <w:spacing w:before="360" w:after="200" w:line="276" w:lineRule="auto"/>
      </w:pPr>
      <w:r>
        <w:rPr>
          <w:rFonts w:ascii="Calibri" w:hAnsi="Calibri"/>
          <w:b/>
          <w:i w:val="0"/>
          <w:color w:val="2E74B5"/>
          <w:sz w:val="32"/>
        </w:rPr>
        <w:t>16. Escalation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Escalate to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When</w:t>
            </w:r>
          </w:p>
        </w:tc>
      </w:tr>
      <w:tr>
        <w:tc>
          <w:tcPr>
            <w:tcW w:type="dxa" w:w="24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Tenant admin</w:t>
            </w:r>
          </w:p>
        </w:tc>
        <w:tc>
          <w:tcPr>
            <w:tcW w:type="dxa" w:w="69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Permissions, menus, products, prices, tax, receipt setup, POS session, discount/refund approval.</w:t>
            </w:r>
          </w:p>
        </w:tc>
      </w:tr>
      <w:tr>
        <w:tc>
          <w:tcPr>
            <w:tcW w:type="dxa" w:w="24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Platform superadmin</w:t>
            </w:r>
          </w:p>
        </w:tc>
        <w:tc>
          <w:tcPr>
            <w:tcW w:type="dxa" w:w="69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SaaS feature flags, plans, tenant provisioning, billing, release evidence, production readiness.</w:t>
            </w:r>
          </w:p>
        </w:tc>
      </w:tr>
      <w:tr>
        <w:tc>
          <w:tcPr>
            <w:tcW w:type="dxa" w:w="24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Technical support</w:t>
            </w:r>
          </w:p>
        </w:tc>
        <w:tc>
          <w:tcPr>
            <w:tcW w:type="dxa" w:w="69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Docker/Odoo down, hardware bridge failure, database/module/schema errors, security/load/deployment checks.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C6A7C"/>
        <w:sz w:val="18"/>
      </w:rPr>
      <w:t>Local demo and training guide - 2026-06-08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5C6A7C"/>
        <w:sz w:val="18"/>
      </w:rPr>
      <w:t>Tijara Suite | All-User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