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5.png" ContentType="image/png"/>
  <Override PartName="/word/media/rId137.png" ContentType="image/png"/>
  <Override PartName="/word/media/rId66.png" ContentType="image/png"/>
  <Override PartName="/word/media/rId63.png" ContentType="image/png"/>
  <Override PartName="/word/media/rId77.png" ContentType="image/png"/>
  <Override PartName="/word/media/rId81.png" ContentType="image/png"/>
  <Override PartName="/word/media/rId90.png" ContentType="image/png"/>
  <Override PartName="/word/media/rId100.png" ContentType="image/png"/>
  <Override PartName="/word/media/rId27.png" ContentType="image/png"/>
  <Override PartName="/word/media/rId40.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cost of open embedding models in retrieval-augmented question answering</w:t>
      </w:r>
    </w:p>
    <w:p>
      <w:pPr>
        <w:pStyle w:val="AbstractTitle"/>
      </w:pPr>
      <w:r>
        <w:t xml:space="preserve">Abstract</w:t>
      </w:r>
    </w:p>
    <w:p>
      <w:pPr>
        <w:pStyle w:val="Abstract"/>
      </w:pPr>
      <w:r>
        <w:t xml:space="preserve">Teams</w:t>
      </w:r>
      <w:r>
        <w:t xml:space="preserve"> </w:t>
      </w:r>
      <w:r>
        <w:t xml:space="preserve">that</w:t>
      </w:r>
      <w:r>
        <w:t xml:space="preserve"> </w:t>
      </w:r>
      <w:r>
        <w:t xml:space="preserve">build</w:t>
      </w:r>
      <w:r>
        <w:t xml:space="preserve"> </w:t>
      </w: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often</w:t>
      </w:r>
      <w:r>
        <w:t xml:space="preserve"> </w:t>
      </w:r>
      <w:r>
        <w:t xml:space="preserve">pick</w:t>
      </w:r>
      <w:r>
        <w:t xml:space="preserve"> </w:t>
      </w:r>
      <w:r>
        <w:t xml:space="preserve">an</w:t>
      </w:r>
      <w:r>
        <w:t xml:space="preserve"> </w:t>
      </w:r>
      <w:r>
        <w:t xml:space="preserve">embedding</w:t>
      </w:r>
      <w:r>
        <w:t xml:space="preserve"> </w:t>
      </w:r>
      <w:r>
        <w:t xml:space="preserve">model</w:t>
      </w:r>
      <w:r>
        <w:t xml:space="preserve"> </w:t>
      </w:r>
      <w:r>
        <w:t xml:space="preserve">by</w:t>
      </w:r>
      <w:r>
        <w:t xml:space="preserve"> </w:t>
      </w:r>
      <w:r>
        <w:t xml:space="preserve">its</w:t>
      </w:r>
      <w:r>
        <w:t xml:space="preserve"> </w:t>
      </w:r>
      <w:r>
        <w:t xml:space="preserve">retrieval</w:t>
      </w:r>
      <w:r>
        <w:t xml:space="preserve"> </w:t>
      </w:r>
      <w:r>
        <w:t xml:space="preserve">score.</w:t>
      </w:r>
      <w:r>
        <w:t xml:space="preserve"> </w:t>
      </w:r>
      <w:r>
        <w:t xml:space="preserve">We</w:t>
      </w:r>
      <w:r>
        <w:t xml:space="preserve"> </w:t>
      </w:r>
      <w:r>
        <w:t xml:space="preserve">measured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and</w:t>
      </w:r>
      <w:r>
        <w:t xml:space="preserve"> </w:t>
      </w:r>
      <w:r>
        <w:t xml:space="preserve">at</w:t>
      </w:r>
      <w:r>
        <w:t xml:space="preserve"> </w:t>
      </w:r>
      <w:r>
        <w:t xml:space="preserve">what</w:t>
      </w:r>
      <w:r>
        <w:t xml:space="preserve"> </w:t>
      </w:r>
      <w:r>
        <w:t xml:space="preserve">cost,</w:t>
      </w:r>
      <w:r>
        <w:t xml:space="preserve"> </w:t>
      </w:r>
      <w:r>
        <w:t xml:space="preserve">for</w:t>
      </w:r>
      <w:r>
        <w:t xml:space="preserve"> </w:t>
      </w:r>
      <w:r>
        <w:t xml:space="preserve">open</w:t>
      </w:r>
      <w:r>
        <w:t xml:space="preserve"> </w:t>
      </w:r>
      <w:r>
        <w:t xml:space="preserve">models</w:t>
      </w:r>
      <w:r>
        <w:t xml:space="preserve"> </w:t>
      </w:r>
      <w:r>
        <w:t xml:space="preserve">on</w:t>
      </w:r>
      <w:r>
        <w:t xml:space="preserve"> </w:t>
      </w:r>
      <w:r>
        <w:t xml:space="preserve">free</w:t>
      </w:r>
      <w:r>
        <w:t xml:space="preserve"> </w:t>
      </w:r>
      <w:r>
        <w:t xml:space="preserve">cloud</w:t>
      </w:r>
      <w:r>
        <w:t xml:space="preserve"> </w:t>
      </w:r>
      <w:r>
        <w:t xml:space="preserve">GPUs.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each</w:t>
      </w:r>
      <w:r>
        <w:t xml:space="preserve"> </w:t>
      </w:r>
      <w:r>
        <w:t xml:space="preserve">read</w:t>
      </w:r>
      <w:r>
        <w:t xml:space="preserve"> </w:t>
      </w:r>
      <w:r>
        <w:t xml:space="preserve">by</w:t>
      </w:r>
      <w:r>
        <w:t xml:space="preserve"> </w:t>
      </w:r>
      <w:r>
        <w:t xml:space="preserve">two</w:t>
      </w:r>
      <w:r>
        <w:t xml:space="preserve"> </w:t>
      </w:r>
      <w:r>
        <w:t xml:space="preserve">quantised</w:t>
      </w:r>
      <w:r>
        <w:t xml:space="preserve"> </w:t>
      </w:r>
      <w:r>
        <w:t xml:space="preserve">7–8B</w:t>
      </w:r>
      <w:r>
        <w:t xml:space="preserve"> </w:t>
      </w:r>
      <w:r>
        <w:t xml:space="preserve">models.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We</w:t>
      </w:r>
      <w:r>
        <w:t xml:space="preserve"> </w:t>
      </w:r>
      <w:r>
        <w:t xml:space="preserve">report</w:t>
      </w:r>
      <w:r>
        <w:t xml:space="preserve"> </w:t>
      </w:r>
      <w:r>
        <w:t xml:space="preserve">bootstrap</w:t>
      </w:r>
      <w:r>
        <w:t xml:space="preserve"> </w:t>
      </w:r>
      <w:r>
        <w:t xml:space="preserve">intervals</w:t>
      </w:r>
      <w:r>
        <w:t xml:space="preserve"> </w:t>
      </w:r>
      <w:r>
        <w:t xml:space="preserve">and</w:t>
      </w:r>
      <w:r>
        <w:t xml:space="preserve"> </w:t>
      </w:r>
      <w:r>
        <w:t xml:space="preserve">registered</w:t>
      </w:r>
      <w:r>
        <w:t xml:space="preserve"> </w:t>
      </w:r>
      <w:r>
        <w:t xml:space="preserve">six</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phase</w:t>
      </w:r>
      <w:r>
        <w:t xml:space="preserve"> </w:t>
      </w:r>
      <w:r>
        <w:t xml:space="preserve">of</w:t>
      </w:r>
      <w:r>
        <w:t xml:space="preserve"> </w:t>
      </w:r>
      <w:r>
        <w:t xml:space="preserve">the</w:t>
      </w:r>
      <w:r>
        <w:t xml:space="preserve"> </w:t>
      </w:r>
      <w:r>
        <w:t xml:space="preserve">study.</w:t>
      </w:r>
      <w:r>
        <w:t xml:space="preserve"> </w:t>
      </w:r>
      <w:r>
        <w:t xml:space="preserve">On</w:t>
      </w:r>
      <w:r>
        <w:t xml:space="preserve"> </w:t>
      </w:r>
      <w:r>
        <w:t xml:space="preserve">NQ,</w:t>
      </w:r>
      <w:r>
        <w:t xml:space="preserve"> </w:t>
      </w:r>
      <m:oMath>
        <m:r>
          <m:t>T</m:t>
        </m:r>
      </m:oMath>
      <w:r>
        <w:t xml:space="preserve"> </w:t>
      </w:r>
      <w:r>
        <w:t xml:space="preserve">ranged</w:t>
      </w:r>
      <w:r>
        <w:t xml:space="preserve"> </w:t>
      </w:r>
      <w:r>
        <w:t xml:space="preserve">from</w:t>
      </w:r>
      <w:r>
        <w:t xml:space="preserve"> </w:t>
      </w:r>
      <w:r>
        <w:t xml:space="preserve">0.16</w:t>
      </w:r>
      <w:r>
        <w:t xml:space="preserve"> </w:t>
      </w:r>
      <w:r>
        <w:t xml:space="preserve">to</w:t>
      </w:r>
      <w:r>
        <w:t xml:space="preserve"> </w:t>
      </w:r>
      <w:r>
        <w:t xml:space="preserve">0.27,</w:t>
      </w:r>
      <w:r>
        <w:t xml:space="preserve"> </w:t>
      </w:r>
      <w:r>
        <w:t xml:space="preserve">and</w:t>
      </w:r>
      <w:r>
        <w:t xml:space="preserve"> </w:t>
      </w:r>
      <w:r>
        <w:t xml:space="preserve">no</w:t>
      </w:r>
      <w:r>
        <w:t xml:space="preserve"> </w:t>
      </w:r>
      <w:r>
        <w:t xml:space="preserve">upper</w:t>
      </w:r>
      <w:r>
        <w:t xml:space="preserve"> </w:t>
      </w:r>
      <w:r>
        <w:t xml:space="preserve">95%</w:t>
      </w:r>
      <w:r>
        <w:t xml:space="preserve"> </w:t>
      </w:r>
      <w:r>
        <w:t xml:space="preserve">bound</w:t>
      </w:r>
      <w:r>
        <w:t xml:space="preserve"> </w:t>
      </w:r>
      <w:r>
        <w:t xml:space="preserve">exceeded</w:t>
      </w:r>
      <w:r>
        <w:t xml:space="preserve"> </w:t>
      </w:r>
      <w:r>
        <w:t xml:space="preserve">0.45.</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larger</w:t>
      </w:r>
      <w:r>
        <w:t xml:space="preserve"> </w:t>
      </w:r>
      <w:r>
        <w:t xml:space="preserve">(0.49–0.93)</w:t>
      </w:r>
      <w:r>
        <w:t xml:space="preserve"> </w:t>
      </w:r>
      <w:r>
        <w:t xml:space="preserve">and</w:t>
      </w:r>
      <w:r>
        <w:t xml:space="preserve"> </w:t>
      </w:r>
      <w:r>
        <w:t xml:space="preserve">one</w:t>
      </w:r>
      <w:r>
        <w:t xml:space="preserve"> </w:t>
      </w:r>
      <w:r>
        <w:t xml:space="preserve">upper</w:t>
      </w:r>
      <w:r>
        <w:t xml:space="preserve"> </w:t>
      </w:r>
      <w:r>
        <w:t xml:space="preserve">bound</w:t>
      </w:r>
      <w:r>
        <w:t xml:space="preserve"> </w:t>
      </w:r>
      <w:r>
        <w:t xml:space="preserve">reached</w:t>
      </w:r>
      <w:r>
        <w:t xml:space="preserve"> </w:t>
      </w:r>
      <w:r>
        <w:t xml:space="preserve">1.10,</w:t>
      </w:r>
      <w:r>
        <w:t xml:space="preserve"> </w:t>
      </w:r>
      <w:r>
        <w:t xml:space="preserve">so</w:t>
      </w:r>
      <w:r>
        <w:t xml:space="preserve"> </w:t>
      </w:r>
      <w:r>
        <w:t xml:space="preserve">the</w:t>
      </w:r>
      <w:r>
        <w:t xml:space="preserve"> </w:t>
      </w:r>
      <w:r>
        <w:t xml:space="preserve">prediction</w:t>
      </w:r>
      <w:r>
        <w:t xml:space="preserve"> </w:t>
      </w:r>
      <m:oMath>
        <m:r>
          <m:t>T</m:t>
        </m:r>
        <m:r>
          <m:rPr>
            <m:sty m:val="p"/>
          </m:rPr>
          <m:t>&lt;</m:t>
        </m:r>
        <m:r>
          <m:t>1</m:t>
        </m:r>
      </m:oMath>
      <w:r>
        <w:t xml:space="preserve"> </w:t>
      </w:r>
      <w:r>
        <w:t xml:space="preserve">failed</w:t>
      </w:r>
      <w:r>
        <w:t xml:space="preserve"> </w:t>
      </w:r>
      <w:r>
        <w:t xml:space="preserve">in</w:t>
      </w:r>
      <w:r>
        <w:t xml:space="preserve"> </w:t>
      </w:r>
      <w:r>
        <w:t xml:space="preserve">one</w:t>
      </w:r>
      <w:r>
        <w:t xml:space="preserve"> </w:t>
      </w:r>
      <w:r>
        <w:t xml:space="preserve">of</w:t>
      </w:r>
      <w:r>
        <w:t xml:space="preserve"> </w:t>
      </w:r>
      <w:r>
        <w:t xml:space="preserve">four</w:t>
      </w:r>
      <w:r>
        <w:t xml:space="preserve"> </w:t>
      </w:r>
      <w:r>
        <w:t xml:space="preserve">reader–dataset</w:t>
      </w:r>
      <w:r>
        <w:t xml:space="preserve"> </w:t>
      </w:r>
      <w:r>
        <w:t xml:space="preserve">cells.</w:t>
      </w:r>
      <w:r>
        <w:t xml:space="preserve"> </w:t>
      </w:r>
      <w:r>
        <w:t xml:space="preserve">An</w:t>
      </w:r>
      <w:r>
        <w:t xml:space="preserve"> </w:t>
      </w:r>
      <w:r>
        <w:t xml:space="preserve">exact</w:t>
      </w:r>
      <w:r>
        <w:t xml:space="preserve"> </w:t>
      </w:r>
      <w:r>
        <w:t xml:space="preserve">decomposition</w:t>
      </w:r>
      <w:r>
        <w:t xml:space="preserve"> </w:t>
      </w:r>
      <w:r>
        <w:t xml:space="preserve">attributes</w:t>
      </w:r>
      <w:r>
        <w:t xml:space="preserve"> </w:t>
      </w:r>
      <w:r>
        <w:t xml:space="preserve">48%–70%</w:t>
      </w:r>
      <w:r>
        <w:t xml:space="preserve"> </w:t>
      </w:r>
      <w:r>
        <w:t xml:space="preserve">of</w:t>
      </w:r>
      <w:r>
        <w:t xml:space="preserve"> </w:t>
      </w:r>
      <w:r>
        <w:t xml:space="preserve">the</w:t>
      </w:r>
      <w:r>
        <w:t xml:space="preserve"> </w:t>
      </w:r>
      <w:r>
        <w:t xml:space="preserve">HotpotQA</w:t>
      </w:r>
      <w:r>
        <w:t xml:space="preserve"> </w:t>
      </w:r>
      <w:r>
        <w:t xml:space="preserve">transfer</w:t>
      </w:r>
      <w:r>
        <w:t xml:space="preserve"> </w:t>
      </w:r>
      <w:r>
        <w:t xml:space="preserve">to</w:t>
      </w:r>
      <w:r>
        <w:t xml:space="preserve"> </w:t>
      </w:r>
      <w:r>
        <w:t xml:space="preserve">higher</w:t>
      </w:r>
      <w:r>
        <w:t xml:space="preserve"> </w:t>
      </w:r>
      <w:r>
        <w:t xml:space="preserve">EM</w:t>
      </w:r>
      <w:r>
        <w:t xml:space="preserve"> </w:t>
      </w:r>
      <w:r>
        <w:t xml:space="preserve">given</w:t>
      </w:r>
      <w:r>
        <w:t xml:space="preserve"> </w:t>
      </w:r>
      <w:r>
        <w:t xml:space="preserve">a</w:t>
      </w:r>
      <w:r>
        <w:t xml:space="preserve"> </w:t>
      </w:r>
      <w:r>
        <w:t xml:space="preserve">hit,</w:t>
      </w:r>
      <w:r>
        <w:t xml:space="preserve"> </w:t>
      </w:r>
      <w:r>
        <w:t xml:space="preserve">in</w:t>
      </w:r>
      <w:r>
        <w:t xml:space="preserve"> </w:t>
      </w:r>
      <w:r>
        <w:t xml:space="preserve">line</w:t>
      </w:r>
      <w:r>
        <w:t xml:space="preserve"> </w:t>
      </w:r>
      <w:r>
        <w:t xml:space="preserve">with</w:t>
      </w:r>
      <w:r>
        <w:t xml:space="preserve"> </w:t>
      </w:r>
      <w:r>
        <w:t xml:space="preserve">retrieving</w:t>
      </w:r>
      <w:r>
        <w:t xml:space="preserve"> </w:t>
      </w:r>
      <w:r>
        <w:t xml:space="preserve">both</w:t>
      </w:r>
      <w:r>
        <w:t xml:space="preserve"> </w:t>
      </w:r>
      <w:r>
        <w:t xml:space="preserve">supporting</w:t>
      </w:r>
      <w:r>
        <w:t xml:space="preserve"> </w:t>
      </w:r>
      <w:r>
        <w:t xml:space="preserve">passages.</w:t>
      </w:r>
      <w:r>
        <w:t xml:space="preserve"> </w:t>
      </w:r>
      <w:r>
        <w:t xml:space="preserve">On</w:t>
      </w:r>
      <w:r>
        <w:t xml:space="preserve"> </w:t>
      </w:r>
      <w:r>
        <w:t xml:space="preserve">HotpotQA,</w:t>
      </w:r>
      <w:r>
        <w:t xml:space="preserve"> </w:t>
      </w:r>
      <w:r>
        <w:t xml:space="preserve">bge-large</w:t>
      </w:r>
      <w:r>
        <w:t xml:space="preserve"> </w:t>
      </w:r>
      <w:r>
        <w:t xml:space="preserve">gave</w:t>
      </w:r>
      <w:r>
        <w:t xml:space="preserve"> </w:t>
      </w:r>
      <w:r>
        <w:t xml:space="preserve">higher</w:t>
      </w:r>
      <w:r>
        <w:t xml:space="preserve"> </w:t>
      </w:r>
      <w:r>
        <w:t xml:space="preserve">EM</w:t>
      </w:r>
      <w:r>
        <w:t xml:space="preserve"> </w:t>
      </w:r>
      <w:r>
        <w:t xml:space="preserve">than</w:t>
      </w:r>
      <w:r>
        <w:t xml:space="preserve"> </w:t>
      </w:r>
      <w:r>
        <w:t xml:space="preserve">e5-base-v2</w:t>
      </w:r>
      <w:r>
        <w:t xml:space="preserve"> </w:t>
      </w:r>
      <w:r>
        <w:t xml:space="preserve">(+0.028</w:t>
      </w:r>
      <w:r>
        <w:t xml:space="preserve"> </w:t>
      </w:r>
      <w:r>
        <w:t xml:space="preserve">and</w:t>
      </w:r>
      <w:r>
        <w:t xml:space="preserve"> </w:t>
      </w:r>
      <w:r>
        <w:t xml:space="preserve">+0.022,</w:t>
      </w:r>
      <w:r>
        <w:t xml:space="preserve"> </w:t>
      </w:r>
      <w:r>
        <w:t xml:space="preserve">Holm-adjusted</w:t>
      </w:r>
      <w:r>
        <w:t xml:space="preserve"> </w:t>
      </w:r>
      <m:oMath>
        <m:r>
          <m:t>p</m:t>
        </m:r>
        <m:r>
          <m:rPr>
            <m:sty m:val="p"/>
          </m:rPr>
          <m:t>≤</m:t>
        </m:r>
      </m:oMath>
      <w:r>
        <w:t xml:space="preserve"> </w:t>
      </w:r>
      <w:r>
        <w:t xml:space="preserve">0.040);</w:t>
      </w:r>
      <w:r>
        <w:t xml:space="preserve"> </w:t>
      </w:r>
      <w:r>
        <w:t xml:space="preserve">on</w:t>
      </w:r>
      <w:r>
        <w:t xml:space="preserve"> </w:t>
      </w:r>
      <w:r>
        <w:t xml:space="preserve">NQ,</w:t>
      </w:r>
      <w:r>
        <w:t xml:space="preserve"> </w:t>
      </w:r>
      <w:r>
        <w:t xml:space="preserve">no</w:t>
      </w:r>
      <w:r>
        <w:t xml:space="preserve"> </w:t>
      </w:r>
      <w:r>
        <w:t xml:space="preserve">difference</w:t>
      </w:r>
      <w:r>
        <w:t xml:space="preserve"> </w:t>
      </w:r>
      <w:r>
        <w:t xml:space="preserve">was</w:t>
      </w:r>
      <w:r>
        <w:t xml:space="preserve"> </w:t>
      </w:r>
      <w:r>
        <w:t xml:space="preserve">detected.</w:t>
      </w:r>
      <w:r>
        <w:t xml:space="preserve"> </w:t>
      </w:r>
      <w:r>
        <w:t xml:space="preserve">Encoding</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Top-ranked</w:t>
      </w:r>
      <w:r>
        <w:t xml:space="preserve"> </w:t>
      </w:r>
      <w:r>
        <w:t xml:space="preserve">non-gold</w:t>
      </w:r>
      <w:r>
        <w:t xml:space="preserve"> </w:t>
      </w:r>
      <w:r>
        <w:t xml:space="preserve">passages</w:t>
      </w:r>
      <w:r>
        <w:t xml:space="preserve"> </w:t>
      </w:r>
      <w:r>
        <w:t xml:space="preserve">lowered</w:t>
      </w:r>
      <w:r>
        <w:t xml:space="preserve"> </w:t>
      </w:r>
      <w:r>
        <w:t xml:space="preserve">EM</w:t>
      </w:r>
      <w:r>
        <w:t xml:space="preserve"> </w:t>
      </w:r>
      <w:r>
        <w:t xml:space="preserve">by</w:t>
      </w:r>
      <w:r>
        <w:t xml:space="preserve"> </w:t>
      </w:r>
      <w:r>
        <w:t xml:space="preserve">0.074</w:t>
      </w:r>
      <w:r>
        <w:t xml:space="preserve"> </w:t>
      </w:r>
      <w:r>
        <w:t xml:space="preserve">against</w:t>
      </w:r>
      <w:r>
        <w:t xml:space="preserve"> </w:t>
      </w:r>
      <w:r>
        <w:t xml:space="preserve">random</w:t>
      </w:r>
      <w:r>
        <w:t xml:space="preserve"> </w:t>
      </w:r>
      <w:r>
        <w:t xml:space="preserve">passages;</w:t>
      </w:r>
      <w:r>
        <w:t xml:space="preserve"> </w:t>
      </w:r>
      <w:r>
        <w:t xml:space="preserve">gold</w:t>
      </w:r>
      <w:r>
        <w:t xml:space="preserve"> </w:t>
      </w:r>
      <w:r>
        <w:t xml:space="preserve">position</w:t>
      </w:r>
      <w:r>
        <w:t xml:space="preserve"> </w:t>
      </w:r>
      <w:r>
        <w:t xml:space="preserve">showed</w:t>
      </w:r>
      <w:r>
        <w:t xml:space="preserve"> </w:t>
      </w:r>
      <w:r>
        <w:t xml:space="preserve">no</w:t>
      </w:r>
      <w:r>
        <w:t xml:space="preserve"> </w:t>
      </w:r>
      <w:r>
        <w:t xml:space="preserve">detectable</w:t>
      </w:r>
      <w:r>
        <w:t xml:space="preserve"> </w:t>
      </w:r>
      <w:r>
        <w:t xml:space="preserve">effect.</w:t>
      </w:r>
      <w:r>
        <w:t xml:space="preserve"> </w:t>
      </w:r>
      <w:r>
        <w:t xml:space="preserve">An</w:t>
      </w:r>
      <w:r>
        <w:t xml:space="preserve"> </w:t>
      </w:r>
      <w:r>
        <w:t xml:space="preserve">LLM</w:t>
      </w:r>
      <w:r>
        <w:t xml:space="preserve"> </w:t>
      </w:r>
      <w:r>
        <w:t xml:space="preserve">faithfulness</w:t>
      </w:r>
      <w:r>
        <w:t xml:space="preserve"> </w:t>
      </w:r>
      <w:r>
        <w:t xml:space="preserve">judge</w:t>
      </w:r>
      <w:r>
        <w:t xml:space="preserve"> </w:t>
      </w:r>
      <w:r>
        <w:t xml:space="preserve">agreed</w:t>
      </w:r>
      <w:r>
        <w:t xml:space="preserve"> </w:t>
      </w:r>
      <w:r>
        <w:t xml:space="preserve">poorly</w:t>
      </w:r>
      <w:r>
        <w:t xml:space="preserve"> </w:t>
      </w:r>
      <w:r>
        <w:t xml:space="preserve">with</w:t>
      </w:r>
      <w:r>
        <w:t xml:space="preserve"> </w:t>
      </w:r>
      <w:r>
        <w:t xml:space="preserve">human</w:t>
      </w:r>
      <w:r>
        <w:t xml:space="preserve"> </w:t>
      </w:r>
      <w:r>
        <w:t xml:space="preserve">labels</w:t>
      </w:r>
      <w:r>
        <w:t xml:space="preserve"> </w:t>
      </w:r>
      <w:r>
        <w:t xml:space="preserve">(Cohen’s</w:t>
      </w:r>
      <w:r>
        <w:t xml:space="preserve"> </w:t>
      </w:r>
      <m:oMath>
        <m:r>
          <m:t>κ</m:t>
        </m:r>
      </m:oMath>
      <w:r>
        <w:t xml:space="preserve"> </w:t>
      </w:r>
      <w:r>
        <w:t xml:space="preserve">=</w:t>
      </w:r>
      <w:r>
        <w:t xml:space="preserve"> </w:t>
      </w:r>
      <w:r>
        <w:t xml:space="preserve">0.127)</w:t>
      </w:r>
      <w:r>
        <w:t xml:space="preserve"> </w:t>
      </w:r>
      <w:r>
        <w:t xml:space="preserve">and</w:t>
      </w:r>
      <w:r>
        <w:t xml:space="preserve"> </w:t>
      </w:r>
      <w:r>
        <w:t xml:space="preserve">was</w:t>
      </w:r>
      <w:r>
        <w:t xml:space="preserve"> </w:t>
      </w:r>
      <w:r>
        <w:t xml:space="preserve">excluded.</w:t>
      </w:r>
      <w:r>
        <w:t xml:space="preserve"> </w:t>
      </w:r>
      <w:r>
        <w:t xml:space="preserve">Within</w:t>
      </w:r>
      <w:r>
        <w:t xml:space="preserve"> </w:t>
      </w:r>
      <w:r>
        <w:t xml:space="preserve">this</w:t>
      </w:r>
      <w:r>
        <w:t xml:space="preserve"> </w:t>
      </w:r>
      <w:r>
        <w:t xml:space="preserve">setup,</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on</w:t>
      </w:r>
      <w:r>
        <w:t xml:space="preserve"> </w:t>
      </w:r>
      <w:r>
        <w:t xml:space="preserve">single-hop</w:t>
      </w:r>
      <w:r>
        <w:t xml:space="preserve"> </w:t>
      </w:r>
      <w:r>
        <w:t xml:space="preserve">questions,</w:t>
      </w:r>
      <w:r>
        <w:t xml:space="preserve"> </w:t>
      </w:r>
      <w:r>
        <w:t xml:space="preserve">and</w:t>
      </w:r>
      <w:r>
        <w:t xml:space="preserve"> </w:t>
      </w:r>
      <w:r>
        <w:t xml:space="preserve">encoder</w:t>
      </w:r>
      <w:r>
        <w:t xml:space="preserve"> </w:t>
      </w:r>
      <w:r>
        <w:t xml:space="preserve">cost</w:t>
      </w:r>
      <w:r>
        <w:t xml:space="preserve"> </w:t>
      </w:r>
      <w:r>
        <w:t xml:space="preserve">should</w:t>
      </w:r>
      <w:r>
        <w:t xml:space="preserve"> </w:t>
      </w:r>
      <w:r>
        <w:t xml:space="preserve">be</w:t>
      </w:r>
      <w:r>
        <w:t xml:space="preserve"> </w:t>
      </w:r>
      <w:r>
        <w:t xml:space="preserve">weighed</w:t>
      </w:r>
      <w:r>
        <w:t xml:space="preserve"> </w:t>
      </w:r>
      <w:r>
        <w:t xml:space="preserve">alongside</w:t>
      </w:r>
      <w:r>
        <w:t xml:space="preserve"> </w:t>
      </w:r>
      <w:r>
        <w:t xml:space="preserve">retrieval</w:t>
      </w:r>
      <w:r>
        <w:t xml:space="preserve"> </w:t>
      </w:r>
      <w:r>
        <w:t xml:space="preserve">scores.</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The question matters most for teams with little compute. A larger encoder costs more to run over a corpus and adds latency to every query. If a retrieval gain turns into a much smaller answer gain, a cheaper encoder may serve as well. Several studies report that retrieval improvements do not reliably improve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Others find that retrieval metrics correlate well with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Readers are also sensitive to what else is in the context: passages that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They do not report, for a set of interchangeable open encoders, the paired ratio of answer gain to retrieval gain with its uncertainty, per reader and dataset, next to the measured cost of each encoder. This study fills that gap for one well-defined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every extra question with a relevant passage in the top five also gains a correct answer. A ratio near 0 means the retrieval gain does not reach the answer.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does each encoder cost on free hardware, and do our sub-corpus and exact search distort the comparison?</w:t>
      </w:r>
    </w:p>
    <w:p>
      <w:pPr>
        <w:pStyle w:val="FirstParagraph"/>
      </w:pPr>
      <w:r>
        <w:t xml:space="preserve">The study ran in two phases. Phase 1 covered one reader on NQ. Before Phase 2, we registered six predictions (P1–P6) in a dated design document and then ran the new cells and experiments. We report each prediction as it came out, including the three that failed in at least one condition.</w:t>
      </w:r>
    </w:p>
    <w:p>
      <w:pPr>
        <w:pStyle w:val="BodyText"/>
      </w:pPr>
      <w:r>
        <w:t xml:space="preserve">The contributions are as follows.</w:t>
      </w:r>
    </w:p>
    <w:p>
      <w:pPr>
        <w:numPr>
          <w:ilvl w:val="0"/>
          <w:numId w:val="1001"/>
        </w:numPr>
      </w:pPr>
      <w:r>
        <w:t xml:space="preserve">A paired estimate of retrieval-to-answer transfer for six retrievers, two readers and two datasets, with bootstrap intervals and a reporting rule fixed in advance (Section </w:t>
      </w:r>
      <w:hyperlink w:anchor="sec:res-transfer">
        <w:r>
          <w:rPr>
            <w:rStyle w:val="Hyperlink"/>
          </w:rPr>
          <w:t xml:space="preserve">5.2</w:t>
        </w:r>
      </w:hyperlink>
      <w:r>
        <w:t xml:space="preserve">).</w:t>
      </w:r>
    </w:p>
    <w:p>
      <w:pPr>
        <w:numPr>
          <w:ilvl w:val="0"/>
          <w:numId w:val="1001"/>
        </w:numPr>
      </w:pPr>
      <w:r>
        <w:t xml:space="preserve">An exact decomposition of the ratio into the hit–miss gap of the baseline and the change in EM given a hit or a miss. It separates the NQ pattern (low transfer) from the HotpotQA pattern (larger transfer driven by the second supporting passage) (Section </w:t>
      </w:r>
      <w:hyperlink w:anchor="sec:res-decomp">
        <w:r>
          <w:rPr>
            <w:rStyle w:val="Hyperlink"/>
          </w:rPr>
          <w:t xml:space="preserve">5.3</w:t>
        </w:r>
      </w:hyperlink>
      <w:r>
        <w:t xml:space="preserve">).</w:t>
      </w:r>
    </w:p>
    <w:p>
      <w:pPr>
        <w:numPr>
          <w:ilvl w:val="0"/>
          <w:numId w:val="1001"/>
        </w:numPr>
      </w:pPr>
      <w:r>
        <w:t xml:space="preserve">Controlled tests of context composition and position, a reranker, top-</w:t>
      </w:r>
      <m:oMath>
        <m:r>
          <m:t>k</m:t>
        </m:r>
      </m:oMath>
      <w:r>
        <w:t xml:space="preserve">, approximate search and a full-corpus check, all run in the same pipeline (Sections </w:t>
      </w:r>
      <w:hyperlink w:anchor="sec:res-context">
        <w:r>
          <w:rPr>
            <w:rStyle w:val="Hyperlink"/>
          </w:rPr>
          <w:t xml:space="preserve">5.5</w:t>
        </w:r>
      </w:hyperlink>
      <w:r>
        <w:t xml:space="preserve">–</w:t>
      </w:r>
      <w:hyperlink w:anchor="sec:res-cost">
        <w:r>
          <w:rPr>
            <w:rStyle w:val="Hyperlink"/>
          </w:rPr>
          <w:t xml:space="preserve">5.6</w:t>
        </w:r>
      </w:hyperlink>
      <w:r>
        <w:t xml:space="preserve">).</w:t>
      </w:r>
    </w:p>
    <w:p>
      <w:pPr>
        <w:numPr>
          <w:ilvl w:val="0"/>
          <w:numId w:val="1001"/>
        </w:numPr>
      </w:pPr>
      <w:r>
        <w:t xml:space="preserve">Measured encoding cost of each encoder on a free GPU, with five repetitions, and a public record of every deviation and failed run (Sections </w:t>
      </w:r>
      <w:hyperlink w:anchor="sec:res-cost">
        <w:r>
          <w:rPr>
            <w:rStyle w:val="Hyperlink"/>
          </w:rPr>
          <w:t xml:space="preserve">5.6</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How retrieval scores relate to answer scores is studied in three ways. One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react to the passages next to the gold one.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2"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5.7</w:t>
        </w:r>
      </w:hyperlink>
      <w:r>
        <w:t xml:space="preserve">).</w:t>
      </w:r>
    </w:p>
    <w:bookmarkStart w:id="31"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The second term shows how far the encoder also changes how useful its hits and misses are. This decomposition was not part of the registered analysis; we report it as a post hoc description.</w:t>
      </w:r>
    </w:p>
    <w:bookmarkEnd w:id="30"/>
    <w:bookmarkEnd w:id="31"/>
    <w:bookmarkStart w:id="35" w:name="sec:data"/>
    <w:p>
      <w:pPr>
        <w:pStyle w:val="Heading2"/>
      </w:pPr>
      <w:r>
        <w:t xml:space="preserve">Data</w:t>
      </w:r>
    </w:p>
    <w:bookmarkStart w:id="32"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w:t>
      </w:r>
    </w:p>
    <w:bookmarkEnd w:id="32"/>
    <w:bookmarkStart w:id="33"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3"/>
    <w:bookmarkStart w:id="34"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BM25 top-</w:t>
      </w:r>
      <m:oMath>
        <m:r>
          <m:t>d</m:t>
        </m:r>
      </m:oMath>
      <w:r>
        <w:t xml:space="preserve"> </w:t>
      </w:r>
      <w:r>
        <w:t xml:space="preserve">non-gold passages for every judged query (</w:t>
      </w:r>
      <m:oMath>
        <m:r>
          <m:t>d</m:t>
        </m:r>
      </m:oMath>
      <w:r>
        <w:t xml:space="preserve"> </w:t>
      </w:r>
      <w:r>
        <w:t xml:space="preserve">= 42 for NQ and 19 for HotpotQA, set by a pre-registered formula), and a seeded random fill. The NQ sub-corpus has 4,201 gold, 127,791 BM25 and 168,008 random passages; the HotpotQA sub-corpus has 13,783, 118,726 and 167,491. Because every gold passage is present, absolute retrieval scores are higher than on the full corpus. Section </w:t>
      </w:r>
      <w:hyperlink w:anchor="sec:res-cost">
        <w:r>
          <w:rPr>
            <w:rStyle w:val="Hyperlink"/>
          </w:rPr>
          <w:t xml:space="preserve">5.6</w:t>
        </w:r>
      </w:hyperlink>
      <w:r>
        <w:t xml:space="preserve"> </w:t>
      </w:r>
      <w:r>
        <w:t xml:space="preserve">checks whether the ordering of retrievers changes.</w:t>
      </w:r>
    </w:p>
    <w:bookmarkEnd w:id="34"/>
    <w:bookmarkEnd w:id="35"/>
    <w:bookmarkStart w:id="36"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6"/>
    <w:bookmarkStart w:id="37"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bound each cell: closed book (no passages) and gold passages only.</w:t>
      </w:r>
    </w:p>
    <w:bookmarkEnd w:id="37"/>
    <w:bookmarkStart w:id="38" w:name="sec:metrics"/>
    <w:p>
      <w:pPr>
        <w:pStyle w:val="Heading2"/>
      </w:pPr>
      <w:r>
        <w:t xml:space="preserve">Metrics</w:t>
      </w:r>
    </w:p>
    <w:p>
      <w:pPr>
        <w:pStyle w:val="FirstParagraph"/>
      </w:pPr>
      <w:r>
        <w:t xml:space="preserve">Hit@5 is 1 if at least one gold passage is in the top five. For HotpotQA we also report Both@5, which requires both gold passages.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8"/>
    <w:bookmarkStart w:id="39"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39"/>
    <w:bookmarkStart w:id="43"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Fig. </w:t>
      </w:r>
      <w:hyperlink w:anchor="fig:phases">
        <w:r>
          <w:rPr>
            <w:rStyle w:val="Hyperlink"/>
          </w:rPr>
          <w:t xml:space="preserve">2</w:t>
        </w:r>
      </w:hyperlink>
      <w:r>
        <w:t xml:space="preserve"> </w:t>
      </w:r>
      <w:r>
        <w:t xml:space="preserve">shows the sessions of both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11</w:t>
        </w:r>
      </w:hyperlink>
      <w:r>
        <w:t xml:space="preserve"> </w:t>
      </w:r>
      <w:r>
        <w:t xml:space="preserve">lists the design documents and their dates.</w:t>
      </w:r>
    </w:p>
    <w:p>
      <w:pPr>
        <w:pStyle w:val="CaptionedFigure"/>
      </w:pPr>
      <w:r>
        <w:drawing>
          <wp:inline>
            <wp:extent cx="5012379" cy="1660599"/>
            <wp:effectExtent b="0" l="0" r="0" t="0"/>
            <wp:docPr descr="" title="" id="41" name="Picture"/>
            <a:graphic>
              <a:graphicData uri="http://schemas.openxmlformats.org/drawingml/2006/picture">
                <pic:pic>
                  <pic:nvPicPr>
                    <pic:cNvPr descr="/home/claude/rag-embed-transfer/paper_figures/out/fig8_phases.png" id="42" name="Picture"/>
                    <pic:cNvPicPr>
                      <a:picLocks noChangeArrowheads="1" noChangeAspect="1"/>
                    </pic:cNvPicPr>
                  </pic:nvPicPr>
                  <pic:blipFill>
                    <a:blip r:embed="rId40"/>
                    <a:stretch>
                      <a:fillRect/>
                    </a:stretch>
                  </pic:blipFill>
                  <pic:spPr bwMode="auto">
                    <a:xfrm>
                      <a:off x="0" y="0"/>
                      <a:ext cx="5012379" cy="1660599"/>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w:t>
      </w:r>
    </w:p>
    <w:bookmarkEnd w:id="43"/>
    <w:bookmarkStart w:id="51" w:name="sec:extra"/>
    <w:p>
      <w:pPr>
        <w:pStyle w:val="Heading2"/>
      </w:pPr>
      <w:r>
        <w:t xml:space="preserve">Additional experiments</w:t>
      </w:r>
    </w:p>
    <w:bookmarkStart w:id="44"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4"/>
    <w:bookmarkStart w:id="45"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5"/>
    <w:bookmarkStart w:id="46"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6"/>
    <w:bookmarkStart w:id="47"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7"/>
    <w:bookmarkStart w:id="48" w:name="full-corpus-e9"/>
    <w:p>
      <w:pPr>
        <w:pStyle w:val="Heading4"/>
      </w:pPr>
      <w:r>
        <w:t xml:space="preserve">Full corpus (E9)</w:t>
      </w:r>
    </w:p>
    <w:p>
      <w:pPr>
        <w:pStyle w:val="FirstParagraph"/>
      </w:pPr>
      <w:r>
        <w:t xml:space="preserve">BM25, MiniLM-L6, bge-small and e5-base-v2 retrieved from the full NQ corpus for all judged queries.</w:t>
      </w:r>
    </w:p>
    <w:bookmarkEnd w:id="48"/>
    <w:bookmarkStart w:id="49" w:name="cost-e7"/>
    <w:p>
      <w:pPr>
        <w:pStyle w:val="Heading4"/>
      </w:pPr>
      <w:r>
        <w:t xml:space="preserve">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49"/>
    <w:bookmarkStart w:id="50"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0"/>
    <w:bookmarkEnd w:id="51"/>
    <w:bookmarkEnd w:id="52"/>
    <w:bookmarkStart w:id="58" w:name="sec:setup"/>
    <w:p>
      <w:pPr>
        <w:pStyle w:val="Heading1"/>
      </w:pPr>
      <w:r>
        <w:t xml:space="preserve">Experimental setup</w:t>
      </w:r>
    </w:p>
    <w:bookmarkStart w:id="53"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 GB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the two phases the Kaggle image changed from Python 3.12.13 to 3.13.15, and NumPy from 2.0.2 to 2.1.3.</w:t>
      </w:r>
    </w:p>
    <w:bookmarkEnd w:id="53"/>
    <w:bookmarkStart w:id="54" w:name="determinism-across-phases"/>
    <w:p>
      <w:pPr>
        <w:pStyle w:val="Heading4"/>
      </w:pPr>
      <w:r>
        <w:t xml:space="preserve">Determinism across phases</w:t>
      </w:r>
    </w:p>
    <w:p>
      <w:pPr>
        <w:pStyle w:val="FirstParagraph"/>
      </w:pPr>
      <w:r>
        <w:t xml:space="preserve">Some comparisons cross the two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and the reranker runs against the Phase 1 runs. To check that the software change does not alter the reader, we compared the two phases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4"/>
    <w:bookmarkStart w:id="55"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5"/>
    <w:bookmarkStart w:id="56"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w:t>
      </w:r>
    </w:p>
    <w:bookmarkEnd w:id="56"/>
    <w:bookmarkStart w:id="57"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6</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pStyle w:val="FirstParagraph"/>
      </w:pPr>
      <w:r>
        <w:t xml:space="preserve">No run was repeated to obtain a different result, and no result was discarded.</w:t>
      </w:r>
    </w:p>
    <w:bookmarkEnd w:id="57"/>
    <w:bookmarkEnd w:id="58"/>
    <w:bookmarkStart w:id="109" w:name="sec:results"/>
    <w:p>
      <w:pPr>
        <w:pStyle w:val="Heading1"/>
      </w:pPr>
      <w:r>
        <w:t xml:space="preserve">Results</w:t>
      </w:r>
    </w:p>
    <w:bookmarkStart w:id="62" w:name="sec:res-retrieval"/>
    <w:p>
      <w:pPr>
        <w:pStyle w:val="Heading2"/>
      </w:pPr>
      <w:r>
        <w:t xml:space="preserve">Retrieval</w:t>
      </w:r>
    </w:p>
    <w:p>
      <w:pPr>
        <w:pStyle w:val="FirstParagraph"/>
      </w:pPr>
      <w:r>
        <w:t xml:space="preserve">Table </w:t>
      </w:r>
      <w:hyperlink w:anchor="tab:main">
        <w:r>
          <w:rPr>
            <w:rStyle w:val="Hyperlink"/>
          </w:rPr>
          <w:t xml:space="preserve">[tab:main]</w:t>
        </w:r>
      </w:hyperlink>
      <w:r>
        <w:t xml:space="preserve"> </w:t>
      </w:r>
      <w:r>
        <w:t xml:space="preserve">gives Hit@5 on the generation queries; Table </w:t>
      </w:r>
      <w:hyperlink w:anchor="tab:ci">
        <w:r>
          <w:rPr>
            <w:rStyle w:val="Hyperlink"/>
          </w:rPr>
          <w:t xml:space="preserve">[tab:ci]</w:t>
        </w:r>
      </w:hyperlink>
      <w:r>
        <w:t xml:space="preserve"> </w:t>
      </w:r>
      <w:r>
        <w:t xml:space="preserve">gives the intervals. On NQ, the dense encoders spread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adds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0" name="Picture"/>
            <a:graphic>
              <a:graphicData uri="http://schemas.openxmlformats.org/drawingml/2006/picture">
                <pic:pic>
                  <pic:nvPicPr>
                    <pic:cNvPr descr="/home/claude/rag-embed-transfer/paper_figures/out/fig9_retrieval.png" id="61" name="Picture"/>
                    <pic:cNvPicPr>
                      <a:picLocks noChangeArrowheads="1" noChangeAspect="1"/>
                    </pic:cNvPicPr>
                  </pic:nvPicPr>
                  <pic:blipFill>
                    <a:blip r:embed="rId59"/>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2"/>
    <w:bookmarkStart w:id="69" w:name="sec:res-transfer"/>
    <w:p>
      <w:pPr>
        <w:pStyle w:val="Heading2"/>
      </w:pPr>
      <w:r>
        <w:t xml:space="preserve">Answers and transfer (RQ1)</w:t>
      </w:r>
    </w:p>
    <w:p>
      <w:pPr>
        <w:pStyle w:val="FirstParagraph"/>
      </w:pPr>
      <w:r>
        <w:t xml:space="preserve">Table </w:t>
      </w:r>
      <w:hyperlink w:anchor="tab:main">
        <w:r>
          <w:rPr>
            <w:rStyle w:val="Hyperlink"/>
          </w:rPr>
          <w:t xml:space="preserve">[tab:main]</w:t>
        </w:r>
      </w:hyperlink>
      <w:r>
        <w:t xml:space="preserve"> </w:t>
      </w:r>
      <w:r>
        <w:t xml:space="preserve">gives EM for every cell with its two bounds,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 bound of 0.613. On HotpotQA, bge-large gave the highest EM for both readers (0.424 and 0.430), against gold bounds of 0.628 and 0.624.</w:t>
      </w:r>
    </w:p>
    <w:p>
      <w:pPr>
        <w:pStyle w:val="CaptionedFigure"/>
      </w:pPr>
      <w:r>
        <w:drawing>
          <wp:inline>
            <wp:extent cx="5334000" cy="3547267"/>
            <wp:effectExtent b="0" l="0" r="0" t="0"/>
            <wp:docPr descr="" title="" id="64" name="Picture"/>
            <a:graphic>
              <a:graphicData uri="http://schemas.openxmlformats.org/drawingml/2006/picture">
                <pic:pic>
                  <pic:nvPicPr>
                    <pic:cNvPr descr="/home/claude/rag-embed-transfer/paper_figures/out/fig2_hit_vs_em.png" id="65" name="Picture"/>
                    <pic:cNvPicPr>
                      <a:picLocks noChangeArrowheads="1" noChangeAspect="1"/>
                    </pic:cNvPicPr>
                  </pic:nvPicPr>
                  <pic:blipFill>
                    <a:blip r:embed="rId63"/>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No upper bound on NQ exceeded 0.45. BM25 retrieved worse than MiniLM-L6 on NQ, so its ratio (0.37 with Qwen) describes how much of the retrieval loss reached the answer.</w:t>
      </w:r>
    </w:p>
    <w:p>
      <w:pPr>
        <w:pStyle w:val="BodyText"/>
      </w:pPr>
      <w:r>
        <w:t xml:space="preserve">On HotpotQA the ratios were larger for every encoder and reader. They ranged from 0.49 (Qwen3-Embedding-0.6B with Qwen) to 0.93 (bge-large with Llama). With Qwen, every upper bound stayed below 1, the largest being 0.996 for bge-large. With Llama, the bounds were 1.000 for bge-base, 1.000 for e5-base-v2 and 1.096 for bge-large; three of five bounds reached or exceeded 1. Prediction P1 therefore held in the two new NQ and Qwen–HotpotQA cells and failed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782362"/>
            <wp:effectExtent b="0" l="0" r="0" t="0"/>
            <wp:docPr descr="" title="" id="67" name="Picture"/>
            <a:graphic>
              <a:graphicData uri="http://schemas.openxmlformats.org/drawingml/2006/picture">
                <pic:pic>
                  <pic:nvPicPr>
                    <pic:cNvPr descr="/home/claude/rag-embed-transfer/paper_figures/out/fig1_transfer_ratios.png" id="68" name="Picture"/>
                    <pic:cNvPicPr>
                      <a:picLocks noChangeArrowheads="1" noChangeAspect="1"/>
                    </pic:cNvPicPr>
                  </pic:nvPicPr>
                  <pic:blipFill>
                    <a:blip r:embed="rId66"/>
                    <a:stretch>
                      <a:fillRect/>
                    </a:stretch>
                  </pic:blipFill>
                  <pic:spPr bwMode="auto">
                    <a:xfrm>
                      <a:off x="0" y="0"/>
                      <a:ext cx="5334000" cy="178236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p>
      <w:pPr>
        <w:pStyle w:val="BodyText"/>
      </w:pPr>
      <w:r>
        <w:t xml:space="preserve">The lenient answer metrics moved the ratios up but did not change the pattern (Table </w:t>
      </w:r>
      <w:hyperlink w:anchor="tab:transferalt">
        <w:r>
          <w:rPr>
            <w:rStyle w:val="Hyperlink"/>
          </w:rPr>
          <w:t xml:space="preserve">[tab:transferalt]</w:t>
        </w:r>
      </w:hyperlink>
      <w:r>
        <w:t xml:space="preserve">). With token F1, the NQ ratios of the dense encoders stayed between 0.23 and 0.33. On HotpotQA with Llama, the F1 ratio of bge-large was 1.10 [0.95, 1.28], so under F1 a full transfer cannot be ruled out for that encoder.</w:t>
      </w:r>
    </w:p>
    <w:bookmarkEnd w:id="69"/>
    <w:bookmarkStart w:id="74" w:name="sec:res-decomp"/>
    <w:p>
      <w:pPr>
        <w:pStyle w:val="Heading2"/>
      </w:pPr>
      <w:r>
        <w:t xml:space="preserve">Where the transfer comes from</w:t>
      </w:r>
    </w:p>
    <w:p>
      <w:pPr>
        <w:pStyle w:val="FirstParagraph"/>
      </w:pPr>
      <w:r>
        <w:t xml:space="preserve">The decomposition in Eq. </w:t>
      </w:r>
      <w:hyperlink w:anchor="eq:decomp">
        <w:r>
          <w:rPr>
            <w:rStyle w:val="Hyperlink"/>
          </w:rPr>
          <w:t xml:space="preserve">[eq:decomp]</w:t>
        </w:r>
      </w:hyperlink>
      <w:r>
        <w:t xml:space="preserve"> </w:t>
      </w:r>
      <w:r>
        <w:t xml:space="preserve">separates two effects (Table </w:t>
      </w:r>
      <w:hyperlink w:anchor="tab:decomp">
        <w:r>
          <w:rPr>
            <w:rStyle w:val="Hyperlink"/>
          </w:rPr>
          <w:t xml:space="preserve">[tab:decomp]</w:t>
        </w:r>
      </w:hyperlink>
      <w:r>
        <w:t xml:space="preserve"> </w:t>
      </w:r>
      <w:r>
        <w:t xml:space="preserve">and Fig. </w:t>
      </w:r>
      <w:hyperlink w:anchor="fig:error">
        <w:r>
          <w:rPr>
            <w:rStyle w:val="Hyperlink"/>
          </w:rPr>
          <w:t xml:space="preserve">6</w:t>
        </w:r>
      </w:hyperlink>
      <w:r>
        <w:t xml:space="preserve">). One term, the hit–miss gap of MiniLM-L6, was similar in all cells: 0.33 and 0.32 on NQ, 0.25 and 0.28 on HotpotQA. The other term differed in sign between the datasets.</w:t>
      </w:r>
    </w:p>
    <w:p>
      <w:pPr>
        <w:pStyle w:val="BodyText"/>
      </w:pPr>
      <w:r>
        <w:t xml:space="preserve">On NQ it was negative for every dense encoder (from −0.16 to −0.05 with Llama; from −0.14 to −0.08 with Qwen). Better encoders found gold passages for more questions, but EM given a hit fell slightly (Qwen: 0.584 for MiniLM-L6, 0.569 for e5-base-v2). EM given a miss stayed near 0.244, well above closed-book EM (0.149). A</w:t>
      </w:r>
      <w:r>
        <w:t xml:space="preserve"> </w:t>
      </w:r>
      <w:r>
        <w:t xml:space="preserve">“</w:t>
      </w:r>
      <w:r>
        <w:t xml:space="preserve">miss</w:t>
      </w:r>
      <w:r>
        <w:t xml:space="preserve">”</w:t>
      </w:r>
      <w:r>
        <w:t xml:space="preserve"> </w:t>
      </w:r>
      <w:r>
        <w:t xml:space="preserve">under the sparse NQ labels thus often still produced a correct answer.</w:t>
      </w:r>
    </w:p>
    <w:p>
      <w:pPr>
        <w:pStyle w:val="BodyText"/>
      </w:pPr>
      <w:r>
        <w:t xml:space="preserve">On HotpotQA the second term was positive and large, from +0.24 (Qwen3-Embedding-0.6B with Qwen) to +0.65 (bge-large with Llama). It made up 48% to 70% of the ratio. EM given a hit rose with the encoder (Qwen: 0.350 for MiniLM-L6, 0.438 for bge-large), while EM given a miss was lower for the stronger encoders (Qwen: 0.098 for MiniLM-L6, 0.030 to 0.090 for the others). The rise matches the Both@5 results: better encoders more often retrieved the second supporting passage, which Hit@5 does not count. In a post hoc check, the EM ranking of the seven retrievers equalled their Both@5 ranking in both HotpotQA cells (Spearman</w:t>
      </w:r>
      <w:r>
        <w:t xml:space="preserve"> </w:t>
      </w:r>
      <m:oMath>
        <m:r>
          <m:t>ρ</m:t>
        </m:r>
      </m:oMath>
      <w:r>
        <w:t xml:space="preserve"> </w:t>
      </w:r>
      <w:r>
        <w:t xml:space="preserve">= 1.00 and 1.00); against Hit@5 it was 0.96 and 0.96. Bridge questions drove this. With Qwen, bridge EM rose from 0.248 (MiniLM-L6) to 0.384 (bge-large), while comparison EM moved from 0.539 to 0.594, close to its gold bound of 0.654.</w:t>
      </w:r>
    </w:p>
    <w:p>
      <w:pPr>
        <w:pStyle w:val="CaptionedFigure"/>
      </w:pPr>
      <w:r>
        <w:drawing>
          <wp:inline>
            <wp:extent cx="5334000" cy="2453688"/>
            <wp:effectExtent b="0" l="0" r="0" t="0"/>
            <wp:docPr descr="" title="" id="71" name="Picture"/>
            <a:graphic>
              <a:graphicData uri="http://schemas.openxmlformats.org/drawingml/2006/picture">
                <pic:pic>
                  <pic:nvPicPr>
                    <pic:cNvPr descr="/home/claude/rag-embed-transfer/paper_figures/out/fig10_error.png" id="72" name="Picture"/>
                    <pic:cNvPicPr>
                      <a:picLocks noChangeArrowheads="1" noChangeAspect="1"/>
                    </pic:cNvPicPr>
                  </pic:nvPicPr>
                  <pic:blipFill>
                    <a:blip r:embed="rId70"/>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Start w:id="73" w:name="abstention-prompt"/>
    <w:p>
      <w:pPr>
        <w:pStyle w:val="Heading4"/>
      </w:pPr>
      <w:r>
        <w:t xml:space="preserve">Abstention prompt</w:t>
      </w:r>
    </w:p>
    <w:p>
      <w:pPr>
        <w:pStyle w:val="FirstParagraph"/>
      </w:pPr>
      <w:r>
        <w:t xml:space="preserve">A Phase 1 check (Table </w:t>
      </w:r>
      <w:hyperlink w:anchor="tab:idk">
        <w:r>
          <w:rPr>
            <w:rStyle w:val="Hyperlink"/>
          </w:rPr>
          <w:t xml:space="preserve">9</w:t>
        </w:r>
      </w:hyperlink>
      <w:r>
        <w:t xml:space="preserve">) supports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73"/>
    <w:bookmarkEnd w:id="74"/>
    <w:bookmarkStart w:id="76" w:name="sec:res-encoders"/>
    <w:p>
      <w:pPr>
        <w:pStyle w:val="Heading2"/>
      </w:pPr>
      <w:r>
        <w:t xml:space="preserve">Encoder comparisons (RQ2)</w:t>
      </w:r>
    </w:p>
    <w:p>
      <w:pPr>
        <w:pStyle w:val="FirstParagraph"/>
      </w:pPr>
      <w:r>
        <w:t xml:space="preserve">Prediction P2 held on NQ and failed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pooled model over all four cells (Table </w:t>
      </w:r>
      <w:hyperlink w:anchor="tab:gee">
        <w:r>
          <w:rPr>
            <w:rStyle w:val="Hyperlink"/>
          </w:rPr>
          <w:t xml:space="preserve">1</w:t>
        </w:r>
      </w:hyperlink>
      <w:r>
        <w:t xml:space="preserve">; 59,570 answers in 4,255 query clusters) gave the same picture: odds ratio 1.038 [1.001, 1.076] for bge-large and 0.909 [0.875, 0.943] for Qwen3-Embedding-0.6B, each against e5-base-v2. The bge-large advantage was small and its interval nearly touched 1. The pooled model mixes the two study phases and is secondary.</w:t>
      </w:r>
    </w:p>
    <w:bookmarkStart w:id="75" w:name="tab:gee"/>
    <w:p>
      <w:pPr>
        <w:pStyle w:val="TableCaption"/>
      </w:pPr>
      <w:r>
        <w:t xml:space="preserve">Pooled GEE logistic model of EM over the four reader–dataset cells.</w:t>
      </w:r>
    </w:p>
    <w:tbl>
      <w:tblPr>
        <w:tblStyle w:val="Table"/>
        <w:tblW w:type="auto" w:w="0"/>
        <w:tblLook w:firstRow="1" w:lastRow="0" w:firstColumn="0" w:lastColumn="0" w:noHBand="0" w:noVBand="0" w:val="0020"/>
        <w:jc w:val="start"/>
        <w:tblCaption w:val="Pooled GEE logistic model of EM over the four reader–dataset cells."/>
      </w:tblPr>
      <w:tblGrid>
        <w:gridCol w:w="2640"/>
        <w:gridCol w:w="2640"/>
        <w:gridCol w:w="2640"/>
      </w:tblGrid>
      <w:tr>
        <w:trPr>
          <w:tblHeader w:val="true"/>
        </w:trPr>
        <w:tc>
          <w:tcPr/>
          <w:p>
            <w:pPr>
              <w:pStyle w:val="Compact"/>
              <w:jc w:val="left"/>
            </w:pPr>
            <w:r>
              <w:t xml:space="preserve">Contrast</w:t>
            </w:r>
          </w:p>
        </w:tc>
        <w:tc>
          <w:tcPr/>
          <w:p>
            <w:pPr>
              <w:pStyle w:val="Compact"/>
              <w:jc w:val="center"/>
            </w:pPr>
            <w:r>
              <w:t xml:space="preserve">Odds ratio [95% CI]</w:t>
            </w:r>
          </w:p>
        </w:tc>
        <w:tc>
          <w:tcPr/>
          <w:p>
            <w:pPr>
              <w:pStyle w:val="Compact"/>
              <w:jc w:val="center"/>
            </w:pPr>
            <m:oMath>
              <m:r>
                <m:t>p</m:t>
              </m:r>
            </m:oMath>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0.043</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m:oMath>
              <m:r>
                <m:rPr>
                  <m:sty m:val="p"/>
                </m:rPr>
                <m:t>&lt;</m:t>
              </m:r>
            </m:oMath>
            <w:r>
              <w:t xml:space="preserve">0.001</w:t>
            </w:r>
          </w:p>
        </w:tc>
      </w:tr>
    </w:tbl>
    <w:bookmarkEnd w:id="75"/>
    <w:p>
      <w:pPr>
        <w:pStyle w:val="BodyText"/>
      </w:pPr>
      <w:r>
        <w:rPr>
          <w:iCs/>
          <w:i/>
        </w:rPr>
        <w:t xml:space="preserve">EM</w:t>
      </w:r>
      <w:r>
        <w:rPr>
          <w:iCs/>
          <w:i/>
        </w:rPr>
        <w:t xml:space="preserve"> </w:t>
      </w:r>
      <m:oMath>
        <m:r>
          <m:rPr>
            <m:sty m:val="p"/>
          </m:rPr>
          <m:t>∼</m:t>
        </m:r>
      </m:oMath>
      <w:r>
        <w:rPr>
          <w:iCs/>
          <w:i/>
        </w:rPr>
        <w:t xml:space="preserve"> </w:t>
      </w:r>
      <w:r>
        <w:rPr>
          <w:iCs/>
          <w:i/>
        </w:rPr>
        <w:t xml:space="preserve">retriever + dataset + reader; exchangeable working correlation (0.60) within query; 59,570 answers in 4,255 query clusters; empirical (sandwich) standard errors.</w:t>
      </w:r>
    </w:p>
    <w:bookmarkEnd w:id="76"/>
    <w:bookmarkStart w:id="89" w:name="sec:res-context"/>
    <w:p>
      <w:pPr>
        <w:pStyle w:val="Heading2"/>
      </w:pPr>
      <w:r>
        <w:t xml:space="preserve">Context choices (RQ3)</w:t>
      </w:r>
    </w:p>
    <w:bookmarkStart w:id="80" w:name="number-of-passages"/>
    <w:p>
      <w:pPr>
        <w:pStyle w:val="Heading4"/>
      </w:pPr>
      <w:r>
        <w:t xml:space="preserve">Number of passages</w:t>
      </w:r>
    </w:p>
    <w:p>
      <w:pPr>
        <w:pStyle w:val="FirstParagraph"/>
      </w:pPr>
      <w:r>
        <w:t xml:space="preserve">Table </w:t>
      </w:r>
      <w:hyperlink w:anchor="tab:topk">
        <w:r>
          <w:rPr>
            <w:rStyle w:val="Hyperlink"/>
          </w:rPr>
          <w:t xml:space="preserve">2</w:t>
        </w:r>
      </w:hyperlink>
      <w:r>
        <w:t xml:space="preserve"> </w:t>
      </w:r>
      <w:r>
        <w:t xml:space="preserve">and Fig. </w:t>
      </w:r>
      <w:hyperlink w:anchor="fig:topk">
        <w:r>
          <w:rPr>
            <w:rStyle w:val="Hyperlink"/>
          </w:rPr>
          <w:t xml:space="preserve">7</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held;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w:t>
      </w:r>
    </w:p>
    <w:p>
      <w:pPr>
        <w:pStyle w:val="CaptionedFigure"/>
      </w:pPr>
      <w:r>
        <w:drawing>
          <wp:inline>
            <wp:extent cx="3770753" cy="2186608"/>
            <wp:effectExtent b="0" l="0" r="0" t="0"/>
            <wp:docPr descr="" title="" id="78" name="Picture"/>
            <a:graphic>
              <a:graphicData uri="http://schemas.openxmlformats.org/drawingml/2006/picture">
                <pic:pic>
                  <pic:nvPicPr>
                    <pic:cNvPr descr="/home/claude/rag-embed-transfer/paper_figures/out/fig3_topk.png" id="79" name="Picture"/>
                    <pic:cNvPicPr>
                      <a:picLocks noChangeArrowheads="1" noChangeAspect="1"/>
                    </pic:cNvPicPr>
                  </pic:nvPicPr>
                  <pic:blipFill>
                    <a:blip r:embed="rId77"/>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80"/>
    <w:bookmarkStart w:id="86"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3</w:t>
        </w:r>
      </w:hyperlink>
      <w:r>
        <w:t xml:space="preserve"> </w:t>
      </w:r>
      <w:r>
        <w:t xml:space="preserve">and Fig. </w:t>
      </w:r>
      <w:hyperlink w:anchor="fig:mechanism">
        <w:r>
          <w:rPr>
            <w:rStyle w:val="Hyperlink"/>
          </w:rPr>
          <w:t xml:space="preserve">8</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held). Random passages were harmless: gold at position 1 plus four random passages did not differ detectably from the gold passage alone (0.648;</w:t>
      </w:r>
      <w:r>
        <w:t xml:space="preserve"> </w:t>
      </w:r>
      <m:oMath>
        <m:r>
          <m:t>p</m:t>
        </m:r>
      </m:oMath>
      <w:r>
        <w:t xml:space="preserve"> </w:t>
      </w:r>
      <w:r>
        <w:t xml:space="preserve">= 0.71).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failed).</w:t>
      </w:r>
    </w:p>
    <w:p>
      <w:pPr>
        <w:pStyle w:val="CaptionedFigure"/>
      </w:pPr>
      <w:r>
        <w:drawing>
          <wp:inline>
            <wp:extent cx="3990943" cy="1617784"/>
            <wp:effectExtent b="0" l="0" r="0" t="0"/>
            <wp:docPr descr="" title="" id="82" name="Picture"/>
            <a:graphic>
              <a:graphicData uri="http://schemas.openxmlformats.org/drawingml/2006/picture">
                <pic:pic>
                  <pic:nvPicPr>
                    <pic:cNvPr descr="/home/claude/rag-embed-transfer/paper_figures/out/fig4_mechanism.png" id="83" name="Picture"/>
                    <pic:cNvPicPr>
                      <a:picLocks noChangeArrowheads="1" noChangeAspect="1"/>
                    </pic:cNvPicPr>
                  </pic:nvPicPr>
                  <pic:blipFill>
                    <a:blip r:embed="rId81"/>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84"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84"/>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85"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85"/>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86"/>
    <w:bookmarkStart w:id="88" w:name="reranking"/>
    <w:p>
      <w:pPr>
        <w:pStyle w:val="Heading4"/>
      </w:pPr>
      <w:r>
        <w:t xml:space="preserve">Reranking</w:t>
      </w:r>
    </w:p>
    <w:p>
      <w:pPr>
        <w:pStyle w:val="FirstParagraph"/>
      </w:pPr>
      <w:r>
        <w:t xml:space="preserve">The cross-encoder helped BM25 and hurt e5-base-v2 (Table </w:t>
      </w:r>
      <w:hyperlink w:anchor="tab:reranker">
        <w:r>
          <w:rPr>
            <w:rStyle w:val="Hyperlink"/>
          </w:rPr>
          <w:t xml:space="preserve">4</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lowered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87"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87"/>
    <w:p>
      <w:pPr>
        <w:pStyle w:val="BodyText"/>
      </w:pPr>
      <w:r>
        <w:rPr>
          <w:iCs/>
          <w:i/>
        </w:rPr>
        <w:t xml:space="preserve">Retrieval on all 3,452 judged queries; EM on the 2,255 generation queries (Qwen). Latency: median per query, 50 pairs, one T4.</w:t>
      </w:r>
    </w:p>
    <w:bookmarkEnd w:id="88"/>
    <w:bookmarkEnd w:id="89"/>
    <w:bookmarkStart w:id="105" w:name="sec:res-cost"/>
    <w:p>
      <w:pPr>
        <w:pStyle w:val="Heading2"/>
      </w:pPr>
      <w:r>
        <w:t xml:space="preserve">Cost and checks of the setup (RQ4)</w:t>
      </w:r>
    </w:p>
    <w:bookmarkStart w:id="94" w:name="encoding-cost"/>
    <w:p>
      <w:pPr>
        <w:pStyle w:val="Heading4"/>
      </w:pPr>
      <w:r>
        <w:t xml:space="preserve">Encoding cost</w:t>
      </w:r>
    </w:p>
    <w:p>
      <w:pPr>
        <w:pStyle w:val="FirstParagraph"/>
      </w:pPr>
      <w:r>
        <w:t xml:space="preserve">Table </w:t>
      </w:r>
      <w:hyperlink w:anchor="tab:cost">
        <w:r>
          <w:rPr>
            <w:rStyle w:val="Hyperlink"/>
          </w:rPr>
          <w:t xml:space="preserve">5</w:t>
        </w:r>
      </w:hyperlink>
      <w:r>
        <w:t xml:space="preserve"> </w:t>
      </w:r>
      <w:r>
        <w:t xml:space="preserve">gives the measured cost. Throughput fell from 1,807 passages per second for MiniLM-L6 to 66 for Qwen3-Embedding-0.6B, a factor of 27. e5-base-v2 encoded 2.9 times faster than bge-large. The five repetitions varied little (Table </w:t>
      </w:r>
      <w:hyperlink w:anchor="tab:cost">
        <w:r>
          <w:rPr>
            <w:rStyle w:val="Hyperlink"/>
          </w:rPr>
          <w:t xml:space="preserve">5</w:t>
        </w:r>
      </w:hyperlink>
      <w:r>
        <w:t xml:space="preserve">): their throughput ranges did not overlap for any pair of encoders except bge-base and e5-base-v2, which share the same architecture size. Query encoding took 6.0 to 52.2 ms per query; BM25 took 25.7 ms on the CPU. Fig. </w:t>
      </w:r>
      <w:hyperlink w:anchor="fig:cost">
        <w:r>
          <w:rPr>
            <w:rStyle w:val="Hyperlink"/>
          </w:rPr>
          <w:t xml:space="preserve">9</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91" name="Picture"/>
            <a:graphic>
              <a:graphicData uri="http://schemas.openxmlformats.org/drawingml/2006/picture">
                <pic:pic>
                  <pic:nvPicPr>
                    <pic:cNvPr descr="/home/claude/rag-embed-transfer/paper_figures/out/fig5_cost_quality.png" id="92" name="Picture"/>
                    <pic:cNvPicPr>
                      <a:picLocks noChangeArrowheads="1" noChangeAspect="1"/>
                    </pic:cNvPicPr>
                  </pic:nvPicPr>
                  <pic:blipFill>
                    <a:blip r:embed="rId90"/>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93"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93"/>
    <w:p>
      <w:pPr>
        <w:pStyle w:val="BodyText"/>
      </w:pPr>
      <w:r>
        <w:rPr>
          <w:iCs/>
          <w:i/>
        </w:rPr>
        <w:t xml:space="preserve">BM25 batch-1 query latency on CPU: 25.7 ms (23.7–27.7).</w:t>
      </w:r>
    </w:p>
    <w:bookmarkEnd w:id="94"/>
    <w:bookmarkStart w:id="98" w:name="deployment-cost-on-a-cpu"/>
    <w:p>
      <w:pPr>
        <w:pStyle w:val="Heading4"/>
      </w:pPr>
      <w:r>
        <w:t xml:space="preserve">Deployment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10</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12</w:t>
        </w:r>
      </w:hyperlink>
      <w:r>
        <w:t xml:space="preserve"> </w:t>
      </w:r>
      <w:r>
        <w:t xml:space="preserve">in the appendix gives the same view for NQ nDCG@10.</w:t>
      </w:r>
    </w:p>
    <w:p>
      <w:pPr>
        <w:pStyle w:val="CaptionedFigure"/>
      </w:pPr>
      <w:r>
        <w:drawing>
          <wp:inline>
            <wp:extent cx="5334000" cy="3514470"/>
            <wp:effectExtent b="0" l="0" r="0" t="0"/>
            <wp:docPr descr="" title="" id="96" name="Picture"/>
            <a:graphic>
              <a:graphicData uri="http://schemas.openxmlformats.org/drawingml/2006/picture">
                <pic:pic>
                  <pic:nvPicPr>
                    <pic:cNvPr descr="/home/claude/rag-embed-transfer/paper_figures/out/fig11_pareto.png" id="97" name="Picture"/>
                    <pic:cNvPicPr>
                      <a:picLocks noChangeArrowheads="1" noChangeAspect="1"/>
                    </pic:cNvPicPr>
                  </pic:nvPicPr>
                  <pic:blipFill>
                    <a:blip r:embed="rId95"/>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5</w:t>
        </w:r>
      </w:hyperlink>
      <w:r>
        <w:rPr>
          <w:iCs/>
          <w:i/>
        </w:rPr>
        <w:t xml:space="preserve">.</w:t>
      </w:r>
    </w:p>
    <w:bookmarkEnd w:id="98"/>
    <w:bookmarkStart w:id="99"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the top-5 overlap with exact search was 0.9956 or higher, Hit@5 changed by at most 0.0023, and the median query latency on the CPU fell from 36–78 ms to 0.84–1.45 ms.</w:t>
      </w:r>
    </w:p>
    <w:tbl>
      <w:tblPr>
        <w:tblStyle w:val="Table"/>
        <w:tblW w:type="auto" w:w="0"/>
        <w:tblLook w:firstRow="0" w:lastRow="0" w:firstColumn="0" w:lastColumn="0" w:noHBand="0" w:noVBand="0" w:val="0000"/>
        <w:jc w:val="start"/>
      </w:tblPr>
      <w:tblGrid>
        <w:gridCol w:w="880"/>
        <w:gridCol w:w="880"/>
        <w:gridCol w:w="880"/>
        <w:gridCol w:w="880"/>
        <w:gridCol w:w="880"/>
        <w:gridCol w:w="880"/>
        <w:gridCol w:w="880"/>
        <w:gridCol w:w="880"/>
        <w:gridCol w:w="880"/>
      </w:tblGrid>
      <w:tr>
        <w:tc>
          <w:tcPr/>
          <w:p>
            <w:pPr>
              <w:pStyle w:val="Compact"/>
              <w:jc w:val="left"/>
            </w:pPr>
            <w:r>
              <w:t xml:space="preserve">Encoder</w:t>
            </w:r>
          </w:p>
        </w:tc>
        <w:tc>
          <w:tcPr>
            <w:gridSpan w:val="2"/>
          </w:tcPr>
          <w:p>
            <w:pPr>
              <w:pStyle w:val="Compact"/>
              <w:jc w:val="center"/>
            </w:pPr>
            <w:r>
              <w:t xml:space="preserve">Exact</w:t>
            </w:r>
          </w:p>
        </w:tc>
        <w:tc>
          <w:tcPr>
            <w:gridSpan w:val="3"/>
          </w:tcPr>
          <w:p>
            <w:pPr>
              <w:pStyle w:val="Compact"/>
              <w:jc w:val="center"/>
            </w:pPr>
            <w:r>
              <w:t xml:space="preserve">HNSW ef=64</w:t>
            </w:r>
          </w:p>
        </w:tc>
        <w:tc>
          <w:tcPr>
            <w:gridSpan w:val="3"/>
          </w:tcPr>
          <w:p>
            <w:pPr>
              <w:pStyle w:val="Compact"/>
              <w:jc w:val="center"/>
            </w:pPr>
            <w:r>
              <w:t xml:space="preserve">HNSW ef=128</w:t>
            </w:r>
          </w:p>
        </w:tc>
      </w:tr>
      <w:tr>
        <w:tc>
          <w:tcPr/>
          <w:p>
            <w:pPr>
              <w:pStyle w:val="Compact"/>
            </w:pP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Overlap: mean share of the exact top 100 recovered. ms: median batch-1 query latency on 4 vCPUs.</w:t>
      </w:r>
    </w:p>
    <w:bookmarkEnd w:id="99"/>
    <w:bookmarkStart w:id="104"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held; Table </w:t>
      </w:r>
      <w:hyperlink w:anchor="tab:fullcorpus">
        <w:r>
          <w:rPr>
            <w:rStyle w:val="Hyperlink"/>
          </w:rPr>
          <w:t xml:space="preserve">6</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their order. Its BM25-mined negatives may also make the sub-corpus easier for BM25 relative to the dense encoders than the full corpus is; we did not test reader answers on the full corpus.</w:t>
      </w:r>
    </w:p>
    <w:p>
      <w:pPr>
        <w:pStyle w:val="CaptionedFigure"/>
      </w:pPr>
      <w:r>
        <w:drawing>
          <wp:inline>
            <wp:extent cx="2975622" cy="1544387"/>
            <wp:effectExtent b="0" l="0" r="0" t="0"/>
            <wp:docPr descr="" title="" id="101" name="Picture"/>
            <a:graphic>
              <a:graphicData uri="http://schemas.openxmlformats.org/drawingml/2006/picture">
                <pic:pic>
                  <pic:nvPicPr>
                    <pic:cNvPr descr="/home/claude/rag-embed-transfer/paper_figures/out/fig6_full_corpus.png" id="102" name="Picture"/>
                    <pic:cNvPicPr>
                      <a:picLocks noChangeArrowheads="1" noChangeAspect="1"/>
                    </pic:cNvPicPr>
                  </pic:nvPicPr>
                  <pic:blipFill>
                    <a:blip r:embed="rId100"/>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03"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03"/>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04"/>
    <w:bookmarkEnd w:id="105"/>
    <w:bookmarkStart w:id="107"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7</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w:t>
      </w:r>
    </w:p>
    <w:bookmarkStart w:id="106"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06"/>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07"/>
    <w:bookmarkStart w:id="108"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six predictions. P3, P4 and P5 held. P1 failed in one of three new cells, P2 failed in both HotpotQA cells, and P6 failed.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6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6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holds</w:t>
            </w:r>
          </w:p>
        </w:tc>
        <w:tc>
          <w:tcPr/>
          <w:p>
            <w:pPr>
              <w:pStyle w:val="Compact"/>
              <w:jc w:val="left"/>
            </w:pPr>
            <w:r>
              <w:t xml:space="preserve">5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5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holds</w:t>
            </w:r>
          </w:p>
        </w:tc>
        <w:tc>
          <w:tcPr/>
          <w:p>
            <w:pPr>
              <w:pStyle w:val="Compact"/>
              <w:jc w:val="left"/>
            </w:pPr>
            <w:r>
              <w:t xml:space="preserve">Kendall’s</w:t>
            </w:r>
            <w:r>
              <w:t xml:space="preserve"> </w:t>
            </w:r>
            <m:oMath>
              <m:r>
                <m:t>τ</m:t>
              </m:r>
            </m:oMath>
            <w:r>
              <w:t xml:space="preserve"> </w:t>
            </w:r>
            <w:r>
              <w:t xml:space="preserve">= 1.00</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holds</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holds</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fails</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bl>
    <w:p>
      <w:pPr>
        <w:pStyle w:val="BodyText"/>
      </w:pPr>
      <w:r>
        <w:rPr>
          <w:iCs/>
          <w:i/>
        </w:rPr>
        <w:t xml:space="preserve">P1: every reportable EM transfer ratio has an upper 95% bound below 1.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w:t>
      </w:r>
      <w:r>
        <w:rPr>
          <w:iCs/>
          <w:i/>
        </w:rPr>
        <w:t xml:space="preserve"> </w:t>
      </w:r>
      <m:oMath>
        <m:sSup>
          <m:e>
            <m:r>
              <m:t>​</m:t>
            </m:r>
          </m:e>
          <m:sup>
            <m:r>
              <m:rPr>
                <m:sty m:val="p"/>
              </m:rPr>
              <m:t>†</m:t>
            </m:r>
          </m:sup>
        </m:sSup>
      </m:oMath>
      <w:r>
        <w:rPr>
          <w:iCs/>
          <w:i/>
        </w:rPr>
        <w:t xml:space="preserve">Not confirmatory: this cell was observed in Phase 1 of the study, before the predictions were registered.</w:t>
      </w:r>
      <w:r>
        <w:rPr>
          <w:iCs/>
          <w:i/>
        </w:rPr>
        <w:t xml:space="preserve"> </w:t>
      </w:r>
      <m:oMath>
        <m:sSup>
          <m:e>
            <m:r>
              <m:t>​</m:t>
            </m:r>
          </m:e>
          <m:sup>
            <m:r>
              <m:rPr>
                <m:sty m:val="p"/>
              </m:rPr>
              <m:t>‡</m:t>
            </m:r>
          </m:sup>
        </m:sSup>
      </m:oMath>
      <w:r>
        <w:rPr>
          <w:iCs/>
          <w:i/>
        </w:rPr>
        <w:t xml:space="preserve">Confirmatory for bge-small, bge-base, e5-base-v2 and Qwen3-Emb-0.6B only; the other three were observed before registration.</w:t>
      </w:r>
    </w:p>
    <w:bookmarkEnd w:id="108"/>
    <w:bookmarkEnd w:id="109"/>
    <w:bookmarkStart w:id="114" w:name="sec:discussion"/>
    <w:p>
      <w:pPr>
        <w:pStyle w:val="Heading1"/>
      </w:pPr>
      <w:r>
        <w:t xml:space="preserve">Discussion</w:t>
      </w:r>
    </w:p>
    <w:bookmarkStart w:id="110" w:name="what-the-transfer-ratio-shows"/>
    <w:p>
      <w:pPr>
        <w:pStyle w:val="Heading2"/>
      </w:pPr>
      <w:r>
        <w:t xml:space="preserve">What the transfer ratio shows</w:t>
      </w:r>
    </w:p>
    <w:p>
      <w:pPr>
        <w:pStyle w:val="FirstParagraph"/>
      </w:pPr>
      <w:r>
        <w:t xml:space="preserve">On single-hop NQ, a retrieval gain over a small encoder reached the answer at a rate of 0.16 to 0.27 EM points per Hit@5 point, with both readers. Three observations within our setup are consistent with this. One: the readers fell well short of their gold-passage bound even with good retrieval, so part of the loss lies in reading, not retrieval. Two: EM given a miss stayed far above closed-book EM. The NQ relevance labels are sparse, so many</w:t>
      </w:r>
      <w:r>
        <w:t xml:space="preserve"> </w:t>
      </w:r>
      <w:r>
        <w:t xml:space="preserve">“</w:t>
      </w:r>
      <w:r>
        <w:t xml:space="preserve">misses</w:t>
      </w:r>
      <w:r>
        <w:t xml:space="preserve">”</w:t>
      </w:r>
      <w:r>
        <w:t xml:space="preserve"> </w:t>
      </w:r>
      <w:r>
        <w:t xml:space="preserve">still contained an answer-bearing passage that was not labelled gold, or the reader knew the answer. Hit@5 may therefore overstate the difference between encoders that matters for the reader. Three: EM given a hit fell slightly as encoders improved: the questions that a better encoder newly solves at the retrieval stage seem harder to answer. This last point is a hypothesis; we did not test which questions changed status.</w:t>
      </w:r>
    </w:p>
    <w:p>
      <w:pPr>
        <w:pStyle w:val="BodyText"/>
      </w:pPr>
      <w:r>
        <w:t xml:space="preserve">On multi-hop HotpotQA, Hit@5 saturated while Both@5 did not. Most of the transfer came from higher EM given a hit, and the EM ranking of retrievers followed Both@5 exactly. A reasonable reading is that, for bridge questions, the second supporting passage carries the answer, and Hit@5 does not count it. Under this reading the large HotpotQA ratios are partly an artefact of the denominator: the true retrieval gain is larger than Hit@5 shows. The comparison questions, where both entities are named in the question, were close to their gold bound for every dense encoder. Practitioners who build multi-hop systems should measure retrieval with a metric that requires all needed evidence.</w:t>
      </w:r>
    </w:p>
    <w:p>
      <w:pPr>
        <w:pStyle w:val="BodyText"/>
      </w:pPr>
      <w:r>
        <w:t xml:space="preserve">The two datasets therefore support different conclusions about the same encoders. A team that judges encoders by single-hop retrieval benchmarks will overrate the answer value of the strongest ones. A team with multi-hop questions may underrate it if it uses Hit@k.</w:t>
      </w:r>
    </w:p>
    <w:bookmarkEnd w:id="110"/>
    <w:bookmarkStart w:id="111" w:name="comparison-with-earlier-work"/>
    <w:p>
      <w:pPr>
        <w:pStyle w:val="Heading2"/>
      </w:pPr>
      <w:r>
        <w:t xml:space="preserve">Comparison with earlier work</w:t>
      </w:r>
    </w:p>
    <w:p>
      <w:pPr>
        <w:pStyle w:val="FirstParagraph"/>
      </w:pPr>
      <w:r>
        <w:t xml:space="preserve">Our NQ results agree with reports that retrieval gains do not carry over fully to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w:t>
      </w:r>
      <w:r>
        <w:t xml:space="preserve">and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They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random passages did not hurt.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w:t>
      </w:r>
    </w:p>
    <w:bookmarkEnd w:id="111"/>
    <w:bookmarkStart w:id="112" w:name="practical-implications"/>
    <w:p>
      <w:pPr>
        <w:pStyle w:val="Heading2"/>
      </w:pPr>
      <w:r>
        <w:t xml:space="preserve">Practical implications</w:t>
      </w:r>
    </w:p>
    <w:p>
      <w:pPr>
        <w:pStyle w:val="FirstParagraph"/>
      </w:pPr>
      <w:r>
        <w:t xml:space="preserve">Within our setup, the choice of encoder mattered less for answers than for retrieval, while its cost differed by more than an order of magnitude. For single-hop questions, a base-size encoder such as e5-base-v2 or bge-base gave answers that no larger encoder improved detectably, while encoding 2.9 times faster than bge-large. For multi-hop questions, bge-large gave a small but detectable gain. Qwen3-Embedding-0.6B was the most expensive encoder and gave lower answers than e5-base-v2 on HotpotQA; its instruction and length settings may not suit this task, and we did not tune them. Retrieving ten passages instead of five raised EM for most retrievers and narrowed their differences, which is a cheaper lever than a larger encoder when the reader’s context allows it. A cross-encoder helped the weak BM25 retrieval stage but not a strong dense one. Approximate search can replace exact search at no measurable cost in answers.</w:t>
      </w:r>
    </w:p>
    <w:bookmarkEnd w:id="112"/>
    <w:bookmarkStart w:id="113"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the F1 and containment ratios were higher but showed the same contrast between datasets. The sub-corpus inflates dense retrieval scores, but the full-corpus check kept the order of four retrievers, and the inflation was similar for the three dense encoders tested (0.083 to 0.086 in nDCG@10). The readers were 4-bit quantised 7–8B models with one prompt; stronger readers may convert hits into answers at a different rate. The baseline encoder also matters:</w:t>
      </w:r>
      <w:r>
        <w:t xml:space="preserve"> </w:t>
      </w:r>
      <m:oMath>
        <m:r>
          <m:t>T</m:t>
        </m:r>
        <m:d>
          <m:dPr>
            <m:begChr m:val="("/>
            <m:endChr m:val=")"/>
            <m:sepChr m:val=""/>
            <m:grow/>
          </m:dPr>
          <m:e>
            <m:r>
              <m:t>R</m:t>
            </m:r>
          </m:e>
        </m:d>
      </m:oMath>
      <w:r>
        <w:t xml:space="preserve"> </w:t>
      </w:r>
      <w:r>
        <w:t xml:space="preserve">against MiniLM-L6 measures gains above a fairly strong small encoder, and ratios against BM25 would differ.</w:t>
      </w:r>
    </w:p>
    <w:bookmarkEnd w:id="113"/>
    <w:bookmarkEnd w:id="114"/>
    <w:bookmarkStart w:id="121" w:name="sec:limits"/>
    <w:p>
      <w:pPr>
        <w:pStyle w:val="Heading1"/>
      </w:pPr>
      <w:r>
        <w:t xml:space="preserve">Limitations</w:t>
      </w:r>
    </w:p>
    <w:bookmarkStart w:id="115"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transfer ratios. Results may differ for other domains, longer answers, larger or proprietary readers, other prompts or agentic pipelines. All timings come from one GPU type (Tesla T4) and one CPU configuration.</w:t>
      </w:r>
    </w:p>
    <w:bookmarkEnd w:id="115"/>
    <w:bookmarkStart w:id="116" w:name="corpus-and-labels"/>
    <w:p>
      <w:pPr>
        <w:pStyle w:val="Heading4"/>
      </w:pPr>
      <w:r>
        <w:t xml:space="preserve">Corpus and labels</w:t>
      </w:r>
    </w:p>
    <w:p>
      <w:pPr>
        <w:pStyle w:val="FirstParagraph"/>
      </w:pPr>
      <w:r>
        <w:t xml:space="preserve">Retrieval ran on 300,000-passage sub-corpora that contain every gold passage. The full-corpus check covers retrieval for four retrievers on NQ only; we did not rerun the readers on the full corpus or check HotpotQA. NQ relevance labels are sparse, so some</w:t>
      </w:r>
      <w:r>
        <w:t xml:space="preserve"> </w:t>
      </w:r>
      <w:r>
        <w:t xml:space="preserve">“</w:t>
      </w:r>
      <w:r>
        <w:t xml:space="preserve">misses</w:t>
      </w:r>
      <w:r>
        <w:t xml:space="preserve">”</w:t>
      </w:r>
      <w:r>
        <w:t xml:space="preserve"> </w:t>
      </w:r>
      <w:r>
        <w:t xml:space="preserve">contain the answer.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16"/>
    <w:bookmarkStart w:id="117" w:name="metrics-and-statistics"/>
    <w:p>
      <w:pPr>
        <w:pStyle w:val="Heading4"/>
      </w:pPr>
      <w:r>
        <w:t xml:space="preserve">Metrics and statistics</w:t>
      </w:r>
    </w:p>
    <w:p>
      <w:pPr>
        <w:pStyle w:val="FirstParagraph"/>
      </w:pPr>
      <w:r>
        <w:t xml:space="preserve">EM is strict. We report F1 and answer containment, but did not judge correctness by hand. The transfer ratio is a ratio of means and becomes unstable when the retrieval gain is small; our reporting rule removes the worst cases, but the bge-small intervals on NQ still include zero. The decomposition and the Both@5 ranking are post hoc. Multiplicity is controlled within each family, not across all tests in the paper. Bootstrap intervals, F1, answer containment and the pooled model were checked by a rerun on a second computer, not by an independent implementation.</w:t>
      </w:r>
    </w:p>
    <w:bookmarkEnd w:id="117"/>
    <w:bookmarkStart w:id="118" w:name="context-experiment"/>
    <w:p>
      <w:pPr>
        <w:pStyle w:val="Heading4"/>
      </w:pPr>
      <w:r>
        <w:t xml:space="preserve">Context experiment</w:t>
      </w:r>
    </w:p>
    <w:p>
      <w:pPr>
        <w:pStyle w:val="FirstParagraph"/>
      </w:pPr>
      <w:r>
        <w:t xml:space="preserve">The hard negatives are top-ranked BM25 passages without a gold label. Some may contain the answer; that would raise EM in the hard-negative condition and shrink the measured drop. We could not check this because the passage text is not stored with the outputs. The experiment used one reader and 500 questions.</w:t>
      </w:r>
    </w:p>
    <w:bookmarkEnd w:id="118"/>
    <w:bookmarkStart w:id="119"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19"/>
    <w:bookmarkStart w:id="120" w:name="two-study-phases"/>
    <w:p>
      <w:pPr>
        <w:pStyle w:val="Heading4"/>
      </w:pPr>
      <w:r>
        <w:t xml:space="preserve">Two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Within-cell comparisons share one environment. For comparisons across phases, 396 of 397 identical prompts gave identical outputs.</w:t>
      </w:r>
    </w:p>
    <w:bookmarkEnd w:id="120"/>
    <w:bookmarkEnd w:id="121"/>
    <w:bookmarkStart w:id="122" w:name="sec:conclusion"/>
    <w:p>
      <w:pPr>
        <w:pStyle w:val="Heading1"/>
      </w:pPr>
      <w:r>
        <w:t xml:space="preserve">Conclusion</w:t>
      </w:r>
    </w:p>
    <w:p>
      <w:pPr>
        <w:pStyle w:val="FirstParagraph"/>
      </w:pPr>
      <w:r>
        <w:t xml:space="preserve">We measured how much of a retrieval gain reaches the answer when a RAG system swaps one open embedding model for another. On single-hop NQ, between 0.16 and 0.27 EM points followed each Hit@5 point gained over MiniLM-L6, for both readers (RQ1). On multi-hop HotpotQA the ratio was larger, mainly because better encoders more often retrieved the second supporting passage, which Hit@5 does not count. Among dense encoders, bge-large gave a small EM gain over e5-base-v2 on HotpotQA and none detectable on NQ, and Qwen3-Embedding-0.6B gave lower EM (RQ2). Top-ranked non-gold passages lowered EM, gold position did not change it detectably, a reranker helped only the weak BM25 retrieval stage, and ten passages narrowed the gaps between retrievers (RQ3). Encoding throughput differed 27-fold, while approximate search and the sub-corpus did not change the order of retrievers (RQ4).</w:t>
      </w:r>
    </w:p>
    <w:p>
      <w:pPr>
        <w:pStyle w:val="BodyText"/>
      </w:pPr>
      <w:r>
        <w:t xml:space="preserve">Within this setup, retrieval benchmarks overstate the answer value of stronger encoders on single-hop questions, and Hit@k understates it on multi-hop questions. We recommend that RAG studies report answer gains next to retrieval gains, with paired intervals, and use retrieval metrics that require all evidence a question needs. Future work should test larger readers, other domains and a full corpus for the readers, and should replace EM with validated human or model judgements.</w:t>
      </w:r>
    </w:p>
    <w:bookmarkEnd w:id="122"/>
    <w:bookmarkStart w:id="127" w:name="ethics-statement"/>
    <w:p>
      <w:pPr>
        <w:pStyle w:val="Heading1"/>
      </w:pPr>
      <w:r>
        <w:t xml:space="preserve">Ethics statement</w:t>
      </w:r>
    </w:p>
    <w:bookmarkStart w:id="123"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23"/>
    <w:bookmarkStart w:id="124"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24"/>
    <w:bookmarkStart w:id="125"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25"/>
    <w:bookmarkStart w:id="126" w:name="compute"/>
    <w:p>
      <w:pPr>
        <w:pStyle w:val="Heading4"/>
      </w:pPr>
      <w:r>
        <w:t xml:space="preserve">Compute</w:t>
      </w:r>
    </w:p>
    <w:p>
      <w:pPr>
        <w:pStyle w:val="FirstParagraph"/>
      </w:pPr>
      <w:r>
        <w:t xml:space="preserve">All experiments ran on free Kaggle sessions with Tesla T4 GPUs; the study had no monetary cost.</w:t>
      </w:r>
    </w:p>
    <w:bookmarkEnd w:id="126"/>
    <w:bookmarkEnd w:id="127"/>
    <w:bookmarkStart w:id="128"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available for review at</w:t>
      </w:r>
      <w:r>
        <w:t xml:space="preserve"> </w:t>
      </w:r>
      <w:r>
        <w:t xml:space="preserve">[[TBD: anonymised repository link, to be inserted by the author before submission]]</w:t>
      </w:r>
      <w:r>
        <w:t xml:space="preserve">. The datasets and models are public under their own licences; the exact revisions are listed in Appendix </w:t>
      </w:r>
      <w:hyperlink w:anchor="app:repro">
        <w:r>
          <w:rPr>
            <w:rStyle w:val="Hyperlink"/>
          </w:rPr>
          <w:t xml:space="preserve">10</w:t>
        </w:r>
      </w:hyperlink>
      <w:r>
        <w:t xml:space="preserve">. Every number in this paper is generated from the committed analysis output.</w:t>
      </w:r>
    </w:p>
    <w:bookmarkEnd w:id="128"/>
    <w:bookmarkStart w:id="12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29"/>
    <w:bookmarkStart w:id="132" w:name="app:prompts"/>
    <w:p>
      <w:pPr>
        <w:pStyle w:val="Heading1"/>
      </w:pPr>
      <w:r>
        <w:t xml:space="preserve">Reader prompts</w:t>
      </w:r>
    </w:p>
    <w:p>
      <w:pPr>
        <w:pStyle w:val="FirstParagraph"/>
      </w:pPr>
      <w:r>
        <w:t xml:space="preserve">Each prompt was rendered with the reader’s own chat template. Passages appear in rank order as</w:t>
      </w:r>
      <w:r>
        <w:t xml:space="preserve"> </w:t>
      </w:r>
      <w:r>
        <w:t xml:space="preserve">“</w:t>
      </w:r>
      <w:r>
        <w:t xml:space="preserve">[</w:t>
      </w:r>
      <m:oMath>
        <m:r>
          <m:t>i</m:t>
        </m:r>
      </m:oMath>
      <w:r>
        <w:t xml:space="preserve">] title</w:t>
      </w:r>
      <w:r>
        <w:t xml:space="preserve">”</w:t>
      </w:r>
      <w:r>
        <w:t xml:space="preserve"> </w:t>
      </w:r>
      <w:r>
        <w:t xml:space="preserve">followed by the passage text on the next line, separated by blank lines.</w:t>
      </w:r>
    </w:p>
    <w:bookmarkStart w:id="130" w:name="a1-with-passages"/>
    <w:p>
      <w:pPr>
        <w:pStyle w:val="Heading4"/>
      </w:pPr>
      <w:r>
        <w:t xml:space="preserve">A1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Passages: … Question: {question} Answer:</w:t>
      </w:r>
      <w:r>
        <w:rPr>
          <w:iCs/>
          <w:i/>
        </w:rPr>
        <w:t xml:space="preserve">”</w:t>
      </w:r>
    </w:p>
    <w:bookmarkEnd w:id="130"/>
    <w:bookmarkStart w:id="131"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Question: {question} Answer:</w:t>
      </w:r>
      <w:r>
        <w:rPr>
          <w:iCs/>
          <w:i/>
        </w:rPr>
        <w:t xml:space="preserve">”</w:t>
      </w:r>
    </w:p>
    <w:p>
      <w:pPr>
        <w:pStyle w:val="BodyText"/>
      </w:pPr>
      <w:r>
        <w:t xml:space="preserve">The gold-passage condition uses A1 with the gold passages only.</w:t>
      </w:r>
    </w:p>
    <w:bookmarkEnd w:id="131"/>
    <w:bookmarkEnd w:id="132"/>
    <w:bookmarkStart w:id="134" w:name="app:repro"/>
    <w:p>
      <w:pPr>
        <w:pStyle w:val="Heading1"/>
      </w:pPr>
      <w:r>
        <w:t xml:space="preserve">Models, data and software</w:t>
      </w:r>
    </w:p>
    <w:bookmarkStart w:id="133"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33"/>
    <w:p>
      <w:pPr>
        <w:pStyle w:val="BodyText"/>
      </w:pPr>
      <w:r>
        <w:t xml:space="preserve">Retrieval used bm25s 0.3.11 and faiss-cpu 1.15.1; readers used vLLM 0.30.0 with PyTorch 2.13.0 (CUDA 13.0) and Transformers 5.17.0, in half precision with a maximum model length of 4,096 tokens.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End w:id="134"/>
    <w:bookmarkStart w:id="135"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first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pStyle w:val="FirstParagraph"/>
      </w:pPr>
      <w:r>
        <w:t xml:space="preserve">Pilot numbers were used only for planning and are not reported as results.</w:t>
      </w:r>
    </w:p>
    <w:bookmarkEnd w:id="135"/>
    <w:bookmarkStart w:id="237"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9</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and Table </w:t>
      </w:r>
      <w:hyperlink w:anchor="tab:pairwise">
        <w:r>
          <w:rPr>
            <w:rStyle w:val="Hyperlink"/>
          </w:rPr>
          <w:t xml:space="preserve">[tab:pairwise]</w:t>
        </w:r>
      </w:hyperlink>
      <w:r>
        <w:t xml:space="preserve"> </w:t>
      </w:r>
      <w:r>
        <w:t xml:space="preserve">all pairwise EM tests.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36"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36"/>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p>
      <w:pPr>
        <w:pStyle w:val="CaptionedFigure"/>
      </w:pPr>
      <w:r>
        <w:drawing>
          <wp:inline>
            <wp:extent cx="5334000" cy="1649855"/>
            <wp:effectExtent b="0" l="0" r="0" t="0"/>
            <wp:docPr descr="" title="" id="138" name="Picture"/>
            <a:graphic>
              <a:graphicData uri="http://schemas.openxmlformats.org/drawingml/2006/picture">
                <pic:pic>
                  <pic:nvPicPr>
                    <pic:cNvPr descr="/home/claude/rag-embed-transfer/paper_figures/out/fig12_latency.png" id="139" name="Picture"/>
                    <pic:cNvPicPr>
                      <a:picLocks noChangeArrowheads="1" noChangeAspect="1"/>
                    </pic:cNvPicPr>
                  </pic:nvPicPr>
                  <pic:blipFill>
                    <a:blip r:embed="rId137"/>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36" w:name="refs"/>
    <w:bookmarkStart w:id="141" w:name="ref-amiraz2025distracting"/>
    <w:p>
      <w:pPr>
        <w:pStyle w:val="Bibliography"/>
      </w:pPr>
      <w:r>
        <w:t xml:space="preserve">Amiraz, Chen, Florin Cuconasu, Simone Filice, and Zohar Karnin. 2025.</w:t>
      </w:r>
      <w:r>
        <w:t xml:space="preserve"> </w:t>
      </w:r>
      <w:r>
        <w:t xml:space="preserve">“The Distracting Effect: Understanding Irrelevant Passages in</w:t>
      </w:r>
      <w:r>
        <w:t xml:space="preserve"> </w:t>
      </w:r>
      <w:r>
        <w:t xml:space="preserve">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40">
        <w:r>
          <w:rPr>
            <w:rStyle w:val="Hyperlink"/>
          </w:rPr>
          <w:t xml:space="preserve">https://doi.org/10.18653/v1/2025.acl-long.892</w:t>
        </w:r>
      </w:hyperlink>
      <w:r>
        <w:t xml:space="preserve">.</w:t>
      </w:r>
    </w:p>
    <w:bookmarkEnd w:id="141"/>
    <w:bookmarkStart w:id="142" w:name="ref-elassadi2026embedder"/>
    <w:p>
      <w:pPr>
        <w:pStyle w:val="Bibliography"/>
      </w:pPr>
      <w:r>
        <w:t xml:space="preserve">Assadi, Adnan El, Niklas Muennighoff, and Jinhyuk Lee. 2026.</w:t>
      </w:r>
      <w:r>
        <w:t xml:space="preserve"> </w:t>
      </w:r>
      <w:r>
        <w:t xml:space="preserve">“The Embedder’s Dilemma:</w:t>
      </w:r>
      <w:r>
        <w:t xml:space="preserve"> </w:t>
      </w:r>
      <w:r>
        <w:t xml:space="preserve">LLMs</w:t>
      </w:r>
      <w:r>
        <w:t xml:space="preserve"> </w:t>
      </w:r>
      <w:r>
        <w:t xml:space="preserve">Are Better, but at What Cost?”</w:t>
      </w:r>
      <w:r>
        <w:t xml:space="preserve"> arXiv preprint arXiv:2608.12875.</w:t>
      </w:r>
    </w:p>
    <w:bookmarkEnd w:id="142"/>
    <w:bookmarkStart w:id="143" w:name="ref-bala2026recall"/>
    <w:p>
      <w:pPr>
        <w:pStyle w:val="Bibliography"/>
      </w:pPr>
      <w:r>
        <w:t xml:space="preserve">Bala, Ananto Nayan. 2026.</w:t>
      </w:r>
      <w:r>
        <w:t xml:space="preserve"> </w:t>
      </w:r>
      <w:r>
        <w:t xml:space="preserve">“Recall Is Not Enough: A</w:t>
      </w:r>
      <w:r>
        <w:t xml:space="preserve"> </w:t>
      </w:r>
      <w:r>
        <w:t xml:space="preserve">Reader-Context</w:t>
      </w:r>
      <w:r>
        <w:t xml:space="preserve"> </w:t>
      </w:r>
      <w:r>
        <w:t xml:space="preserve">Diagnostic for</w:t>
      </w:r>
      <w:r>
        <w:t xml:space="preserve"> </w:t>
      </w:r>
      <w:r>
        <w:t xml:space="preserve">Budget-Constrained</w:t>
      </w:r>
      <w:r>
        <w:t xml:space="preserve"> </w:t>
      </w:r>
      <w:r>
        <w:t xml:space="preserve">Retrieval-Augmented</w:t>
      </w:r>
      <w:r>
        <w:t xml:space="preserve"> </w:t>
      </w:r>
      <w:r>
        <w:t xml:space="preserve">Generation.”</w:t>
      </w:r>
      <w:r>
        <w:t xml:space="preserve"> </w:t>
      </w:r>
      <w:r>
        <w:t xml:space="preserve">arXiv preprint arXiv:2607.00725.</w:t>
      </w:r>
    </w:p>
    <w:bookmarkEnd w:id="143"/>
    <w:bookmarkStart w:id="145" w:name="ref-cohen1960kappa"/>
    <w:p>
      <w:pPr>
        <w:pStyle w:val="Bibliography"/>
      </w:pPr>
      <w:r>
        <w:t xml:space="preserve">Cohen, Jacob. 1960.</w:t>
      </w:r>
      <w:r>
        <w:t xml:space="preserve"> </w:t>
      </w:r>
      <w:r>
        <w:t xml:space="preserve">“A Coefficient of Agreement for Nominal Scales.”</w:t>
      </w:r>
      <w:r>
        <w:t xml:space="preserve"> </w:t>
      </w:r>
      <w:r>
        <w:rPr>
          <w:iCs/>
          <w:i/>
        </w:rPr>
        <w:t xml:space="preserve">Educational and Psychological Measurement</w:t>
      </w:r>
      <w:r>
        <w:t xml:space="preserve"> </w:t>
      </w:r>
      <w:r>
        <w:t xml:space="preserve">20 (1): 37–46.</w:t>
      </w:r>
      <w:r>
        <w:t xml:space="preserve"> </w:t>
      </w:r>
      <w:hyperlink r:id="rId144">
        <w:r>
          <w:rPr>
            <w:rStyle w:val="Hyperlink"/>
          </w:rPr>
          <w:t xml:space="preserve">https://doi.org/10.1177/001316446002000104</w:t>
        </w:r>
      </w:hyperlink>
      <w:r>
        <w:t xml:space="preserve">.</w:t>
      </w:r>
    </w:p>
    <w:bookmarkEnd w:id="145"/>
    <w:bookmarkStart w:id="147" w:name="ref-cuconasu2025positional"/>
    <w:p>
      <w:pPr>
        <w:pStyle w:val="Bibliography"/>
      </w:pPr>
      <w:r>
        <w:t xml:space="preserve">Cuconasu, Florin, Simone Filice, Guy Horowitz, Yoelle Maarek, and Fabrizio Silvestri. 2025.</w:t>
      </w:r>
      <w:r>
        <w:t xml:space="preserve"> </w:t>
      </w:r>
      <w:r>
        <w:t xml:space="preserve">“Do</w:t>
      </w:r>
      <w:r>
        <w:t xml:space="preserve"> </w:t>
      </w:r>
      <w:r>
        <w:t xml:space="preserve">RAG</w:t>
      </w:r>
      <w:r>
        <w:t xml:space="preserve"> </w:t>
      </w:r>
      <w:r>
        <w:t xml:space="preserve">Systems Really Suffer from Positional Bias?”</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46">
        <w:r>
          <w:rPr>
            <w:rStyle w:val="Hyperlink"/>
          </w:rPr>
          <w:t xml:space="preserve">https://doi.org/10.18653/v1/2025.emnlp-main.1422</w:t>
        </w:r>
      </w:hyperlink>
      <w:r>
        <w:t xml:space="preserve">.</w:t>
      </w:r>
    </w:p>
    <w:bookmarkEnd w:id="147"/>
    <w:bookmarkStart w:id="149"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“The Power of Noise: Redefining Retrieval for</w:t>
      </w:r>
      <w:r>
        <w:t xml:space="preserve"> </w:t>
      </w:r>
      <w:r>
        <w:t xml:space="preserve">RAG</w:t>
      </w:r>
      <w:r>
        <w:t xml:space="preserve"> </w:t>
      </w:r>
      <w:r>
        <w:t xml:space="preserve">Systems.”</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48">
        <w:r>
          <w:rPr>
            <w:rStyle w:val="Hyperlink"/>
          </w:rPr>
          <w:t xml:space="preserve">https://doi.org/10.1145/3626772.3657834</w:t>
        </w:r>
      </w:hyperlink>
      <w:r>
        <w:t xml:space="preserve">.</w:t>
      </w:r>
    </w:p>
    <w:bookmarkEnd w:id="149"/>
    <w:bookmarkStart w:id="151" w:name="ref-dror2018"/>
    <w:p>
      <w:pPr>
        <w:pStyle w:val="Bibliography"/>
      </w:pPr>
      <w:r>
        <w:t xml:space="preserve">Dror, Rotem, Gili Baumer, Segev Shlomov, and Roi Reichart. 2018.</w:t>
      </w:r>
      <w:r>
        <w:t xml:space="preserve"> </w:t>
      </w:r>
      <w:r>
        <w:t xml:space="preserve">“The Hitchhiker’s Guide to Testing Statistical Significance in Natural Language Processing.”</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50">
        <w:r>
          <w:rPr>
            <w:rStyle w:val="Hyperlink"/>
          </w:rPr>
          <w:t xml:space="preserve">https://doi.org/10.18653/v1/p18-1128</w:t>
        </w:r>
      </w:hyperlink>
      <w:r>
        <w:t xml:space="preserve">.</w:t>
      </w:r>
    </w:p>
    <w:bookmarkEnd w:id="151"/>
    <w:bookmarkStart w:id="153"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52">
        <w:r>
          <w:rPr>
            <w:rStyle w:val="Hyperlink"/>
          </w:rPr>
          <w:t xml:space="preserve">https://doi.org/10.1007/978-1-4899-4541-9</w:t>
        </w:r>
      </w:hyperlink>
      <w:r>
        <w:t xml:space="preserve">.</w:t>
      </w:r>
    </w:p>
    <w:bookmarkEnd w:id="153"/>
    <w:bookmarkStart w:id="155" w:name="ref-es2024ragas"/>
    <w:p>
      <w:pPr>
        <w:pStyle w:val="Bibliography"/>
      </w:pPr>
      <w:r>
        <w:t xml:space="preserve">Es, Shahul, Jithin James, Luis Espinosa 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54">
        <w:r>
          <w:rPr>
            <w:rStyle w:val="Hyperlink"/>
          </w:rPr>
          <w:t xml:space="preserve">https://doi.org/10.18653/v1/2024.eacl-demo.16</w:t>
        </w:r>
      </w:hyperlink>
      <w:r>
        <w:t xml:space="preserve">.</w:t>
      </w:r>
    </w:p>
    <w:bookmarkEnd w:id="155"/>
    <w:bookmarkStart w:id="156" w:name="ref-ghosh2026evidence"/>
    <w:p>
      <w:pPr>
        <w:pStyle w:val="Bibliography"/>
      </w:pPr>
      <w:r>
        <w:t xml:space="preserve">Ghosh, Utshab Kumar, Debayan Mukhopadhyay, and Shubham Chatterjee. 2026.</w:t>
      </w:r>
      <w:r>
        <w:t xml:space="preserve"> </w:t>
      </w:r>
      <w:r>
        <w:t xml:space="preserve">“Assessing the Downstream Utility of</w:t>
      </w:r>
      <w:r>
        <w:t xml:space="preserve"> </w:t>
      </w:r>
      <w:r>
        <w:t xml:space="preserve">Evidence-Aware</w:t>
      </w:r>
      <w:r>
        <w:t xml:space="preserve"> </w:t>
      </w:r>
      <w:r>
        <w:t xml:space="preserve">Retrieval in</w:t>
      </w:r>
      <w:r>
        <w:t xml:space="preserve"> </w:t>
      </w:r>
      <w:r>
        <w:t xml:space="preserve">RAG</w:t>
      </w:r>
      <w:r>
        <w:t xml:space="preserve">.”</w:t>
      </w:r>
      <w:r>
        <w:t xml:space="preserve"> </w:t>
      </w:r>
      <w:r>
        <w:t xml:space="preserve">arXiv preprint arXiv:2608.26379.</w:t>
      </w:r>
    </w:p>
    <w:bookmarkEnd w:id="156"/>
    <w:bookmarkStart w:id="157" w:name="ref-grattafiori2024llama3"/>
    <w:p>
      <w:pPr>
        <w:pStyle w:val="Bibliography"/>
      </w:pPr>
      <w:r>
        <w:t xml:space="preserve">Grattafiori, Aaron, Abhimanyu Dubey, Abhinav Jauhri, Abhinav Pandey, Abhishek Kadian, Ahmad Al-Dahle, Aiesha Letman, et al. 2024.</w:t>
      </w:r>
      <w:r>
        <w:t xml:space="preserve"> </w:t>
      </w:r>
      <w:r>
        <w:t xml:space="preserve">“The Llama 3 Herd of Models.”</w:t>
      </w:r>
      <w:r>
        <w:t xml:space="preserve"> </w:t>
      </w:r>
      <w:r>
        <w:t xml:space="preserve">arXiv preprint arXiv:2407.21783.</w:t>
      </w:r>
    </w:p>
    <w:bookmarkEnd w:id="157"/>
    <w:bookmarkStart w:id="159"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58">
        <w:r>
          <w:rPr>
            <w:rStyle w:val="Hyperlink"/>
          </w:rPr>
          <w:t xml:space="preserve">https://www.jstor.org/stable/4615733</w:t>
        </w:r>
      </w:hyperlink>
      <w:r>
        <w:t xml:space="preserve">.</w:t>
      </w:r>
    </w:p>
    <w:bookmarkEnd w:id="159"/>
    <w:bookmarkStart w:id="160" w:name="ref-hsia2025ragged"/>
    <w:p>
      <w:pPr>
        <w:pStyle w:val="Bibliography"/>
      </w:pPr>
      <w:r>
        <w:t xml:space="preserve">Hsia, Jennifer, Afreen Shaikh, Zhiruo Wang, and Graham Neubig. 2025.</w:t>
      </w:r>
      <w:r>
        <w:t xml:space="preserve"> </w:t>
      </w:r>
      <w:r>
        <w:t xml:space="preserve">“</w:t>
      </w:r>
      <w:r>
        <w:t xml:space="preserve">RAGGED</w:t>
      </w:r>
      <w:r>
        <w:t xml:space="preserve">: Towards Informed Design of Scalable and Stable</w:t>
      </w:r>
      <w:r>
        <w:t xml:space="preserve"> </w:t>
      </w:r>
      <w:r>
        <w:t xml:space="preserve">RAG</w:t>
      </w:r>
      <w:r>
        <w:t xml:space="preserve"> </w:t>
      </w:r>
      <w:r>
        <w:t xml:space="preserve">Systems.”</w:t>
      </w:r>
      <w:r>
        <w:t xml:space="preserve"> </w:t>
      </w:r>
      <w:r>
        <w:t xml:space="preserve">In</w:t>
      </w:r>
      <w:r>
        <w:t xml:space="preserve"> </w:t>
      </w:r>
      <w:r>
        <w:rPr>
          <w:iCs/>
          <w:i/>
        </w:rPr>
        <w:t xml:space="preserve">Proceedings of the 42nd International Conference on Machine Learning (ICML 2025)</w:t>
      </w:r>
      <w:r>
        <w:t xml:space="preserve">.</w:t>
      </w:r>
    </w:p>
    <w:bookmarkEnd w:id="160"/>
    <w:bookmarkStart w:id="162"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61">
        <w:r>
          <w:rPr>
            <w:rStyle w:val="Hyperlink"/>
          </w:rPr>
          <w:t xml:space="preserve">https://doi.org/10.18653/v1/2021.eacl-main.74</w:t>
        </w:r>
      </w:hyperlink>
      <w:r>
        <w:t xml:space="preserve">.</w:t>
      </w:r>
    </w:p>
    <w:bookmarkEnd w:id="162"/>
    <w:bookmarkStart w:id="163" w:name="ref-jiang2023mistral"/>
    <w:p>
      <w:pPr>
        <w:pStyle w:val="Bibliography"/>
      </w:pPr>
      <w:r>
        <w:t xml:space="preserve">Jiang, Albert Q., Alexandre Sablayrolles, Arthur Mensch, Chris Bamford, Devendra Singh Chaplot, Diego de las Casas, Florian Bressand, et al. 2023.</w:t>
      </w:r>
      <w:r>
        <w:t xml:space="preserve"> </w:t>
      </w:r>
      <w:r>
        <w:t xml:space="preserve">“Mistral 7B.”</w:t>
      </w:r>
      <w:r>
        <w:t xml:space="preserve"> </w:t>
      </w:r>
      <w:r>
        <w:t xml:space="preserve">arXiv preprint arXiv:2310.06825.</w:t>
      </w:r>
    </w:p>
    <w:bookmarkEnd w:id="163"/>
    <w:bookmarkStart w:id="164" w:name="ref-jin2024longcontext"/>
    <w:p>
      <w:pPr>
        <w:pStyle w:val="Bibliography"/>
      </w:pPr>
      <w:r>
        <w:t xml:space="preserve">Jin, Bowen, Jinsung Yoon, Jiawei Han, and Sercan O. Arik. 2024.</w:t>
      </w:r>
      <w:r>
        <w:t xml:space="preserve"> </w:t>
      </w:r>
      <w:r>
        <w:t xml:space="preserve">“</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t xml:space="preserve">arXiv preprint arXiv:2410.05983.</w:t>
      </w:r>
    </w:p>
    <w:bookmarkEnd w:id="164"/>
    <w:bookmarkStart w:id="166" w:name="ref-johnson2021faiss"/>
    <w:p>
      <w:pPr>
        <w:pStyle w:val="Bibliography"/>
      </w:pPr>
      <w:r>
        <w:t xml:space="preserve">Johnson, Jeff, Matthijs Douze, and Herve Jegou. 2021.</w:t>
      </w:r>
      <w:r>
        <w:t xml:space="preserve"> </w:t>
      </w:r>
      <w:r>
        <w:t xml:space="preserve">“</w:t>
      </w:r>
      <w:r>
        <w:t xml:space="preserve">Billion-Scale</w:t>
      </w:r>
      <w:r>
        <w:t xml:space="preserve"> </w:t>
      </w:r>
      <w:r>
        <w:t xml:space="preserve">Similarity Search with</w:t>
      </w:r>
      <w:r>
        <w:t xml:space="preserve"> </w:t>
      </w:r>
      <w:r>
        <w:t xml:space="preserve">GPUs</w:t>
      </w:r>
      <w:r>
        <w:t xml:space="preserve">.”</w:t>
      </w:r>
      <w:r>
        <w:t xml:space="preserve"> </w:t>
      </w:r>
      <w:r>
        <w:rPr>
          <w:iCs/>
          <w:i/>
        </w:rPr>
        <w:t xml:space="preserve">IEEE Transactions on Big Data</w:t>
      </w:r>
      <w:r>
        <w:t xml:space="preserve"> </w:t>
      </w:r>
      <w:r>
        <w:t xml:space="preserve">7 (3): 535–47.</w:t>
      </w:r>
      <w:r>
        <w:t xml:space="preserve"> </w:t>
      </w:r>
      <w:hyperlink r:id="rId165">
        <w:r>
          <w:rPr>
            <w:rStyle w:val="Hyperlink"/>
          </w:rPr>
          <w:t xml:space="preserve">https://doi.org/10.1109/tbdata.2019.2921572</w:t>
        </w:r>
      </w:hyperlink>
      <w:r>
        <w:t xml:space="preserve">.</w:t>
      </w:r>
    </w:p>
    <w:bookmarkEnd w:id="166"/>
    <w:bookmarkStart w:id="168" w:name="ref-kamalloo2023"/>
    <w:p>
      <w:pPr>
        <w:pStyle w:val="Bibliography"/>
      </w:pPr>
      <w:r>
        <w:t xml:space="preserve">Kamalloo, Ehsan, Nouha Dziri, Charles Clarke, and Davood Rafiei. 2023.</w:t>
      </w:r>
      <w:r>
        <w:t xml:space="preserve"> </w:t>
      </w:r>
      <w:r>
        <w:t xml:space="preserve">“Evaluating</w:t>
      </w:r>
      <w:r>
        <w:t xml:space="preserve"> </w:t>
      </w:r>
      <w:r>
        <w:t xml:space="preserve">Open-Domain</w:t>
      </w:r>
      <w:r>
        <w:t xml:space="preserve"> </w:t>
      </w:r>
      <w:r>
        <w:t xml:space="preserve">Question Answering in the Era of Large Language Models.”</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67">
        <w:r>
          <w:rPr>
            <w:rStyle w:val="Hyperlink"/>
          </w:rPr>
          <w:t xml:space="preserve">https://doi.org/10.18653/v1/2023.acl-long.307</w:t>
        </w:r>
      </w:hyperlink>
      <w:r>
        <w:t xml:space="preserve">.</w:t>
      </w:r>
    </w:p>
    <w:bookmarkEnd w:id="168"/>
    <w:bookmarkStart w:id="170" w:name="ref-karpukhin2020dpr"/>
    <w:p>
      <w:pPr>
        <w:pStyle w:val="Bibliography"/>
      </w:pPr>
      <w:r>
        <w:t xml:space="preserve">Karpukhin, Vladimir, Barlas Oguz, Sewon Min, Patrick Lewis, Ledell Wu, Sergey Edunov, Danqi Chen, and Wen-tau Yih. 2020.</w:t>
      </w:r>
      <w:r>
        <w:t xml:space="preserve"> </w:t>
      </w:r>
      <w:r>
        <w:t xml:space="preserve">“Dense Passage Retrieval for</w:t>
      </w:r>
      <w:r>
        <w:t xml:space="preserve"> </w:t>
      </w:r>
      <w:r>
        <w:t xml:space="preserve">Open-Domain</w:t>
      </w:r>
      <w:r>
        <w:t xml:space="preserve"> </w:t>
      </w:r>
      <w:r>
        <w:t xml:space="preserve">Question Answering.”</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69">
        <w:r>
          <w:rPr>
            <w:rStyle w:val="Hyperlink"/>
          </w:rPr>
          <w:t xml:space="preserve">https://doi.org/10.18653/v1/2020.emnlp-main.550</w:t>
        </w:r>
      </w:hyperlink>
      <w:r>
        <w:t xml:space="preserve">.</w:t>
      </w:r>
    </w:p>
    <w:bookmarkEnd w:id="170"/>
    <w:bookmarkStart w:id="172" w:name="ref-kwiatkowski2019nq"/>
    <w:p>
      <w:pPr>
        <w:pStyle w:val="Bibliography"/>
      </w:pPr>
      <w:r>
        <w:t xml:space="preserve">Kwiatkowski, Tom, Jennimaria Palomaki, Olivia Redfield, Michael Collins, Ankur Parikh, Chris Alberti, Danielle Epstein, et al. 2019.</w:t>
      </w:r>
      <w:r>
        <w:t xml:space="preserve"> </w:t>
      </w:r>
      <w:r>
        <w:t xml:space="preserve">“Natural Questions: A Benchmark for Question Answering Research.”</w:t>
      </w:r>
      <w:r>
        <w:t xml:space="preserve"> </w:t>
      </w:r>
      <w:r>
        <w:rPr>
          <w:iCs/>
          <w:i/>
        </w:rPr>
        <w:t xml:space="preserve">Transactions of the Association for Computational Linguistics</w:t>
      </w:r>
      <w:r>
        <w:t xml:space="preserve"> </w:t>
      </w:r>
      <w:r>
        <w:t xml:space="preserve">7: 453–66.</w:t>
      </w:r>
      <w:r>
        <w:t xml:space="preserve"> </w:t>
      </w:r>
      <w:hyperlink r:id="rId171">
        <w:r>
          <w:rPr>
            <w:rStyle w:val="Hyperlink"/>
          </w:rPr>
          <w:t xml:space="preserve">https://doi.org/10.1162/tacl_a_00276</w:t>
        </w:r>
      </w:hyperlink>
      <w:r>
        <w:t xml:space="preserve">.</w:t>
      </w:r>
    </w:p>
    <w:bookmarkEnd w:id="172"/>
    <w:bookmarkStart w:id="174" w:name="ref-kwon2023vllm"/>
    <w:p>
      <w:pPr>
        <w:pStyle w:val="Bibliography"/>
      </w:pPr>
      <w:r>
        <w:t xml:space="preserve">Kwon, Woosuk, Zhuohan Li, Siyuan Zhuang, Ying Sheng, Lianmin Zheng, Cody Hao Yu, Joseph Gonzalez, Hao Zhang, and Ion Stoica. 2023.</w:t>
      </w:r>
      <w:r>
        <w:t xml:space="preserve"> </w:t>
      </w:r>
      <w:r>
        <w:t xml:space="preserve">“Efficient Memory Management for Large Language Model Serving with</w:t>
      </w:r>
      <w:r>
        <w:t xml:space="preserve"> </w:t>
      </w:r>
      <w:r>
        <w:t xml:space="preserve">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73">
        <w:r>
          <w:rPr>
            <w:rStyle w:val="Hyperlink"/>
          </w:rPr>
          <w:t xml:space="preserve">https://doi.org/10.1145/3600006.3613165</w:t>
        </w:r>
      </w:hyperlink>
      <w:r>
        <w:t xml:space="preserve">.</w:t>
      </w:r>
    </w:p>
    <w:bookmarkEnd w:id="174"/>
    <w:bookmarkStart w:id="176" w:name="ref-landis1977"/>
    <w:p>
      <w:pPr>
        <w:pStyle w:val="Bibliography"/>
      </w:pPr>
      <w:r>
        <w:t xml:space="preserve">Landis, J. Richard, and Gary G. Koch. 1977.</w:t>
      </w:r>
      <w:r>
        <w:t xml:space="preserve"> </w:t>
      </w:r>
      <w:r>
        <w:t xml:space="preserve">“The Measurement of Observer Agreement for Categorical Data.”</w:t>
      </w:r>
      <w:r>
        <w:t xml:space="preserve"> </w:t>
      </w:r>
      <w:r>
        <w:rPr>
          <w:iCs/>
          <w:i/>
        </w:rPr>
        <w:t xml:space="preserve">Biometrics</w:t>
      </w:r>
      <w:r>
        <w:t xml:space="preserve"> </w:t>
      </w:r>
      <w:r>
        <w:t xml:space="preserve">33 (1): 159.</w:t>
      </w:r>
      <w:r>
        <w:t xml:space="preserve"> </w:t>
      </w:r>
      <w:hyperlink r:id="rId175">
        <w:r>
          <w:rPr>
            <w:rStyle w:val="Hyperlink"/>
          </w:rPr>
          <w:t xml:space="preserve">https://doi.org/10.2307/2529310</w:t>
        </w:r>
      </w:hyperlink>
      <w:r>
        <w:t xml:space="preserve">.</w:t>
      </w:r>
    </w:p>
    <w:bookmarkEnd w:id="176"/>
    <w:bookmarkStart w:id="178" w:name="ref-lee2019orqa"/>
    <w:p>
      <w:pPr>
        <w:pStyle w:val="Bibliography"/>
      </w:pPr>
      <w:r>
        <w:t xml:space="preserve">Lee, Kenton, Ming-Wei Chang, and Kristina Toutanova. 2019.</w:t>
      </w:r>
      <w:r>
        <w:t xml:space="preserve"> </w:t>
      </w:r>
      <w:r>
        <w:t xml:space="preserve">“Latent Retrieval for Weakly Supervised Open Domain Question Answering.”</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177">
        <w:r>
          <w:rPr>
            <w:rStyle w:val="Hyperlink"/>
          </w:rPr>
          <w:t xml:space="preserve">https://doi.org/10.18653/v1/p19-1612</w:t>
        </w:r>
      </w:hyperlink>
      <w:r>
        <w:t xml:space="preserve">.</w:t>
      </w:r>
    </w:p>
    <w:bookmarkEnd w:id="178"/>
    <w:bookmarkStart w:id="179" w:name="ref-leto2024toward"/>
    <w:p>
      <w:pPr>
        <w:pStyle w:val="Bibliography"/>
      </w:pPr>
      <w:r>
        <w:t xml:space="preserve">Leto, Alexandria, Cecilia Aguerrebere, Ishwar Bhati, Ted Willke, Mariano Tepper, and Vy Ai Vo. 2024.</w:t>
      </w:r>
      <w:r>
        <w:t xml:space="preserve"> </w:t>
      </w:r>
      <w:r>
        <w:t xml:space="preserve">“Toward Optimal Search and Retrieval for</w:t>
      </w:r>
      <w:r>
        <w:t xml:space="preserve"> </w:t>
      </w:r>
      <w:r>
        <w:t xml:space="preserve">RAG</w:t>
      </w:r>
      <w:r>
        <w:t xml:space="preserve">.”</w:t>
      </w:r>
      <w:r>
        <w:t xml:space="preserve"> </w:t>
      </w:r>
      <w:r>
        <w:t xml:space="preserve">arXiv preprint arXiv:2411.07396.</w:t>
      </w:r>
    </w:p>
    <w:bookmarkEnd w:id="179"/>
    <w:bookmarkStart w:id="180"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w:t>
      </w:r>
      <w:r>
        <w:t xml:space="preserve"> </w:t>
      </w:r>
      <w:r>
        <w:t xml:space="preserve">Generation for</w:t>
      </w:r>
      <w:r>
        <w:t xml:space="preserve"> </w:t>
      </w:r>
      <w:r>
        <w:t xml:space="preserve">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33 (NeurIPS 2020)</w:t>
      </w:r>
      <w:r>
        <w:t xml:space="preserve">.</w:t>
      </w:r>
    </w:p>
    <w:bookmarkEnd w:id="180"/>
    <w:bookmarkStart w:id="182" w:name="ref-liang1986gee"/>
    <w:p>
      <w:pPr>
        <w:pStyle w:val="Bibliography"/>
      </w:pPr>
      <w:r>
        <w:t xml:space="preserve">Liang, Kung-Yee, and Scott L. Zeger. 1986.</w:t>
      </w:r>
      <w:r>
        <w:t xml:space="preserve"> </w:t>
      </w:r>
      <w:r>
        <w:t xml:space="preserve">“Longitudinal Data Analysis Using Generalized Linear Models.”</w:t>
      </w:r>
      <w:r>
        <w:t xml:space="preserve"> </w:t>
      </w:r>
      <w:r>
        <w:rPr>
          <w:iCs/>
          <w:i/>
        </w:rPr>
        <w:t xml:space="preserve">Biometrika</w:t>
      </w:r>
      <w:r>
        <w:t xml:space="preserve"> </w:t>
      </w:r>
      <w:r>
        <w:t xml:space="preserve">73 (1): 13–22.</w:t>
      </w:r>
      <w:r>
        <w:t xml:space="preserve"> </w:t>
      </w:r>
      <w:hyperlink r:id="rId181">
        <w:r>
          <w:rPr>
            <w:rStyle w:val="Hyperlink"/>
          </w:rPr>
          <w:t xml:space="preserve">https://doi.org/10.1093/biomet/73.1.13</w:t>
        </w:r>
      </w:hyperlink>
      <w:r>
        <w:t xml:space="preserve">.</w:t>
      </w:r>
    </w:p>
    <w:bookmarkEnd w:id="182"/>
    <w:bookmarkStart w:id="183"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w:t>
      </w:r>
      <w:r>
        <w:t xml:space="preserve">: Activation-Aware Weight Quantization for</w:t>
      </w:r>
      <w:r>
        <w:t xml:space="preserve"> </w:t>
      </w:r>
      <w:r>
        <w:t xml:space="preserve">LLM</w:t>
      </w:r>
      <w:r>
        <w:t xml:space="preserve"> </w:t>
      </w:r>
      <w:r>
        <w:t xml:space="preserve">Compression and Acceleration.”</w:t>
      </w:r>
      <w:r>
        <w:t xml:space="preserve"> </w:t>
      </w:r>
      <w:r>
        <w:t xml:space="preserve">In</w:t>
      </w:r>
      <w:r>
        <w:t xml:space="preserve"> </w:t>
      </w:r>
      <w:r>
        <w:rPr>
          <w:iCs/>
          <w:i/>
        </w:rPr>
        <w:t xml:space="preserve">Proceedings of Machine Learning and Systems 6 (MLSys 2024)</w:t>
      </w:r>
      <w:r>
        <w:t xml:space="preserve">.</w:t>
      </w:r>
    </w:p>
    <w:bookmarkEnd w:id="183"/>
    <w:bookmarkStart w:id="185" w:name="ref-liu2024lost"/>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r>
        <w:t xml:space="preserve"> </w:t>
      </w:r>
      <w:hyperlink r:id="rId184">
        <w:r>
          <w:rPr>
            <w:rStyle w:val="Hyperlink"/>
          </w:rPr>
          <w:t xml:space="preserve">https://doi.org/10.1162/tacl_a_00638</w:t>
        </w:r>
      </w:hyperlink>
      <w:r>
        <w:t xml:space="preserve">.</w:t>
      </w:r>
    </w:p>
    <w:bookmarkEnd w:id="185"/>
    <w:bookmarkStart w:id="186" w:name="ref-lu2024bm25s"/>
    <w:p>
      <w:pPr>
        <w:pStyle w:val="Bibliography"/>
      </w:pPr>
      <w:r>
        <w:t xml:space="preserve">Lù, Xing Han. 2024.</w:t>
      </w:r>
      <w:r>
        <w:t xml:space="preserve"> </w:t>
      </w:r>
      <w:r>
        <w:t xml:space="preserve">“</w:t>
      </w:r>
      <w:r>
        <w:t xml:space="preserve">BM25S</w:t>
      </w:r>
      <w:r>
        <w:t xml:space="preserve">: Orders of Magnitude Faster Lexical Search via Eager Sparse Scoring.”</w:t>
      </w:r>
      <w:r>
        <w:t xml:space="preserve"> </w:t>
      </w:r>
      <w:r>
        <w:t xml:space="preserve">arXiv preprint arXiv:2407.03618.</w:t>
      </w:r>
    </w:p>
    <w:bookmarkEnd w:id="186"/>
    <w:bookmarkStart w:id="188"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w:t>
      </w:r>
      <w:r>
        <w:t xml:space="preserve">: A Comprehensive Chinese Benchmark for</w:t>
      </w:r>
      <w:r>
        <w:t xml:space="preserve"> </w:t>
      </w:r>
      <w:r>
        <w:t xml:space="preserve">Retrieval-Augmented</w:t>
      </w:r>
      <w:r>
        <w:t xml:space="preserve"> </w:t>
      </w:r>
      <w:r>
        <w:t xml:space="preserve">Generation of Large Language Models.”</w:t>
      </w:r>
      <w:r>
        <w:t xml:space="preserve"> </w:t>
      </w:r>
      <w:r>
        <w:rPr>
          <w:iCs/>
          <w:i/>
        </w:rPr>
        <w:t xml:space="preserve">ACM Transactions on Information Systems</w:t>
      </w:r>
      <w:r>
        <w:t xml:space="preserve"> </w:t>
      </w:r>
      <w:r>
        <w:t xml:space="preserve">43 (2): 1–32.</w:t>
      </w:r>
      <w:r>
        <w:t xml:space="preserve"> </w:t>
      </w:r>
      <w:hyperlink r:id="rId187">
        <w:r>
          <w:rPr>
            <w:rStyle w:val="Hyperlink"/>
          </w:rPr>
          <w:t xml:space="preserve">https://doi.org/10.1145/3701228</w:t>
        </w:r>
      </w:hyperlink>
      <w:r>
        <w:t xml:space="preserve">.</w:t>
      </w:r>
    </w:p>
    <w:bookmarkEnd w:id="188"/>
    <w:bookmarkStart w:id="190" w:name="ref-malkov2020hnsw"/>
    <w:p>
      <w:pPr>
        <w:pStyle w:val="Bibliography"/>
      </w:pPr>
      <w:r>
        <w:t xml:space="preserve">Malkov, Yu A., and D. A. Yashunin. 2020.</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w:t>
      </w:r>
      <w:r>
        <w:t xml:space="preserve">42 (4): 824–36.</w:t>
      </w:r>
      <w:r>
        <w:t xml:space="preserve"> </w:t>
      </w:r>
      <w:hyperlink r:id="rId189">
        <w:r>
          <w:rPr>
            <w:rStyle w:val="Hyperlink"/>
          </w:rPr>
          <w:t xml:space="preserve">https://doi.org/10.1109/tpami.2018.2889473</w:t>
        </w:r>
      </w:hyperlink>
      <w:r>
        <w:t xml:space="preserve">.</w:t>
      </w:r>
    </w:p>
    <w:bookmarkEnd w:id="190"/>
    <w:bookmarkStart w:id="191" w:name="ref-mathur2026policy"/>
    <w:p>
      <w:pPr>
        <w:pStyle w:val="Bibliography"/>
      </w:pPr>
      <w:r>
        <w:t xml:space="preserve">Mathur, Saahil, Ryan David Rittner, Vedant Ajit Thakur, Daniel Stuart Schiff, and Tunazzina Islam. 2026.</w:t>
      </w:r>
      <w:r>
        <w:t xml:space="preserve"> </w:t>
      </w:r>
      <w:r>
        <w:t xml:space="preserve">“Retrieval Improvements Do Not Guarantee Better Answers: A Study of</w:t>
      </w:r>
      <w:r>
        <w:t xml:space="preserve"> </w:t>
      </w:r>
      <w:r>
        <w:t xml:space="preserve">RAG</w:t>
      </w:r>
      <w:r>
        <w:t xml:space="preserve"> </w:t>
      </w:r>
      <w:r>
        <w:t xml:space="preserve">for</w:t>
      </w:r>
      <w:r>
        <w:t xml:space="preserve"> </w:t>
      </w:r>
      <w:r>
        <w:t xml:space="preserve">AI</w:t>
      </w:r>
      <w:r>
        <w:t xml:space="preserve"> </w:t>
      </w:r>
      <w:r>
        <w:t xml:space="preserve">Policy</w:t>
      </w:r>
      <w:r>
        <w:t xml:space="preserve"> </w:t>
      </w:r>
      <w:r>
        <w:t xml:space="preserve">QA</w:t>
      </w:r>
      <w:r>
        <w:t xml:space="preserve">.”</w:t>
      </w:r>
      <w:r>
        <w:t xml:space="preserve"> </w:t>
      </w:r>
      <w:r>
        <w:t xml:space="preserve">arXiv preprint arXiv:2603.24580.</w:t>
      </w:r>
    </w:p>
    <w:bookmarkEnd w:id="191"/>
    <w:bookmarkStart w:id="193" w:name="ref-mcnemar1947"/>
    <w:p>
      <w:pPr>
        <w:pStyle w:val="Bibliography"/>
      </w:pPr>
      <w:r>
        <w:t xml:space="preserve">McNemar, Quinn. 1947.</w:t>
      </w:r>
      <w:r>
        <w:t xml:space="preserve"> </w:t>
      </w:r>
      <w:r>
        <w:t xml:space="preserve">“Note on the Sampling Error of the Difference Between Correlated Proportions or Percentages.”</w:t>
      </w:r>
      <w:r>
        <w:t xml:space="preserve"> </w:t>
      </w:r>
      <w:r>
        <w:rPr>
          <w:iCs/>
          <w:i/>
        </w:rPr>
        <w:t xml:space="preserve">Psychometrika</w:t>
      </w:r>
      <w:r>
        <w:t xml:space="preserve"> </w:t>
      </w:r>
      <w:r>
        <w:t xml:space="preserve">12 (2): 153–57.</w:t>
      </w:r>
      <w:r>
        <w:t xml:space="preserve"> </w:t>
      </w:r>
      <w:hyperlink r:id="rId192">
        <w:r>
          <w:rPr>
            <w:rStyle w:val="Hyperlink"/>
          </w:rPr>
          <w:t xml:space="preserve">https://doi.org/10.1007/bf02295996</w:t>
        </w:r>
      </w:hyperlink>
      <w:r>
        <w:t xml:space="preserve">.</w:t>
      </w:r>
    </w:p>
    <w:bookmarkEnd w:id="193"/>
    <w:bookmarkStart w:id="194" w:name="ref-medrano2026fusion"/>
    <w:p>
      <w:pPr>
        <w:pStyle w:val="Bibliography"/>
      </w:pPr>
      <w:r>
        <w:t xml:space="preserve">Medrano, Luigi, Arush Verma, and Mukul Chhabra. 2026.</w:t>
      </w:r>
      <w:r>
        <w:t xml:space="preserve"> </w:t>
      </w:r>
      <w:r>
        <w:t xml:space="preserve">“Scaling Retrieval Augmented Generation with</w:t>
      </w:r>
      <w:r>
        <w:t xml:space="preserve"> </w:t>
      </w:r>
      <w:r>
        <w:t xml:space="preserve">RAG</w:t>
      </w:r>
      <w:r>
        <w:t xml:space="preserve"> </w:t>
      </w:r>
      <w:r>
        <w:t xml:space="preserve">Fusion: Lessons from an Industry Deployment.”</w:t>
      </w:r>
      <w:r>
        <w:t xml:space="preserve"> </w:t>
      </w:r>
      <w:r>
        <w:t xml:space="preserve">arXiv preprint arXiv:2603.02153.</w:t>
      </w:r>
    </w:p>
    <w:bookmarkEnd w:id="194"/>
    <w:bookmarkStart w:id="196" w:name="ref-muennighoff2023mteb"/>
    <w:p>
      <w:pPr>
        <w:pStyle w:val="Bibliography"/>
      </w:pPr>
      <w:r>
        <w:t xml:space="preserve">Muennighoff, Niklas, Nouamane Tazi, Loic Magne, and Nils Reimers. 2023.</w:t>
      </w:r>
      <w:r>
        <w:t xml:space="preserve"> </w:t>
      </w:r>
      <w:r>
        <w:t xml:space="preserve">“</w:t>
      </w:r>
      <w:r>
        <w:t xml:space="preserve">MTEB</w:t>
      </w:r>
      <w:r>
        <w:t xml:space="preserve">: Massive Text Embedding Benchmark.”</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195">
        <w:r>
          <w:rPr>
            <w:rStyle w:val="Hyperlink"/>
          </w:rPr>
          <w:t xml:space="preserve">https://doi.org/10.18653/v1/2023.eacl-main.148</w:t>
        </w:r>
      </w:hyperlink>
      <w:r>
        <w:t xml:space="preserve">.</w:t>
      </w:r>
    </w:p>
    <w:bookmarkEnd w:id="196"/>
    <w:bookmarkStart w:id="197" w:name="ref-muthyam2026systems"/>
    <w:p>
      <w:pPr>
        <w:pStyle w:val="Bibliography"/>
      </w:pPr>
      <w:r>
        <w:t xml:space="preserve">Muthyam, Bharath Simha Reddy. 2026.</w:t>
      </w:r>
      <w:r>
        <w:t xml:space="preserve"> </w:t>
      </w:r>
      <w:r>
        <w:t xml:space="preserve">“A</w:t>
      </w:r>
      <w:r>
        <w:t xml:space="preserve"> </w:t>
      </w:r>
      <w:r>
        <w:t xml:space="preserve">Systems-Level</w:t>
      </w:r>
      <w:r>
        <w:t xml:space="preserve"> </w:t>
      </w:r>
      <w:r>
        <w:t xml:space="preserve">Analysis of Sensitivity, Robustness, and Stability in</w:t>
      </w:r>
      <w:r>
        <w:t xml:space="preserve"> </w:t>
      </w:r>
      <w:r>
        <w:t xml:space="preserve">Retrieval-Augmented</w:t>
      </w:r>
      <w:r>
        <w:t xml:space="preserve"> </w:t>
      </w:r>
      <w:r>
        <w:t xml:space="preserve">Generation.”</w:t>
      </w:r>
      <w:r>
        <w:t xml:space="preserve"> </w:t>
      </w:r>
      <w:r>
        <w:t xml:space="preserve">arXiv preprint arXiv:2606.28337.</w:t>
      </w:r>
    </w:p>
    <w:bookmarkEnd w:id="197"/>
    <w:bookmarkStart w:id="198" w:name="ref-nogueira2019passage"/>
    <w:p>
      <w:pPr>
        <w:pStyle w:val="Bibliography"/>
      </w:pPr>
      <w:r>
        <w:t xml:space="preserve">Nogueira, Rodrigo, and Kyunghyun Cho. 2019.</w:t>
      </w:r>
      <w:r>
        <w:t xml:space="preserve"> </w:t>
      </w:r>
      <w:r>
        <w:t xml:space="preserve">“Passage Re-Ranking with</w:t>
      </w:r>
      <w:r>
        <w:t xml:space="preserve"> </w:t>
      </w:r>
      <w:r>
        <w:t xml:space="preserve">BERT</w:t>
      </w:r>
      <w:r>
        <w:t xml:space="preserve">.”</w:t>
      </w:r>
      <w:r>
        <w:t xml:space="preserve"> </w:t>
      </w:r>
      <w:r>
        <w:t xml:space="preserve">arXiv preprint arXiv:1901.04085.</w:t>
      </w:r>
    </w:p>
    <w:bookmarkEnd w:id="198"/>
    <w:bookmarkStart w:id="200"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w:t>
      </w:r>
      <w:r>
        <w:t xml:space="preserve">: Less Irrelevant Information, More Explicit Evidence, and More Effective Recall via Evidence Chains.”</w:t>
      </w:r>
      <w:r>
        <w:t xml:space="preserve"> </w:t>
      </w:r>
      <w:r>
        <w:t xml:space="preserve">In</w:t>
      </w:r>
      <w:r>
        <w:t xml:space="preserve"> </w:t>
      </w:r>
      <w:r>
        <w:rPr>
          <w:iCs/>
          <w:i/>
        </w:rPr>
        <w:t xml:space="preserve">Proceedings of the ACM Web Conference 2026 (WWW ’26)</w:t>
      </w:r>
      <w:r>
        <w:t xml:space="preserve">, 1899–1910.</w:t>
      </w:r>
      <w:r>
        <w:t xml:space="preserve"> </w:t>
      </w:r>
      <w:hyperlink r:id="rId199">
        <w:r>
          <w:rPr>
            <w:rStyle w:val="Hyperlink"/>
          </w:rPr>
          <w:t xml:space="preserve">https://doi.org/10.1145/3774904.3792093</w:t>
        </w:r>
      </w:hyperlink>
      <w:r>
        <w:t xml:space="preserve">.</w:t>
      </w:r>
    </w:p>
    <w:bookmarkEnd w:id="200"/>
    <w:bookmarkStart w:id="202"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w:t>
      </w:r>
      <w:r>
        <w:t xml:space="preserve">: A Benchmark for Knowledge Intensive Language Tasks.”</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01">
        <w:r>
          <w:rPr>
            <w:rStyle w:val="Hyperlink"/>
          </w:rPr>
          <w:t xml:space="preserve">https://doi.org/10.18653/v1/2021.naacl-main.200</w:t>
        </w:r>
      </w:hyperlink>
      <w:r>
        <w:t xml:space="preserve">.</w:t>
      </w:r>
    </w:p>
    <w:bookmarkEnd w:id="202"/>
    <w:bookmarkStart w:id="203" w:name="ref-qwen2025qwen25"/>
    <w:p>
      <w:pPr>
        <w:pStyle w:val="Bibliography"/>
      </w:pPr>
      <w:r>
        <w:t xml:space="preserve">Qwen, An Yang, Baosong Yang, Beichen Zhang, Binyuan Hui, Bo Zheng, Bowen Yu, et al. 2024.</w:t>
      </w:r>
      <w:r>
        <w:t xml:space="preserve"> </w:t>
      </w:r>
      <w:r>
        <w:t xml:space="preserve">“</w:t>
      </w:r>
      <w:r>
        <w:t xml:space="preserve">Qwen2</w:t>
      </w:r>
      <w:r>
        <w:t xml:space="preserve">.5 Technical Report.”</w:t>
      </w:r>
      <w:r>
        <w:t xml:space="preserve"> </w:t>
      </w:r>
      <w:r>
        <w:t xml:space="preserve">arXiv preprint arXiv:2412.15115.</w:t>
      </w:r>
    </w:p>
    <w:bookmarkEnd w:id="203"/>
    <w:bookmarkStart w:id="205"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w:t>
      </w:r>
      <w:r>
        <w:t xml:space="preserve"> </w:t>
      </w:r>
      <w:r>
        <w:t xml:space="preserve">Retrieval-Augmented</w:t>
      </w:r>
      <w:r>
        <w:t xml:space="preserve"> </w:t>
      </w:r>
      <w:r>
        <w:t xml:space="preserve">Language Models.”</w:t>
      </w:r>
      <w:r>
        <w:t xml:space="preserve"> </w:t>
      </w:r>
      <w:r>
        <w:rPr>
          <w:iCs/>
          <w:i/>
        </w:rPr>
        <w:t xml:space="preserve">Transactions of the Association for Computational Linguistics</w:t>
      </w:r>
      <w:r>
        <w:t xml:space="preserve"> </w:t>
      </w:r>
      <w:r>
        <w:t xml:space="preserve">11: 1316–31.</w:t>
      </w:r>
      <w:r>
        <w:t xml:space="preserve"> </w:t>
      </w:r>
      <w:hyperlink r:id="rId204">
        <w:r>
          <w:rPr>
            <w:rStyle w:val="Hyperlink"/>
          </w:rPr>
          <w:t xml:space="preserve">https://doi.org/10.1162/tacl_a_00605</w:t>
        </w:r>
      </w:hyperlink>
      <w:r>
        <w:t xml:space="preserve">.</w:t>
      </w:r>
    </w:p>
    <w:bookmarkEnd w:id="205"/>
    <w:bookmarkStart w:id="207"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w:t>
      </w:r>
      <w:r>
        <w:t xml:space="preserve">: A Benchmarking Library for</w:t>
      </w:r>
      <w:r>
        <w:t xml:space="preserve"> </w:t>
      </w:r>
      <w:r>
        <w:t xml:space="preserve">Retrieval-Augmented</w:t>
      </w:r>
      <w:r>
        <w:t xml:space="preserve"> </w:t>
      </w:r>
      <w:r>
        <w:t xml:space="preserve">Generation.”</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06">
        <w:r>
          <w:rPr>
            <w:rStyle w:val="Hyperlink"/>
          </w:rPr>
          <w:t xml:space="preserve">https://doi.org/10.18653/v1/2024.findings-emnlp.449</w:t>
        </w:r>
      </w:hyperlink>
      <w:r>
        <w:t xml:space="preserve">.</w:t>
      </w:r>
    </w:p>
    <w:bookmarkEnd w:id="207"/>
    <w:bookmarkStart w:id="209" w:name="ref-reimers2019sbert"/>
    <w:p>
      <w:pPr>
        <w:pStyle w:val="Bibliography"/>
      </w:pPr>
      <w:r>
        <w:t xml:space="preserve">Reimers, Nils, and Iryna Gurevych. 2019.</w:t>
      </w:r>
      <w:r>
        <w:t xml:space="preserve"> </w:t>
      </w:r>
      <w:r>
        <w:t xml:space="preserve">“</w:t>
      </w:r>
      <w:r>
        <w:t xml:space="preserve">Sentence-BERT</w:t>
      </w:r>
      <w:r>
        <w:t xml:space="preserve">: Sentence Embeddings Using Siamese</w:t>
      </w:r>
      <w:r>
        <w:t xml:space="preserve"> </w:t>
      </w:r>
      <w:r>
        <w:t xml:space="preserve">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08">
        <w:r>
          <w:rPr>
            <w:rStyle w:val="Hyperlink"/>
          </w:rPr>
          <w:t xml:space="preserve">https://doi.org/10.18653/v1/d19-1410</w:t>
        </w:r>
      </w:hyperlink>
      <w:r>
        <w:t xml:space="preserve">.</w:t>
      </w:r>
    </w:p>
    <w:bookmarkEnd w:id="209"/>
    <w:bookmarkStart w:id="210" w:name="ref-repantis2026competition"/>
    <w:p>
      <w:pPr>
        <w:pStyle w:val="Bibliography"/>
      </w:pPr>
      <w:r>
        <w:t xml:space="preserve">Repantis, Vyzantinos, Ameya Gawde, Harshvardhan Singh, Rohit Alekar, Cien Zhang, Svetlana Karslioglu, and Akash Vishwakarma. 2026.</w:t>
      </w:r>
      <w:r>
        <w:t xml:space="preserve"> </w:t>
      </w:r>
      <w:r>
        <w:t xml:space="preserve">“Separating Semantic Competition from Context Length in</w:t>
      </w:r>
      <w:r>
        <w:t xml:space="preserve"> </w:t>
      </w:r>
      <w:r>
        <w:t xml:space="preserve">RAG</w:t>
      </w:r>
      <w:r>
        <w:t xml:space="preserve"> </w:t>
      </w:r>
      <w:r>
        <w:t xml:space="preserve">Reading.”</w:t>
      </w:r>
      <w:r>
        <w:t xml:space="preserve"> </w:t>
      </w:r>
      <w:r>
        <w:t xml:space="preserve">arXiv preprint arXiv:2605.27294.</w:t>
      </w:r>
    </w:p>
    <w:bookmarkEnd w:id="210"/>
    <w:bookmarkStart w:id="212"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4 (1-2): 1–174.</w:t>
      </w:r>
      <w:r>
        <w:t xml:space="preserve"> </w:t>
      </w:r>
      <w:hyperlink r:id="rId211">
        <w:r>
          <w:rPr>
            <w:rStyle w:val="Hyperlink"/>
          </w:rPr>
          <w:t xml:space="preserve">https://doi.org/10.1561/1500000019</w:t>
        </w:r>
      </w:hyperlink>
      <w:r>
        <w:t xml:space="preserve">.</w:t>
      </w:r>
    </w:p>
    <w:bookmarkEnd w:id="212"/>
    <w:bookmarkStart w:id="214" w:name="ref-saadfalcon2024ares"/>
    <w:p>
      <w:pPr>
        <w:pStyle w:val="Bibliography"/>
      </w:pPr>
      <w:r>
        <w:t xml:space="preserve">Saad-Falcon, Jon, Omar Khattab, Christopher Potts, and Matei Zaharia. 2024.</w:t>
      </w:r>
      <w:r>
        <w:t xml:space="preserve"> </w:t>
      </w:r>
      <w:r>
        <w:t xml:space="preserve">“</w:t>
      </w:r>
      <w:r>
        <w:t xml:space="preserve">ARES</w:t>
      </w:r>
      <w:r>
        <w:t xml:space="preserve">: An Automated Evaluation Framework for</w:t>
      </w:r>
      <w:r>
        <w:t xml:space="preserve"> </w:t>
      </w:r>
      <w:r>
        <w:t xml:space="preserve">Retrieval-Augmented</w:t>
      </w:r>
      <w:r>
        <w:t xml:space="preserve"> </w:t>
      </w:r>
      <w:r>
        <w:t xml:space="preserve">Generation Systems.”</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13">
        <w:r>
          <w:rPr>
            <w:rStyle w:val="Hyperlink"/>
          </w:rPr>
          <w:t xml:space="preserve">https://doi.org/10.18653/v1/2024.naacl-long.20</w:t>
        </w:r>
      </w:hyperlink>
      <w:r>
        <w:t xml:space="preserve">.</w:t>
      </w:r>
    </w:p>
    <w:bookmarkEnd w:id="214"/>
    <w:bookmarkStart w:id="216" w:name="ref-sakai2014"/>
    <w:p>
      <w:pPr>
        <w:pStyle w:val="Bibliography"/>
      </w:pPr>
      <w:r>
        <w:t xml:space="preserve">Sakai, Tetsuya. 2014.</w:t>
      </w:r>
      <w:r>
        <w:t xml:space="preserve"> </w:t>
      </w:r>
      <w:r>
        <w:t xml:space="preserve">“Statistical Reform in Information Retrieval?”</w:t>
      </w:r>
      <w:r>
        <w:t xml:space="preserve"> </w:t>
      </w:r>
      <w:r>
        <w:rPr>
          <w:iCs/>
          <w:i/>
        </w:rPr>
        <w:t xml:space="preserve">ACM SIGIR Forum</w:t>
      </w:r>
      <w:r>
        <w:t xml:space="preserve"> </w:t>
      </w:r>
      <w:r>
        <w:t xml:space="preserve">48 (1): 3–12.</w:t>
      </w:r>
      <w:r>
        <w:t xml:space="preserve"> </w:t>
      </w:r>
      <w:hyperlink r:id="rId215">
        <w:r>
          <w:rPr>
            <w:rStyle w:val="Hyperlink"/>
          </w:rPr>
          <w:t xml:space="preserve">https://doi.org/10.1145/2641383.2641385</w:t>
        </w:r>
      </w:hyperlink>
      <w:r>
        <w:t xml:space="preserve">.</w:t>
      </w:r>
    </w:p>
    <w:bookmarkEnd w:id="216"/>
    <w:bookmarkStart w:id="218" w:name="ref-salemi2024erag"/>
    <w:p>
      <w:pPr>
        <w:pStyle w:val="Bibliography"/>
      </w:pPr>
      <w:r>
        <w:t xml:space="preserve">Salemi, Alireza, and Hamed Zamani. 2024.</w:t>
      </w:r>
      <w:r>
        <w:t xml:space="preserve"> </w:t>
      </w:r>
      <w:r>
        <w:t xml:space="preserve">“Evaluating Retrieval Quality in</w:t>
      </w:r>
      <w:r>
        <w:t xml:space="preserve"> </w:t>
      </w:r>
      <w:r>
        <w:t xml:space="preserve">Retrieval-Augmented</w:t>
      </w:r>
      <w:r>
        <w:t xml:space="preserve"> </w:t>
      </w:r>
      <w:r>
        <w:t xml:space="preserve">Generation.”</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17">
        <w:r>
          <w:rPr>
            <w:rStyle w:val="Hyperlink"/>
          </w:rPr>
          <w:t xml:space="preserve">https://doi.org/10.1145/3626772.3657957</w:t>
        </w:r>
      </w:hyperlink>
      <w:r>
        <w:t xml:space="preserve">.</w:t>
      </w:r>
    </w:p>
    <w:bookmarkEnd w:id="218"/>
    <w:bookmarkStart w:id="220" w:name="ref-samuel2026beyond"/>
    <w:p>
      <w:pPr>
        <w:pStyle w:val="Bibliography"/>
      </w:pPr>
      <w:r>
        <w:t xml:space="preserve">Samuel, Saron, Alexander Martin, Eugene Yang, Andrew Yates, Dawn Lawrie, Ian Soboroff, Laura Dietz, and Benjamin Van Durme. 2026.</w:t>
      </w:r>
      <w:r>
        <w:t xml:space="preserve"> </w:t>
      </w:r>
      <w:r>
        <w:t xml:space="preserve">“Beyond Relevance: On the Relationship Between Retrieval and</w:t>
      </w:r>
      <w:r>
        <w:t xml:space="preserve"> </w:t>
      </w:r>
      <w:r>
        <w:t xml:space="preserve">RAG</w:t>
      </w:r>
      <w:r>
        <w:t xml:space="preserve"> </w:t>
      </w:r>
      <w:r>
        <w:t xml:space="preserve">Information Coverage.”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19">
        <w:r>
          <w:rPr>
            <w:rStyle w:val="Hyperlink"/>
          </w:rPr>
          <w:t xml:space="preserve">https://doi.org/10.1145/3805713.3820424</w:t>
        </w:r>
      </w:hyperlink>
      <w:r>
        <w:t xml:space="preserve">.</w:t>
      </w:r>
    </w:p>
    <w:bookmarkEnd w:id="220"/>
    <w:bookmarkStart w:id="221" w:name="ref-shi2023distracted"/>
    <w:p>
      <w:pPr>
        <w:pStyle w:val="Bibliography"/>
      </w:pPr>
      <w:r>
        <w:t xml:space="preserve">Shi, Freda, Xinyun Chen, Kanishka Misra, Nathan Scales, David Dohan, Ed Chi, Nathanael Schärli, and Denny Zhou. 2023.</w:t>
      </w:r>
      <w:r>
        <w:t xml:space="preserve"> </w:t>
      </w:r>
      <w:r>
        <w:t xml:space="preserve">“Large Language Models Can Be Easily Distracted by Irrelevant Context.”</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21"/>
    <w:bookmarkStart w:id="223" w:name="ref-smucker2007"/>
    <w:p>
      <w:pPr>
        <w:pStyle w:val="Bibliography"/>
      </w:pPr>
      <w:r>
        <w:t xml:space="preserve">Smucker, Mark D., James Allan, and Ben Carterette. 2007.</w:t>
      </w:r>
      <w:r>
        <w:t xml:space="preserve"> </w:t>
      </w:r>
      <w:r>
        <w:t xml:space="preserve">“A Comparison of Statistical Significance Tests for Information Retrieval Evaluation.”</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22">
        <w:r>
          <w:rPr>
            <w:rStyle w:val="Hyperlink"/>
          </w:rPr>
          <w:t xml:space="preserve">https://doi.org/10.1145/1321440.1321528</w:t>
        </w:r>
      </w:hyperlink>
      <w:r>
        <w:t xml:space="preserve">.</w:t>
      </w:r>
    </w:p>
    <w:bookmarkEnd w:id="223"/>
    <w:bookmarkStart w:id="224" w:name="ref-thakur2021beir"/>
    <w:p>
      <w:pPr>
        <w:pStyle w:val="Bibliography"/>
      </w:pPr>
      <w:r>
        <w:t xml:space="preserve">Thakur, Nandan, Nils Reimers, Andreas Rücklé, Abhishek Srivastava, and Iryna Gurevych. 2021.</w:t>
      </w:r>
      <w:r>
        <w:t xml:space="preserve"> </w:t>
      </w:r>
      <w:r>
        <w:t xml:space="preserve">“</w:t>
      </w:r>
      <w:r>
        <w:t xml:space="preserve">BEIR</w:t>
      </w:r>
      <w:r>
        <w:t xml:space="preserve">: A Heterogenous Benchmark for Zero-Shot Evaluation of Information Retrieval Models.”</w:t>
      </w:r>
      <w:r>
        <w:t xml:space="preserve"> </w:t>
      </w:r>
      <w:r>
        <w:t xml:space="preserve">arXiv preprint arXiv:2104.08663.</w:t>
      </w:r>
    </w:p>
    <w:bookmarkEnd w:id="224"/>
    <w:bookmarkStart w:id="225" w:name="ref-trappolini2025udcg"/>
    <w:p>
      <w:pPr>
        <w:pStyle w:val="Bibliography"/>
      </w:pPr>
      <w:r>
        <w:t xml:space="preserve">Trappolini, Giovanni, Florin Cuconasu, Simone Filice, Yoelle Maarek, and Fabrizio Silvestri. 2025.</w:t>
      </w:r>
      <w:r>
        <w:t xml:space="preserve"> </w:t>
      </w:r>
      <w:r>
        <w:t xml:space="preserve">“Redefining Retrieval Evaluation in the Era of</w:t>
      </w:r>
      <w:r>
        <w:t xml:space="preserve"> </w:t>
      </w:r>
      <w:r>
        <w:t xml:space="preserve">LLMs</w:t>
      </w:r>
      <w:r>
        <w:t xml:space="preserve">.”</w:t>
      </w:r>
      <w:r>
        <w:t xml:space="preserve"> </w:t>
      </w:r>
      <w:r>
        <w:t xml:space="preserve">arXiv preprint arXiv:2510.21440.</w:t>
      </w:r>
    </w:p>
    <w:bookmarkEnd w:id="225"/>
    <w:bookmarkStart w:id="226" w:name="ref-wang2022e5"/>
    <w:p>
      <w:pPr>
        <w:pStyle w:val="Bibliography"/>
      </w:pPr>
      <w:r>
        <w:t xml:space="preserve">Wang, Liang, Nan Yang, Xiaolong Huang, Binxing Jiao, Linjun Yang, Daxin Jiang, Rangan Majumder, and Furu Wei. 2022.</w:t>
      </w:r>
      <w:r>
        <w:t xml:space="preserve"> </w:t>
      </w:r>
      <w:r>
        <w:t xml:space="preserve">“Text Embeddings by</w:t>
      </w:r>
      <w:r>
        <w:t xml:space="preserve"> </w:t>
      </w:r>
      <w:r>
        <w:t xml:space="preserve">Weakly-Supervised</w:t>
      </w:r>
      <w:r>
        <w:t xml:space="preserve"> </w:t>
      </w:r>
      <w:r>
        <w:t xml:space="preserve">Contrastive Pre-Training.”</w:t>
      </w:r>
      <w:r>
        <w:t xml:space="preserve"> </w:t>
      </w:r>
      <w:r>
        <w:t xml:space="preserve">arXiv preprint arXiv:2212.03533.</w:t>
      </w:r>
    </w:p>
    <w:bookmarkEnd w:id="226"/>
    <w:bookmarkStart w:id="227" w:name="ref-wang2020minilm"/>
    <w:p>
      <w:pPr>
        <w:pStyle w:val="Bibliography"/>
      </w:pPr>
      <w:r>
        <w:t xml:space="preserve">Wang, Wenhui, Furu Wei, Li Dong, Hangbo Bao, Nan Yang, and Ming Zhou. 2020.</w:t>
      </w:r>
      <w:r>
        <w:t xml:space="preserve"> </w:t>
      </w:r>
      <w:r>
        <w:t xml:space="preserve">“</w:t>
      </w:r>
      <w:r>
        <w:t xml:space="preserve">MiniLM</w:t>
      </w:r>
      <w:r>
        <w:t xml:space="preserve">: Deep</w:t>
      </w:r>
      <w:r>
        <w:t xml:space="preserve"> </w:t>
      </w:r>
      <w:r>
        <w:t xml:space="preserve">Self-Attention</w:t>
      </w:r>
      <w:r>
        <w:t xml:space="preserve"> </w:t>
      </w:r>
      <w:r>
        <w:t xml:space="preserve">Distillation for</w:t>
      </w:r>
      <w:r>
        <w:t xml:space="preserve"> </w:t>
      </w:r>
      <w:r>
        <w:t xml:space="preserve">Task-Agnostic</w:t>
      </w:r>
      <w:r>
        <w:t xml:space="preserve"> </w:t>
      </w:r>
      <w:r>
        <w:t xml:space="preserve">Compression of</w:t>
      </w:r>
      <w:r>
        <w:t xml:space="preserve"> </w:t>
      </w:r>
      <w:r>
        <w:t xml:space="preserve">Pre-Trained</w:t>
      </w:r>
      <w:r>
        <w:t xml:space="preserve"> </w:t>
      </w:r>
      <w:r>
        <w:t xml:space="preserve">Transformers.”</w:t>
      </w:r>
      <w:r>
        <w:t xml:space="preserve"> </w:t>
      </w:r>
      <w:r>
        <w:t xml:space="preserve">In</w:t>
      </w:r>
      <w:r>
        <w:t xml:space="preserve"> </w:t>
      </w:r>
      <w:r>
        <w:rPr>
          <w:iCs/>
          <w:i/>
        </w:rPr>
        <w:t xml:space="preserve">Advances in Neural Information Processing Systems 33 (NeurIPS 2020)</w:t>
      </w:r>
      <w:r>
        <w:t xml:space="preserve">.</w:t>
      </w:r>
    </w:p>
    <w:bookmarkEnd w:id="227"/>
    <w:bookmarkStart w:id="229" w:name="ref-xiao2024cpack"/>
    <w:p>
      <w:pPr>
        <w:pStyle w:val="Bibliography"/>
      </w:pPr>
      <w:r>
        <w:t xml:space="preserve">Xiao, Shitao, Zheng Liu, Peitian Zhang, Niklas Muennighoff, Defu Lian, and Jian-Yun Nie. 2024.</w:t>
      </w:r>
      <w:r>
        <w:t xml:space="preserve"> </w:t>
      </w:r>
      <w:r>
        <w:t xml:space="preserve">“</w:t>
      </w:r>
      <w:r>
        <w:t xml:space="preserve">C-Pack</w:t>
      </w:r>
      <w:r>
        <w:t xml:space="preserve">: Packed Resources for General Chinese Embeddings.”</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28">
        <w:r>
          <w:rPr>
            <w:rStyle w:val="Hyperlink"/>
          </w:rPr>
          <w:t xml:space="preserve">https://doi.org/10.1145/3626772.3657878</w:t>
        </w:r>
      </w:hyperlink>
      <w:r>
        <w:t xml:space="preserve">.</w:t>
      </w:r>
    </w:p>
    <w:bookmarkEnd w:id="229"/>
    <w:bookmarkStart w:id="231"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w:t>
      </w:r>
      <w:r>
        <w:t xml:space="preserve">: A Dataset for Diverse, Explainable Multi-Hop Question Answering.”</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30">
        <w:r>
          <w:rPr>
            <w:rStyle w:val="Hyperlink"/>
          </w:rPr>
          <w:t xml:space="preserve">https://doi.org/10.18653/v1/d18-1259</w:t>
        </w:r>
      </w:hyperlink>
      <w:r>
        <w:t xml:space="preserve">.</w:t>
      </w:r>
    </w:p>
    <w:bookmarkEnd w:id="231"/>
    <w:bookmarkStart w:id="232" w:name="ref-zhang2025qwen3emb"/>
    <w:p>
      <w:pPr>
        <w:pStyle w:val="Bibliography"/>
      </w:pPr>
      <w:r>
        <w:t xml:space="preserve">Zhang, Yanzhao, Mingxin Li, Dingkun Long, Xin Zhang, Huan Lin, Baosong Yang, Pengjun Xie, et al. 2025.</w:t>
      </w:r>
      <w:r>
        <w:t xml:space="preserve"> </w:t>
      </w:r>
      <w:r>
        <w:t xml:space="preserve">“</w:t>
      </w:r>
      <w:r>
        <w:t xml:space="preserve">Qwen3</w:t>
      </w:r>
      <w:r>
        <w:t xml:space="preserve"> </w:t>
      </w:r>
      <w:r>
        <w:t xml:space="preserve">Embedding: Advancing Text Embedding and Reranking Through Foundation Models.”</w:t>
      </w:r>
      <w:r>
        <w:t xml:space="preserve"> </w:t>
      </w:r>
      <w:r>
        <w:t xml:space="preserve">arXiv preprint arXiv:2506.05176.</w:t>
      </w:r>
    </w:p>
    <w:bookmarkEnd w:id="232"/>
    <w:bookmarkStart w:id="234" w:name="ref-zhao2026design"/>
    <w:p>
      <w:pPr>
        <w:pStyle w:val="Bibliography"/>
      </w:pPr>
      <w:r>
        <w:t xml:space="preserve">Zhao, Shengming, Yuchen Shao, Yuheng Huang, Jiayang Song, Zhijie Wang, Chengcheng Wan, and Lei Ma. 2026.</w:t>
      </w:r>
      <w:r>
        <w:t xml:space="preserve"> </w:t>
      </w:r>
      <w:r>
        <w:t xml:space="preserve">“Understanding the Fundamental Design Decisions of</w:t>
      </w:r>
      <w:r>
        <w:t xml:space="preserve"> </w:t>
      </w:r>
      <w:r>
        <w:t xml:space="preserve">Retrieval-Augmented</w:t>
      </w:r>
      <w:r>
        <w:t xml:space="preserve"> </w:t>
      </w:r>
      <w:r>
        <w:t xml:space="preserve">Generation Systems.”</w:t>
      </w:r>
      <w:r>
        <w:t xml:space="preserve"> </w:t>
      </w:r>
      <w:r>
        <w:rPr>
          <w:iCs/>
          <w:i/>
        </w:rPr>
        <w:t xml:space="preserve">ACM Transactions on Software Engineering and Methodology</w:t>
      </w:r>
      <w:r>
        <w:t xml:space="preserve">.</w:t>
      </w:r>
      <w:r>
        <w:t xml:space="preserve"> </w:t>
      </w:r>
      <w:hyperlink r:id="rId233">
        <w:r>
          <w:rPr>
            <w:rStyle w:val="Hyperlink"/>
          </w:rPr>
          <w:t xml:space="preserve">https://doi.org/10.1145/3802824</w:t>
        </w:r>
      </w:hyperlink>
      <w:r>
        <w:t xml:space="preserve">.</w:t>
      </w:r>
    </w:p>
    <w:bookmarkEnd w:id="234"/>
    <w:bookmarkStart w:id="235" w:name="ref-zheng2023judge"/>
    <w:p>
      <w:pPr>
        <w:pStyle w:val="Bibliography"/>
      </w:pPr>
      <w:r>
        <w:t xml:space="preserve">Zheng, Lianmin, Wei-Lin Chiang, Ying Sheng, Siyuan Zhuang, Zhanghao Wu, Yonghao Zhuang, Zi Lin, et al. 2023.</w:t>
      </w:r>
      <w:r>
        <w:t xml:space="preserve"> </w:t>
      </w:r>
      <w:r>
        <w:t xml:space="preserve">“Judging</w:t>
      </w:r>
      <w:r>
        <w:t xml:space="preserve"> </w:t>
      </w:r>
      <w:r>
        <w:t xml:space="preserve">LLM-as-a-Judge</w:t>
      </w:r>
      <w:r>
        <w:t xml:space="preserve"> </w:t>
      </w:r>
      <w:r>
        <w:t xml:space="preserve">with</w:t>
      </w:r>
      <w:r>
        <w:t xml:space="preserve"> </w:t>
      </w:r>
      <w:r>
        <w:t xml:space="preserve">MT-Bench</w:t>
      </w:r>
      <w:r>
        <w:t xml:space="preserve"> </w:t>
      </w:r>
      <w:r>
        <w:t xml:space="preserve">and Chatbot Arena.”</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35"/>
    <w:bookmarkEnd w:id="236"/>
    <w:bookmarkEnd w:id="2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5" Target="media/rId95.png" /><Relationship Type="http://schemas.openxmlformats.org/officeDocument/2006/relationships/image" Id="rId137" Target="media/rId137.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0" Target="media/rId90.png" /><Relationship Type="http://schemas.openxmlformats.org/officeDocument/2006/relationships/image" Id="rId100" Target="media/rId100.png"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hyperlink" Id="rId152" Target="https://doi.org/10.1007/978-1-4899-4541-9" TargetMode="External" /><Relationship Type="http://schemas.openxmlformats.org/officeDocument/2006/relationships/hyperlink" Id="rId192" Target="https://doi.org/10.1007/bf02295996" TargetMode="External" /><Relationship Type="http://schemas.openxmlformats.org/officeDocument/2006/relationships/hyperlink" Id="rId181" Target="https://doi.org/10.1093/biomet/73.1.13" TargetMode="External" /><Relationship Type="http://schemas.openxmlformats.org/officeDocument/2006/relationships/hyperlink" Id="rId165" Target="https://doi.org/10.1109/tbdata.2019.2921572" TargetMode="External" /><Relationship Type="http://schemas.openxmlformats.org/officeDocument/2006/relationships/hyperlink" Id="rId189" Target="https://doi.org/10.1109/tpami.2018.2889473" TargetMode="External" /><Relationship Type="http://schemas.openxmlformats.org/officeDocument/2006/relationships/hyperlink" Id="rId222" Target="https://doi.org/10.1145/1321440.1321528" TargetMode="External" /><Relationship Type="http://schemas.openxmlformats.org/officeDocument/2006/relationships/hyperlink" Id="rId215" Target="https://doi.org/10.1145/2641383.2641385" TargetMode="External" /><Relationship Type="http://schemas.openxmlformats.org/officeDocument/2006/relationships/hyperlink" Id="rId173" Target="https://doi.org/10.1145/3600006.3613165" TargetMode="External" /><Relationship Type="http://schemas.openxmlformats.org/officeDocument/2006/relationships/hyperlink" Id="rId148" Target="https://doi.org/10.1145/3626772.3657834" TargetMode="External" /><Relationship Type="http://schemas.openxmlformats.org/officeDocument/2006/relationships/hyperlink" Id="rId228" Target="https://doi.org/10.1145/3626772.3657878" TargetMode="External" /><Relationship Type="http://schemas.openxmlformats.org/officeDocument/2006/relationships/hyperlink" Id="rId217" Target="https://doi.org/10.1145/3626772.3657957" TargetMode="External" /><Relationship Type="http://schemas.openxmlformats.org/officeDocument/2006/relationships/hyperlink" Id="rId187" Target="https://doi.org/10.1145/3701228" TargetMode="External" /><Relationship Type="http://schemas.openxmlformats.org/officeDocument/2006/relationships/hyperlink" Id="rId199" Target="https://doi.org/10.1145/3774904.3792093" TargetMode="External" /><Relationship Type="http://schemas.openxmlformats.org/officeDocument/2006/relationships/hyperlink" Id="rId233" Target="https://doi.org/10.1145/3802824" TargetMode="External" /><Relationship Type="http://schemas.openxmlformats.org/officeDocument/2006/relationships/hyperlink" Id="rId219" Target="https://doi.org/10.1145/3805713.3820424" TargetMode="External" /><Relationship Type="http://schemas.openxmlformats.org/officeDocument/2006/relationships/hyperlink" Id="rId171" Target="https://doi.org/10.1162/tacl_a_00276" TargetMode="External" /><Relationship Type="http://schemas.openxmlformats.org/officeDocument/2006/relationships/hyperlink" Id="rId204" Target="https://doi.org/10.1162/tacl_a_00605" TargetMode="External" /><Relationship Type="http://schemas.openxmlformats.org/officeDocument/2006/relationships/hyperlink" Id="rId184" Target="https://doi.org/10.1162/tacl_a_00638" TargetMode="External" /><Relationship Type="http://schemas.openxmlformats.org/officeDocument/2006/relationships/hyperlink" Id="rId144" Target="https://doi.org/10.1177/001316446002000104" TargetMode="External" /><Relationship Type="http://schemas.openxmlformats.org/officeDocument/2006/relationships/hyperlink" Id="rId211" Target="https://doi.org/10.1561/1500000019" TargetMode="External" /><Relationship Type="http://schemas.openxmlformats.org/officeDocument/2006/relationships/hyperlink" Id="rId169" Target="https://doi.org/10.18653/v1/2020.emnlp-main.550" TargetMode="External" /><Relationship Type="http://schemas.openxmlformats.org/officeDocument/2006/relationships/hyperlink" Id="rId161" Target="https://doi.org/10.18653/v1/2021.eacl-main.74" TargetMode="External" /><Relationship Type="http://schemas.openxmlformats.org/officeDocument/2006/relationships/hyperlink" Id="rId201" Target="https://doi.org/10.18653/v1/2021.naacl-main.200" TargetMode="External" /><Relationship Type="http://schemas.openxmlformats.org/officeDocument/2006/relationships/hyperlink" Id="rId167" Target="https://doi.org/10.18653/v1/2023.acl-long.307" TargetMode="External" /><Relationship Type="http://schemas.openxmlformats.org/officeDocument/2006/relationships/hyperlink" Id="rId195" Target="https://doi.org/10.18653/v1/2023.eacl-main.148" TargetMode="External" /><Relationship Type="http://schemas.openxmlformats.org/officeDocument/2006/relationships/hyperlink" Id="rId154" Target="https://doi.org/10.18653/v1/2024.eacl-demo.16" TargetMode="External" /><Relationship Type="http://schemas.openxmlformats.org/officeDocument/2006/relationships/hyperlink" Id="rId206" Target="https://doi.org/10.18653/v1/2024.findings-emnlp.449" TargetMode="External" /><Relationship Type="http://schemas.openxmlformats.org/officeDocument/2006/relationships/hyperlink" Id="rId213" Target="https://doi.org/10.18653/v1/2024.naacl-long.20" TargetMode="External" /><Relationship Type="http://schemas.openxmlformats.org/officeDocument/2006/relationships/hyperlink" Id="rId140" Target="https://doi.org/10.18653/v1/2025.acl-long.892" TargetMode="External" /><Relationship Type="http://schemas.openxmlformats.org/officeDocument/2006/relationships/hyperlink" Id="rId146" Target="https://doi.org/10.18653/v1/2025.emnlp-main.1422" TargetMode="External" /><Relationship Type="http://schemas.openxmlformats.org/officeDocument/2006/relationships/hyperlink" Id="rId230" Target="https://doi.org/10.18653/v1/d18-1259" TargetMode="External" /><Relationship Type="http://schemas.openxmlformats.org/officeDocument/2006/relationships/hyperlink" Id="rId208" Target="https://doi.org/10.18653/v1/d19-1410" TargetMode="External" /><Relationship Type="http://schemas.openxmlformats.org/officeDocument/2006/relationships/hyperlink" Id="rId150" Target="https://doi.org/10.18653/v1/p18-1128" TargetMode="External" /><Relationship Type="http://schemas.openxmlformats.org/officeDocument/2006/relationships/hyperlink" Id="rId177" Target="https://doi.org/10.18653/v1/p19-1612" TargetMode="External" /><Relationship Type="http://schemas.openxmlformats.org/officeDocument/2006/relationships/hyperlink" Id="rId175" Target="https://doi.org/10.2307/2529310" TargetMode="External" /><Relationship Type="http://schemas.openxmlformats.org/officeDocument/2006/relationships/hyperlink" Id="rId158"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7/978-1-4899-4541-9" TargetMode="External" /><Relationship Type="http://schemas.openxmlformats.org/officeDocument/2006/relationships/hyperlink" Id="rId192" Target="https://doi.org/10.1007/bf02295996" TargetMode="External" /><Relationship Type="http://schemas.openxmlformats.org/officeDocument/2006/relationships/hyperlink" Id="rId181" Target="https://doi.org/10.1093/biomet/73.1.13" TargetMode="External" /><Relationship Type="http://schemas.openxmlformats.org/officeDocument/2006/relationships/hyperlink" Id="rId165" Target="https://doi.org/10.1109/tbdata.2019.2921572" TargetMode="External" /><Relationship Type="http://schemas.openxmlformats.org/officeDocument/2006/relationships/hyperlink" Id="rId189" Target="https://doi.org/10.1109/tpami.2018.2889473" TargetMode="External" /><Relationship Type="http://schemas.openxmlformats.org/officeDocument/2006/relationships/hyperlink" Id="rId222" Target="https://doi.org/10.1145/1321440.1321528" TargetMode="External" /><Relationship Type="http://schemas.openxmlformats.org/officeDocument/2006/relationships/hyperlink" Id="rId215" Target="https://doi.org/10.1145/2641383.2641385" TargetMode="External" /><Relationship Type="http://schemas.openxmlformats.org/officeDocument/2006/relationships/hyperlink" Id="rId173" Target="https://doi.org/10.1145/3600006.3613165" TargetMode="External" /><Relationship Type="http://schemas.openxmlformats.org/officeDocument/2006/relationships/hyperlink" Id="rId148" Target="https://doi.org/10.1145/3626772.3657834" TargetMode="External" /><Relationship Type="http://schemas.openxmlformats.org/officeDocument/2006/relationships/hyperlink" Id="rId228" Target="https://doi.org/10.1145/3626772.3657878" TargetMode="External" /><Relationship Type="http://schemas.openxmlformats.org/officeDocument/2006/relationships/hyperlink" Id="rId217" Target="https://doi.org/10.1145/3626772.3657957" TargetMode="External" /><Relationship Type="http://schemas.openxmlformats.org/officeDocument/2006/relationships/hyperlink" Id="rId187" Target="https://doi.org/10.1145/3701228" TargetMode="External" /><Relationship Type="http://schemas.openxmlformats.org/officeDocument/2006/relationships/hyperlink" Id="rId199" Target="https://doi.org/10.1145/3774904.3792093" TargetMode="External" /><Relationship Type="http://schemas.openxmlformats.org/officeDocument/2006/relationships/hyperlink" Id="rId233" Target="https://doi.org/10.1145/3802824" TargetMode="External" /><Relationship Type="http://schemas.openxmlformats.org/officeDocument/2006/relationships/hyperlink" Id="rId219" Target="https://doi.org/10.1145/3805713.3820424" TargetMode="External" /><Relationship Type="http://schemas.openxmlformats.org/officeDocument/2006/relationships/hyperlink" Id="rId171" Target="https://doi.org/10.1162/tacl_a_00276" TargetMode="External" /><Relationship Type="http://schemas.openxmlformats.org/officeDocument/2006/relationships/hyperlink" Id="rId204" Target="https://doi.org/10.1162/tacl_a_00605" TargetMode="External" /><Relationship Type="http://schemas.openxmlformats.org/officeDocument/2006/relationships/hyperlink" Id="rId184" Target="https://doi.org/10.1162/tacl_a_00638" TargetMode="External" /><Relationship Type="http://schemas.openxmlformats.org/officeDocument/2006/relationships/hyperlink" Id="rId144" Target="https://doi.org/10.1177/001316446002000104" TargetMode="External" /><Relationship Type="http://schemas.openxmlformats.org/officeDocument/2006/relationships/hyperlink" Id="rId211" Target="https://doi.org/10.1561/1500000019" TargetMode="External" /><Relationship Type="http://schemas.openxmlformats.org/officeDocument/2006/relationships/hyperlink" Id="rId169" Target="https://doi.org/10.18653/v1/2020.emnlp-main.550" TargetMode="External" /><Relationship Type="http://schemas.openxmlformats.org/officeDocument/2006/relationships/hyperlink" Id="rId161" Target="https://doi.org/10.18653/v1/2021.eacl-main.74" TargetMode="External" /><Relationship Type="http://schemas.openxmlformats.org/officeDocument/2006/relationships/hyperlink" Id="rId201" Target="https://doi.org/10.18653/v1/2021.naacl-main.200" TargetMode="External" /><Relationship Type="http://schemas.openxmlformats.org/officeDocument/2006/relationships/hyperlink" Id="rId167" Target="https://doi.org/10.18653/v1/2023.acl-long.307" TargetMode="External" /><Relationship Type="http://schemas.openxmlformats.org/officeDocument/2006/relationships/hyperlink" Id="rId195" Target="https://doi.org/10.18653/v1/2023.eacl-main.148" TargetMode="External" /><Relationship Type="http://schemas.openxmlformats.org/officeDocument/2006/relationships/hyperlink" Id="rId154" Target="https://doi.org/10.18653/v1/2024.eacl-demo.16" TargetMode="External" /><Relationship Type="http://schemas.openxmlformats.org/officeDocument/2006/relationships/hyperlink" Id="rId206" Target="https://doi.org/10.18653/v1/2024.findings-emnlp.449" TargetMode="External" /><Relationship Type="http://schemas.openxmlformats.org/officeDocument/2006/relationships/hyperlink" Id="rId213" Target="https://doi.org/10.18653/v1/2024.naacl-long.20" TargetMode="External" /><Relationship Type="http://schemas.openxmlformats.org/officeDocument/2006/relationships/hyperlink" Id="rId140" Target="https://doi.org/10.18653/v1/2025.acl-long.892" TargetMode="External" /><Relationship Type="http://schemas.openxmlformats.org/officeDocument/2006/relationships/hyperlink" Id="rId146" Target="https://doi.org/10.18653/v1/2025.emnlp-main.1422" TargetMode="External" /><Relationship Type="http://schemas.openxmlformats.org/officeDocument/2006/relationships/hyperlink" Id="rId230" Target="https://doi.org/10.18653/v1/d18-1259" TargetMode="External" /><Relationship Type="http://schemas.openxmlformats.org/officeDocument/2006/relationships/hyperlink" Id="rId208" Target="https://doi.org/10.18653/v1/d19-1410" TargetMode="External" /><Relationship Type="http://schemas.openxmlformats.org/officeDocument/2006/relationships/hyperlink" Id="rId150" Target="https://doi.org/10.18653/v1/p18-1128" TargetMode="External" /><Relationship Type="http://schemas.openxmlformats.org/officeDocument/2006/relationships/hyperlink" Id="rId177" Target="https://doi.org/10.18653/v1/p19-1612" TargetMode="External" /><Relationship Type="http://schemas.openxmlformats.org/officeDocument/2006/relationships/hyperlink" Id="rId175" Target="https://doi.org/10.2307/2529310" TargetMode="External" /><Relationship Type="http://schemas.openxmlformats.org/officeDocument/2006/relationships/hyperlink" Id="rId158"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cost of open embedding models in retrieval-augmented question answering</dc:title>
  <dc:creator/>
  <cp:keywords/>
  <dcterms:created xsi:type="dcterms:W3CDTF">2026-10-16T22:19:50Z</dcterms:created>
  <dcterms:modified xsi:type="dcterms:W3CDTF">2026-10-16T22:19:50Z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Teams that build retrieval-augmented generation (RAG) systems often pick an embedding model by its retrieval score. We measured how much of a retrieval gain reaches the answer, and at what cost, for open models on free cloud GPUs. We compared BM25 and six open embedding models (23–596M parameters) on Natural Questions (NQ, 2,255 queries) and HotpotQA (2,000 queries), each read by two quantised 7–8B models. The transfer ratio T divides the exact-match (EM) gain by the Hit@5 gain over a small baseline encoder on the same queries. We report bootstrap intervals and registered six predictions before the second phase of the study. On NQ, T ranged from 0.16 to 0.27, and no upper 95% bound exceeded 0.45. On HotpotQA, T was larger (0.49–0.93) and one upper bound reached 1.10, so the prediction T&lt;1 failed in one of four reader–dataset cells. An exact decomposition attributes 48%–70% of the HotpotQA transfer to higher EM given a hit, in line with retrieving both supporting passages. On HotpotQA, bge-large gave higher EM than e5-base-v2 (+0.028 and +0.022, Holm-adjusted p \le 0.040); on NQ, no difference was detected. Encoding throughput on one T4 GPU differed 27-fold across encoders. Top-ranked non-gold passages lowered EM by 0.074 against random passages; gold position showed no detectable effect. An LLM faithfulness judge agreed poorly with human labels (Cohen’s \kappa = 0.127) and was excluded. Within this setup, retrieval gains overstate answer gains on single-hop questions, and encoder cost should be weighed alongside retrieval scores.</vt:lpwstr>
  </property>
  <property fmtid="{D5CDD505-2E9C-101B-9397-08002B2CF9AE}" pid="3" name="bibliography">
    <vt:lpwstr>/home/claude/rag-embed-transfer/manuscript_ipm/latex/references.bib</vt:lpwstr>
  </property>
  <property fmtid="{D5CDD505-2E9C-101B-9397-08002B2CF9AE}" pid="4" name="link-citations">
    <vt:lpwstr>True</vt:lpwstr>
  </property>
</Properties>
</file>