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52.png" ContentType="image/png"/>
  <Override PartName="/word/media/rId159.png" ContentType="image/png"/>
  <Override PartName="/word/media/rId70.png" ContentType="image/png"/>
  <Override PartName="/word/media/rId67.png" ContentType="image/png"/>
  <Override PartName="/word/media/rId92.png" ContentType="image/png"/>
  <Override PartName="/word/media/rId96.png" ContentType="image/png"/>
  <Override PartName="/word/media/rId105.png" ContentType="image/png"/>
  <Override PartName="/word/media/rId112.png" ContentType="image/png"/>
  <Override PartName="/word/media/rId27.png" ContentType="image/png"/>
  <Override PartName="/word/media/rId41.png" ContentType="image/png"/>
  <Override PartName="/word/media/rId63.png" ContentType="image/png"/>
  <Override PartName="/word/media/rId7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bge-small</w:t>
      </w:r>
      <w:r>
        <w:t xml:space="preserve"> </w:t>
      </w:r>
      <w:r>
        <w:t xml:space="preserve">and</w:t>
      </w:r>
      <w:r>
        <w:t xml:space="preserve"> </w:t>
      </w:r>
      <w:r>
        <w:t xml:space="preserve">e5-base-v2</w:t>
      </w:r>
      <w:r>
        <w:t xml:space="preserve"> </w:t>
      </w:r>
      <w:r>
        <w:t xml:space="preserve">had</w:t>
      </w:r>
      <w:r>
        <w:t xml:space="preserve"> </w:t>
      </w:r>
      <w:r>
        <w:t xml:space="preserve">ratios</w:t>
      </w:r>
      <w:r>
        <w:t xml:space="preserve"> </w:t>
      </w:r>
      <w:r>
        <w:t xml:space="preserve">of</w:t>
      </w:r>
      <w:r>
        <w:t xml:space="preserve"> </w:t>
      </w:r>
      <w:r>
        <w:t xml:space="preserve">0.15–0.23</w:t>
      </w:r>
      <w:r>
        <w:t xml:space="preserve"> </w:t>
      </w:r>
      <w:r>
        <w:t xml:space="preserve">with</w:t>
      </w:r>
      <w:r>
        <w:t xml:space="preserve"> </w:t>
      </w:r>
      <w:r>
        <w:t xml:space="preserve">both</w:t>
      </w:r>
      <w:r>
        <w:t xml:space="preserve"> </w:t>
      </w:r>
      <w:r>
        <w:t xml:space="preserve">readers,</w:t>
      </w:r>
      <w:r>
        <w:t xml:space="preserve"> </w:t>
      </w:r>
      <w:r>
        <w:t xml:space="preserve">and</w:t>
      </w:r>
      <w:r>
        <w:t xml:space="preserve"> </w:t>
      </w:r>
      <w:r>
        <w:t xml:space="preserve">e5-base-v2</w:t>
      </w:r>
      <w:r>
        <w:t xml:space="preserve"> </w:t>
      </w:r>
      <w:r>
        <w:t xml:space="preserve">stayed</w:t>
      </w:r>
      <w:r>
        <w:t xml:space="preserve"> </w:t>
      </w:r>
      <w:r>
        <w:t xml:space="preserve">inside</w:t>
      </w:r>
      <w:r>
        <w:t xml:space="preserve"> </w:t>
      </w:r>
      <w:r>
        <w:t xml:space="preserve">its</w:t>
      </w:r>
      <w:r>
        <w:t xml:space="preserve"> </w:t>
      </w:r>
      <w:r>
        <w:t xml:space="preserve">sub-corpus</w:t>
      </w:r>
      <w:r>
        <w:t xml:space="preserve"> </w:t>
      </w:r>
      <w:r>
        <w:t xml:space="preserve">intervals.</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and</w:t>
      </w:r>
      <w:r>
        <w:t xml:space="preserve"> </w:t>
      </w:r>
      <w:r>
        <w:t xml:space="preserve">rose</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a</w:t>
      </w:r>
      <w:r>
        <w:t xml:space="preserve"> </w:t>
      </w:r>
      <w:r>
        <w:t xml:space="preserve">blinded</w:t>
      </w:r>
      <w:r>
        <w:t xml:space="preserve"> </w:t>
      </w:r>
      <w:r>
        <w:t xml:space="preserve">audit</w:t>
      </w:r>
      <w:r>
        <w:t xml:space="preserve"> </w:t>
      </w:r>
      <w:r>
        <w:t xml:space="preserve">found</w:t>
      </w:r>
      <w:r>
        <w:t xml:space="preserve"> </w:t>
      </w:r>
      <w:r>
        <w:t xml:space="preserve">a</w:t>
      </w:r>
      <w:r>
        <w:t xml:space="preserve"> </w:t>
      </w:r>
      <w:r>
        <w:t xml:space="preserve">correct</w:t>
      </w:r>
      <w:r>
        <w:t xml:space="preserve"> </w:t>
      </w:r>
      <w:r>
        <w:t xml:space="preserve">answer</w:t>
      </w:r>
      <w:r>
        <w:t xml:space="preserve"> </w:t>
      </w:r>
      <w:r>
        <w:t xml:space="preserve">in</w:t>
      </w:r>
      <w:r>
        <w:t xml:space="preserve"> </w:t>
      </w:r>
      <w:r>
        <w:t xml:space="preserve">the</w:t>
      </w:r>
      <w:r>
        <w:t xml:space="preserve"> </w:t>
      </w:r>
      <w:r>
        <w:t xml:space="preserve">passages</w:t>
      </w:r>
      <w:r>
        <w:t xml:space="preserve"> </w:t>
      </w:r>
      <w:r>
        <w:t xml:space="preserve">of</w:t>
      </w:r>
      <w:r>
        <w:t xml:space="preserve"> </w:t>
      </w:r>
      <w:r>
        <w:t xml:space="preserve">41</w:t>
      </w:r>
      <w:r>
        <w:t xml:space="preserve"> </w:t>
      </w:r>
      <w:r>
        <w:t xml:space="preserve">of</w:t>
      </w:r>
      <w:r>
        <w:t xml:space="preserve"> </w:t>
      </w:r>
      <w:r>
        <w:t xml:space="preserve">100</w:t>
      </w:r>
      <w:r>
        <w:t xml:space="preserve"> </w:t>
      </w:r>
      <w:r>
        <w:t xml:space="preserve">misses.</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full-corpus replication of the NQ ratios for two dense encoders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shows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6"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11</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5"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human-audit-of-misses-phase-3"/>
    <w:p>
      <w:pPr>
        <w:pStyle w:val="Heading4"/>
      </w:pPr>
      <w:r>
        <w:t xml:space="preserve">Human audit of misses (Phase 3)</w:t>
      </w:r>
    </w:p>
    <w:p>
      <w:pPr>
        <w:pStyle w:val="FirstParagraph"/>
      </w:pPr>
      <w:r>
        <w:t xml:space="preserve">From the sub-corpus Hit@5 misses of e5-base-v2 among the NQ generation queries, 100 were drawn with a seed fixed in the Phase 3 design. The author saw the question, the reference answers and the five passages, and labelled whether any passage contains a correct answer (yes, no or unsure), which one, and whether that passage is about the question’s subject. Only after all 100 were labelled did a second screen show the Qwen reader’s answer, labelled as factually correct or not and, for correct answers with EM 0, whether the difference was only an alias or formatting. The gold passage and the automatic flag were not shown, and no AI labels were used. Results are counts with Wilson 95% intervals.</w:t>
      </w:r>
    </w:p>
    <w:bookmarkEnd w:id="52"/>
    <w:bookmarkStart w:id="53"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3"/>
    <w:bookmarkStart w:id="5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4"/>
    <w:bookmarkEnd w:id="55"/>
    <w:bookmarkEnd w:id="56"/>
    <w:bookmarkStart w:id="62" w:name="sec:setup"/>
    <w:p>
      <w:pPr>
        <w:pStyle w:val="Heading1"/>
      </w:pPr>
      <w:r>
        <w:t xml:space="preserve">Experimental setup</w:t>
      </w:r>
    </w:p>
    <w:bookmarkStart w:id="5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7"/>
    <w:bookmarkStart w:id="58" w:name="determinism-across-phases"/>
    <w:p>
      <w:pPr>
        <w:pStyle w:val="Heading4"/>
      </w:pPr>
      <w:r>
        <w:t xml:space="preserve">Determinism across phases</w:t>
      </w:r>
    </w:p>
    <w:p>
      <w:pPr>
        <w:pStyle w:val="FirstParagraph"/>
      </w:pPr>
      <w:r>
        <w:t xml:space="preserve">Some comparisons cross the software change between Phase 1 and the later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full-corpus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8"/>
    <w:bookmarkStart w:id="5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9"/>
    <w:bookmarkStart w:id="6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60"/>
    <w:bookmarkStart w:id="6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8</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audit ran as registered, with one change of tool: the author labelled the items in a web page instead of the planned spreadsheet, because the spreadsheet’s selection lists did not work on the author’s computer. The page showed the same items in the same order, showed neither the gold passage nor the automatic flag, and opened the reader’s answers only after all 100 passage labels were complete. Passage labels could still be changed after that point, and the export records only the time of each item’s last change. The Phase 3 session itself ran as registered, with no failed run.</w:t>
      </w:r>
    </w:p>
    <w:p>
      <w:pPr>
        <w:pStyle w:val="FirstParagraph"/>
      </w:pPr>
      <w:r>
        <w:t xml:space="preserve">No run was repeated to obtain a different result, and no result was discarded.</w:t>
      </w:r>
    </w:p>
    <w:bookmarkEnd w:id="61"/>
    <w:bookmarkEnd w:id="62"/>
    <w:bookmarkStart w:id="121" w:name="sec:results"/>
    <w:p>
      <w:pPr>
        <w:pStyle w:val="Heading1"/>
      </w:pPr>
      <w:r>
        <w:t xml:space="preserve">Results</w:t>
      </w:r>
    </w:p>
    <w:bookmarkStart w:id="66"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4" name="Picture"/>
            <a:graphic>
              <a:graphicData uri="http://schemas.openxmlformats.org/drawingml/2006/picture">
                <pic:pic>
                  <pic:nvPicPr>
                    <pic:cNvPr descr="/home/claude/rag-embed-transfer/paper_figures/out/fig9_retrieval.png" id="65" name="Picture"/>
                    <pic:cNvPicPr>
                      <a:picLocks noChangeArrowheads="1" noChangeAspect="1"/>
                    </pic:cNvPicPr>
                  </pic:nvPicPr>
                  <pic:blipFill>
                    <a:blip r:embed="rId63"/>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6"/>
    <w:bookmarkStart w:id="73"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8" name="Picture"/>
            <a:graphic>
              <a:graphicData uri="http://schemas.openxmlformats.org/drawingml/2006/picture">
                <pic:pic>
                  <pic:nvPicPr>
                    <pic:cNvPr descr="/home/claude/rag-embed-transfer/paper_figures/out/fig2_hit_vs_em.png" id="69" name="Picture"/>
                    <pic:cNvPicPr>
                      <a:picLocks noChangeArrowheads="1" noChangeAspect="1"/>
                    </pic:cNvPicPr>
                  </pic:nvPicPr>
                  <pic:blipFill>
                    <a:blip r:embed="rId67"/>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1" name="Picture"/>
            <a:graphic>
              <a:graphicData uri="http://schemas.openxmlformats.org/drawingml/2006/picture">
                <pic:pic>
                  <pic:nvPicPr>
                    <pic:cNvPr descr="/home/claude/rag-embed-transfer/paper_figures/out/fig1_transfer_ratios.png" id="72" name="Picture"/>
                    <pic:cNvPicPr>
                      <a:picLocks noChangeArrowheads="1" noChangeAspect="1"/>
                    </pic:cNvPicPr>
                  </pic:nvPicPr>
                  <pic:blipFill>
                    <a:blip r:embed="rId70"/>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3"/>
    <w:bookmarkStart w:id="74"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4"/>
    <w:bookmarkStart w:id="78"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ratios of bge-small and e5-base-v2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6" name="Picture"/>
            <a:graphic>
              <a:graphicData uri="http://schemas.openxmlformats.org/drawingml/2006/picture">
                <pic:pic>
                  <pic:nvPicPr>
                    <pic:cNvPr descr="figs/fig13_fullcorpus_T.pdf" id="77" name="Picture"/>
                    <pic:cNvPicPr>
                      <a:picLocks noChangeArrowheads="1" noChangeAspect="1"/>
                    </pic:cNvPicPr>
                  </pic:nvPicPr>
                  <pic:blipFill>
                    <a:blip r:embed="rId75"/>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8"/>
    <w:bookmarkStart w:id="90" w:name="sec:res-decomp"/>
    <w:p>
      <w:pPr>
        <w:pStyle w:val="Heading2"/>
      </w:pPr>
      <w:r>
        <w:t xml:space="preserve">Where the gain sits</w:t>
      </w:r>
    </w:p>
    <w:bookmarkStart w:id="79"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9"/>
    <w:bookmarkStart w:id="80"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bookmarkEnd w:id="80"/>
    <w:bookmarkStart w:id="84" w:name="human-audit-of-misses"/>
    <w:p>
      <w:pPr>
        <w:pStyle w:val="Heading4"/>
      </w:pPr>
      <w:r>
        <w:t xml:space="preserve">Human audit of misses</w:t>
      </w:r>
    </w:p>
    <w:p>
      <w:pPr>
        <w:pStyle w:val="FirstParagraph"/>
      </w:pPr>
      <w:r>
        <w:t xml:space="preserve">The registered audit checks this by hand. From the 414 sub-corpus Hit@5 misses of e5-base-v2, 100 were drawn with a fixed seed, and the author labelled them without seeing the reader’s answer or the automatic flag (Table </w:t>
      </w:r>
      <w:hyperlink w:anchor="tab:humanaudit">
        <w:r>
          <w:rPr>
            <w:rStyle w:val="Hyperlink"/>
          </w:rPr>
          <w:t xml:space="preserve">3</w:t>
        </w:r>
      </w:hyperlink>
      <w:r>
        <w:t xml:space="preserve">). A retrieved passage contained a correct answer for 41 of the 100 questions (Wilson 95% interval [0.32, 0.51]), none did for 53, and 6 were unclear. All 41 of these passages were about the question’s subject, so they were relevant passages without a gold label rather than chance mentions. The automatic check had flagged 45 of the same 100 and agreed with the human label on 92 of 94 items labelled yes or no (</w:t>
      </w:r>
      <m:oMath>
        <m:r>
          <m:t>κ</m:t>
        </m:r>
      </m:oMath>
      <w:r>
        <w:t xml:space="preserve"> </w:t>
      </w:r>
      <w:r>
        <w:t xml:space="preserve">= 0.96; not pre-specified). On a second screen, the author judged the reader’s answer correct for 59 of the 100 ([0.49, 0.68]), against 24 counted by EM. Of the 35 correct answers with EM 0, 21 differed from a reference only by an alias or formatting, and 14 were correct answers that no reference listed. In this sample, Hit@5 counted relevant evidence as missing, and EM counted correct answers as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81"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81"/>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2"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2"/>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Start w:id="83" w:name="tab:humanaudit"/>
    <w:p>
      <w:pPr>
        <w:pStyle w:val="TableCaption"/>
      </w:pPr>
      <w:r>
        <w:t xml:space="preserve">Blinded human audit of 100 seeded Hit@5 misses of e5-base-v2 (NQ sub-corpus, Qwen reader; one annotator, the author).</w:t>
      </w:r>
    </w:p>
    <w:tbl>
      <w:tblPr>
        <w:tblStyle w:val="Table"/>
        <w:tblW w:type="pct" w:w="2100"/>
        <w:tblLook w:firstRow="1" w:lastRow="0" w:firstColumn="0" w:lastColumn="0" w:noHBand="0" w:noVBand="0" w:val="0020"/>
        <w:jc w:val="start"/>
        <w:tblCaption w:val="Blinded human audit of 100 seeded Hit@5 misses of e5-base-v2 (NQ sub-corpus, Qwen reader; one annotator, the author)."/>
      </w:tblPr>
      <w:tblGrid>
        <w:gridCol w:w="3326"/>
        <w:gridCol w:w="0"/>
        <w:gridCol w:w="0"/>
        <w:gridCol w:w="0"/>
      </w:tblGrid>
      <w:tr>
        <w:trPr>
          <w:tblHeader w:val="true"/>
        </w:trPr>
        <w:tc>
          <w:tcPr/>
          <w:p>
            <w:pPr>
              <w:pStyle w:val="Compact"/>
              <w:jc w:val="left"/>
            </w:pPr>
            <w:r>
              <w:t xml:space="preserve">Label</w:t>
            </w:r>
          </w:p>
        </w:tc>
        <w:tc>
          <w:tcPr/>
          <w:p>
            <w:pPr>
              <w:pStyle w:val="Compact"/>
              <w:jc w:val="left"/>
            </w:pPr>
            <w:r>
              <w:t xml:space="preserve">Value</w:t>
            </w:r>
          </w:p>
        </w:tc>
        <w:tc>
          <w:tcPr/>
          <w:p>
            <w:pPr>
              <w:pStyle w:val="Compact"/>
              <w:jc w:val="left"/>
            </w:pPr>
            <w:r>
              <w:t xml:space="preserve">Count</w:t>
            </w:r>
          </w:p>
        </w:tc>
        <w:tc>
          <w:tcPr/>
          <w:p>
            <w:pPr>
              <w:pStyle w:val="Compact"/>
              <w:jc w:val="left"/>
            </w:pPr>
            <w:r>
              <w:t xml:space="preserve">95% CI</w:t>
            </w:r>
          </w:p>
        </w:tc>
      </w:tr>
      <w:tr>
        <w:tc>
          <w:tcPr/>
          <w:p>
            <w:pPr>
              <w:pStyle w:val="Compact"/>
              <w:jc w:val="left"/>
            </w:pPr>
            <w:r>
              <w:t xml:space="preserve">A: a passage contains a correct answer</w:t>
            </w:r>
          </w:p>
        </w:tc>
        <w:tc>
          <w:tcPr/>
          <w:p>
            <w:pPr>
              <w:pStyle w:val="Compact"/>
              <w:jc w:val="left"/>
            </w:pPr>
            <w:r>
              <w:t xml:space="preserve">yes / no / unsure</w:t>
            </w:r>
          </w:p>
        </w:tc>
        <w:tc>
          <w:tcPr/>
          <w:p>
            <w:pPr>
              <w:pStyle w:val="Compact"/>
              <w:jc w:val="left"/>
            </w:pPr>
            <w:r>
              <w:t xml:space="preserve">41 / 53 / 6</w:t>
            </w:r>
          </w:p>
        </w:tc>
        <w:tc>
          <w:tcPr/>
          <w:p>
            <w:pPr>
              <w:pStyle w:val="Compact"/>
              <w:jc w:val="left"/>
            </w:pPr>
            <w:r>
              <w:t xml:space="preserve">[0.32, 0.51]</w:t>
            </w:r>
          </w:p>
        </w:tc>
      </w:tr>
      <w:tr>
        <w:tc>
          <w:tcPr/>
          <w:p>
            <w:pPr>
              <w:pStyle w:val="Compact"/>
              <w:jc w:val="left"/>
            </w:pPr>
            <w:r>
              <w:t xml:space="preserve">B: that passage is about the question (of A = yes)</w:t>
            </w:r>
          </w:p>
        </w:tc>
        <w:tc>
          <w:tcPr/>
          <w:p>
            <w:pPr>
              <w:pStyle w:val="Compact"/>
              <w:jc w:val="left"/>
            </w:pPr>
            <w:r>
              <w:t xml:space="preserve">yes</w:t>
            </w:r>
          </w:p>
        </w:tc>
        <w:tc>
          <w:tcPr/>
          <w:p>
            <w:pPr>
              <w:pStyle w:val="Compact"/>
              <w:jc w:val="left"/>
            </w:pPr>
            <w:r>
              <w:t xml:space="preserve">41 of 41</w:t>
            </w:r>
          </w:p>
        </w:tc>
        <w:tc>
          <w:tcPr/>
          <w:p>
            <w:pPr>
              <w:pStyle w:val="Compact"/>
              <w:jc w:val="left"/>
            </w:pPr>
            <w:r>
              <w:t xml:space="preserve">[0.91, 1.00]</w:t>
            </w:r>
          </w:p>
        </w:tc>
      </w:tr>
      <w:tr>
        <w:tc>
          <w:tcPr/>
          <w:p>
            <w:pPr>
              <w:pStyle w:val="Compact"/>
              <w:jc w:val="left"/>
            </w:pPr>
            <w:r>
              <w:t xml:space="preserve">C: reader answer factually correct</w:t>
            </w:r>
          </w:p>
        </w:tc>
        <w:tc>
          <w:tcPr/>
          <w:p>
            <w:pPr>
              <w:pStyle w:val="Compact"/>
              <w:jc w:val="left"/>
            </w:pPr>
            <w:r>
              <w:t xml:space="preserve">yes / no / unsure</w:t>
            </w:r>
          </w:p>
        </w:tc>
        <w:tc>
          <w:tcPr/>
          <w:p>
            <w:pPr>
              <w:pStyle w:val="Compact"/>
              <w:jc w:val="left"/>
            </w:pPr>
            <w:r>
              <w:t xml:space="preserve">59 / 31 / 10</w:t>
            </w:r>
          </w:p>
        </w:tc>
        <w:tc>
          <w:tcPr/>
          <w:p>
            <w:pPr>
              <w:pStyle w:val="Compact"/>
              <w:jc w:val="left"/>
            </w:pPr>
            <w:r>
              <w:t xml:space="preserve">[0.49, 0.68]</w:t>
            </w:r>
          </w:p>
        </w:tc>
      </w:tr>
      <w:tr>
        <w:tc>
          <w:tcPr/>
          <w:p>
            <w:pPr>
              <w:pStyle w:val="Compact"/>
              <w:jc w:val="left"/>
            </w:pPr>
            <w:r>
              <w:t xml:space="preserve">EM = 1 (automatic)</w:t>
            </w:r>
          </w:p>
        </w:tc>
        <w:tc>
          <w:tcPr/>
          <w:p>
            <w:pPr>
              <w:pStyle w:val="Compact"/>
            </w:pPr>
          </w:p>
        </w:tc>
        <w:tc>
          <w:tcPr/>
          <w:p>
            <w:pPr>
              <w:pStyle w:val="Compact"/>
              <w:jc w:val="left"/>
            </w:pPr>
            <w:r>
              <w:t xml:space="preserve">24</w:t>
            </w:r>
          </w:p>
        </w:tc>
        <w:tc>
          <w:tcPr/>
          <w:p>
            <w:pPr>
              <w:pStyle w:val="Compact"/>
              <w:jc w:val="left"/>
            </w:pPr>
            <w:r>
              <w:t xml:space="preserve">[0.17, 0.33]</w:t>
            </w:r>
          </w:p>
        </w:tc>
      </w:tr>
      <w:tr>
        <w:tc>
          <w:tcPr/>
          <w:p>
            <w:pPr>
              <w:pStyle w:val="Compact"/>
              <w:jc w:val="left"/>
            </w:pPr>
            <w:r>
              <w:t xml:space="preserve">D: alias or formatting only (of C = yes, EM = 0)</w:t>
            </w:r>
          </w:p>
        </w:tc>
        <w:tc>
          <w:tcPr/>
          <w:p>
            <w:pPr>
              <w:pStyle w:val="Compact"/>
              <w:jc w:val="left"/>
            </w:pPr>
            <w:r>
              <w:t xml:space="preserve">yes</w:t>
            </w:r>
          </w:p>
        </w:tc>
        <w:tc>
          <w:tcPr/>
          <w:p>
            <w:pPr>
              <w:pStyle w:val="Compact"/>
              <w:jc w:val="left"/>
            </w:pPr>
            <w:r>
              <w:t xml:space="preserve">21 of 35</w:t>
            </w:r>
          </w:p>
        </w:tc>
        <w:tc>
          <w:tcPr/>
          <w:p>
            <w:pPr>
              <w:pStyle w:val="Compact"/>
              <w:jc w:val="left"/>
            </w:pPr>
            <w:r>
              <w:t xml:space="preserve">[0.44, 0.74]</w:t>
            </w:r>
          </w:p>
        </w:tc>
      </w:tr>
    </w:tbl>
    <w:bookmarkEnd w:id="83"/>
    <w:p>
      <w:pPr>
        <w:pStyle w:val="BodyText"/>
      </w:pPr>
      <w:r>
        <w:rPr>
          <w:iCs/>
          <w:i/>
        </w:rPr>
        <w:t xml:space="preserve">Wilson intervals for the first value of each row. Screen 2 (C, D) was opened only after all Screen 1 labels (A, B) were complete. Not pre-specified: the automatic answer-string flag agreed with A on 92 of 94 yes/no items (</w:t>
      </w:r>
      <m:oMath>
        <m:r>
          <m:t>κ</m:t>
        </m:r>
      </m:oMath>
      <w:r>
        <w:rPr>
          <w:iCs/>
          <w:i/>
        </w:rPr>
        <w:t xml:space="preserve"> </w:t>
      </w:r>
      <w:r>
        <w:rPr>
          <w:iCs/>
          <w:i/>
        </w:rPr>
        <w:t xml:space="preserve">= 0.96).</w:t>
      </w:r>
    </w:p>
    <w:bookmarkEnd w:id="84"/>
    <w:bookmarkStart w:id="88"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12</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6" name="Picture"/>
            <a:graphic>
              <a:graphicData uri="http://schemas.openxmlformats.org/drawingml/2006/picture">
                <pic:pic>
                  <pic:nvPicPr>
                    <pic:cNvPr descr="/home/claude/rag-embed-transfer/paper_figures/out/fig10_error.png" id="87" name="Picture"/>
                    <pic:cNvPicPr>
                      <a:picLocks noChangeArrowheads="1" noChangeAspect="1"/>
                    </pic:cNvPicPr>
                  </pic:nvPicPr>
                  <pic:blipFill>
                    <a:blip r:embed="rId85"/>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8"/>
    <w:bookmarkStart w:id="89" w:name="abstention-prompt"/>
    <w:p>
      <w:pPr>
        <w:pStyle w:val="Heading4"/>
      </w:pPr>
      <w:r>
        <w:t xml:space="preserve">Abstention prompt</w:t>
      </w:r>
    </w:p>
    <w:p>
      <w:pPr>
        <w:pStyle w:val="FirstParagraph"/>
      </w:pPr>
      <w:r>
        <w:t xml:space="preserve">A Phase 1 check (Table </w:t>
      </w:r>
      <w:hyperlink w:anchor="tab:idk">
        <w:r>
          <w:rPr>
            <w:rStyle w:val="Hyperlink"/>
          </w:rPr>
          <w:t xml:space="preserve">13</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9"/>
    <w:bookmarkEnd w:id="90"/>
    <w:bookmarkStart w:id="91"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91"/>
    <w:bookmarkStart w:id="104" w:name="sec:res-context"/>
    <w:p>
      <w:pPr>
        <w:pStyle w:val="Heading2"/>
      </w:pPr>
      <w:r>
        <w:t xml:space="preserve">Context choices (RQ3)</w:t>
      </w:r>
    </w:p>
    <w:bookmarkStart w:id="95" w:name="number-of-passages"/>
    <w:p>
      <w:pPr>
        <w:pStyle w:val="Heading4"/>
      </w:pPr>
      <w:r>
        <w:t xml:space="preserve">Number of passages</w:t>
      </w:r>
    </w:p>
    <w:p>
      <w:pPr>
        <w:pStyle w:val="FirstParagraph"/>
      </w:pPr>
      <w:r>
        <w:t xml:space="preserve">Table </w:t>
      </w:r>
      <w:hyperlink w:anchor="tab:topk">
        <w:r>
          <w:rPr>
            <w:rStyle w:val="Hyperlink"/>
          </w:rPr>
          <w:t xml:space="preserve">4</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3" name="Picture"/>
            <a:graphic>
              <a:graphicData uri="http://schemas.openxmlformats.org/drawingml/2006/picture">
                <pic:pic>
                  <pic:nvPicPr>
                    <pic:cNvPr descr="/home/claude/rag-embed-transfer/paper_figures/out/fig3_topk.png" id="94" name="Picture"/>
                    <pic:cNvPicPr>
                      <a:picLocks noChangeArrowheads="1" noChangeAspect="1"/>
                    </pic:cNvPicPr>
                  </pic:nvPicPr>
                  <pic:blipFill>
                    <a:blip r:embed="rId92"/>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5"/>
    <w:bookmarkStart w:id="101"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5</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7" name="Picture"/>
            <a:graphic>
              <a:graphicData uri="http://schemas.openxmlformats.org/drawingml/2006/picture">
                <pic:pic>
                  <pic:nvPicPr>
                    <pic:cNvPr descr="/home/claude/rag-embed-transfer/paper_figures/out/fig4_mechanism.png" id="98" name="Picture"/>
                    <pic:cNvPicPr>
                      <a:picLocks noChangeArrowheads="1" noChangeAspect="1"/>
                    </pic:cNvPicPr>
                  </pic:nvPicPr>
                  <pic:blipFill>
                    <a:blip r:embed="rId96"/>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9"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9"/>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100"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100"/>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101"/>
    <w:bookmarkStart w:id="103"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6</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102"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102"/>
    <w:p>
      <w:pPr>
        <w:pStyle w:val="BodyText"/>
      </w:pPr>
      <w:r>
        <w:rPr>
          <w:iCs/>
          <w:i/>
        </w:rPr>
        <w:t xml:space="preserve">Retrieval on all 3,452 judged queries; EM on the 2,255 generation queries (Qwen). Latency: median per query, 50 pairs, one T4.</w:t>
      </w:r>
    </w:p>
    <w:bookmarkEnd w:id="103"/>
    <w:bookmarkEnd w:id="104"/>
    <w:bookmarkStart w:id="117" w:name="sec:res-cost"/>
    <w:p>
      <w:pPr>
        <w:pStyle w:val="Heading2"/>
      </w:pPr>
      <w:r>
        <w:t xml:space="preserve">Retrieval-stage cost and checks of the setup (RQ4)</w:t>
      </w:r>
    </w:p>
    <w:bookmarkStart w:id="109" w:name="encoding-cost"/>
    <w:p>
      <w:pPr>
        <w:pStyle w:val="Heading4"/>
      </w:pPr>
      <w:r>
        <w:t xml:space="preserve">Encoding cost</w:t>
      </w:r>
    </w:p>
    <w:p>
      <w:pPr>
        <w:pStyle w:val="FirstParagraph"/>
      </w:pPr>
      <w:r>
        <w:t xml:space="preserve">Table </w:t>
      </w:r>
      <w:hyperlink w:anchor="tab:cost">
        <w:r>
          <w:rPr>
            <w:rStyle w:val="Hyperlink"/>
          </w:rPr>
          <w:t xml:space="preserve">7</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7</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6" name="Picture"/>
            <a:graphic>
              <a:graphicData uri="http://schemas.openxmlformats.org/drawingml/2006/picture">
                <pic:pic>
                  <pic:nvPicPr>
                    <pic:cNvPr descr="/home/claude/rag-embed-transfer/paper_figures/out/fig5_cost_quality.png" id="107" name="Picture"/>
                    <pic:cNvPicPr>
                      <a:picLocks noChangeArrowheads="1" noChangeAspect="1"/>
                    </pic:cNvPicPr>
                  </pic:nvPicPr>
                  <pic:blipFill>
                    <a:blip r:embed="rId105"/>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8"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8"/>
    <w:p>
      <w:pPr>
        <w:pStyle w:val="BodyText"/>
      </w:pPr>
      <w:r>
        <w:rPr>
          <w:iCs/>
          <w:i/>
        </w:rPr>
        <w:t xml:space="preserve">BM25 batch-1 query latency on CPU: 25.7 ms (23.7–27.7).</w:t>
      </w:r>
    </w:p>
    <w:bookmarkEnd w:id="109"/>
    <w:bookmarkStart w:id="110"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10"/>
    <w:bookmarkStart w:id="111"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11"/>
    <w:bookmarkStart w:id="116"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8</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3" name="Picture"/>
            <a:graphic>
              <a:graphicData uri="http://schemas.openxmlformats.org/drawingml/2006/picture">
                <pic:pic>
                  <pic:nvPicPr>
                    <pic:cNvPr descr="/home/claude/rag-embed-transfer/paper_figures/out/fig6_full_corpus.png" id="114" name="Picture"/>
                    <pic:cNvPicPr>
                      <a:picLocks noChangeArrowheads="1" noChangeAspect="1"/>
                    </pic:cNvPicPr>
                  </pic:nvPicPr>
                  <pic:blipFill>
                    <a:blip r:embed="rId112"/>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5"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5"/>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6"/>
    <w:bookmarkEnd w:id="117"/>
    <w:bookmarkStart w:id="119"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9</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14</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8"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8"/>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9"/>
    <w:bookmarkStart w:id="120"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20"/>
    <w:bookmarkEnd w:id="121"/>
    <w:bookmarkStart w:id="126" w:name="sec:discussion"/>
    <w:p>
      <w:pPr>
        <w:pStyle w:val="Heading1"/>
      </w:pPr>
      <w:r>
        <w:t xml:space="preserve">Discussion</w:t>
      </w:r>
    </w:p>
    <w:bookmarkStart w:id="122"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in the blinded audit 41 of 100 e5-base-v2 misses had a relevant passage with a correct answer.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22"/>
    <w:bookmarkStart w:id="123"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3"/>
    <w:bookmarkStart w:id="124"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4"/>
    <w:bookmarkStart w:id="125"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among the 100 audited misses, the author judged 59 answers correct where EM counted 24. The F1 and containment ratios were higher but still well below 1. The sub-corpus inflates dense retrieval scores, but on the full corpus the order of four retrievers was kept, the e5-base-v2 ratios stayed inside their sub-corpus intervals for both readers, and the ratios of bge-small and e5-base-v2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5"/>
    <w:bookmarkEnd w:id="126"/>
    <w:bookmarkStart w:id="133" w:name="sec:limits"/>
    <w:p>
      <w:pPr>
        <w:pStyle w:val="Heading1"/>
      </w:pPr>
      <w:r>
        <w:t xml:space="preserve">Limitations</w:t>
      </w:r>
    </w:p>
    <w:bookmarkStart w:id="127"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7"/>
    <w:bookmarkStart w:id="128"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is lexical; the human audit agreed with it on most items but covers 100 misses of one encoder on the sub-corpus, labelled by one annotator, the author.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8"/>
    <w:bookmarkStart w:id="129" w:name="metrics-and-statistics"/>
    <w:p>
      <w:pPr>
        <w:pStyle w:val="Heading4"/>
      </w:pPr>
      <w:r>
        <w:t xml:space="preserve">Metrics and statistics</w:t>
      </w:r>
    </w:p>
    <w:p>
      <w:pPr>
        <w:pStyle w:val="FirstParagraph"/>
      </w:pPr>
      <w:r>
        <w:t xml:space="preserve">EM is strict. We report F1 and answer containment; correctness was judged by hand only for the 100 audited misses.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12</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9"/>
    <w:bookmarkStart w:id="130"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30"/>
    <w:bookmarkStart w:id="131"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31"/>
    <w:bookmarkStart w:id="132"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32"/>
    <w:bookmarkEnd w:id="133"/>
    <w:bookmarkStart w:id="134"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41 of 100 in a blinded human audit.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extend the human audit to more encoders, both corpora and a second annotator.</w:t>
      </w:r>
    </w:p>
    <w:bookmarkEnd w:id="134"/>
    <w:bookmarkStart w:id="139" w:name="ethics-statement"/>
    <w:p>
      <w:pPr>
        <w:pStyle w:val="Heading1"/>
      </w:pPr>
      <w:r>
        <w:t xml:space="preserve">Ethics statement</w:t>
      </w:r>
    </w:p>
    <w:bookmarkStart w:id="135"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5"/>
    <w:bookmarkStart w:id="136"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36"/>
    <w:bookmarkStart w:id="137"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7"/>
    <w:bookmarkStart w:id="138" w:name="compute"/>
    <w:p>
      <w:pPr>
        <w:pStyle w:val="Heading4"/>
      </w:pPr>
      <w:r>
        <w:t xml:space="preserve">Compute</w:t>
      </w:r>
    </w:p>
    <w:p>
      <w:pPr>
        <w:pStyle w:val="FirstParagraph"/>
      </w:pPr>
      <w:r>
        <w:t xml:space="preserve">All experiments ran on free Kaggle sessions with Tesla T4 GPUs; the study had no monetary cost.</w:t>
      </w:r>
    </w:p>
    <w:bookmarkEnd w:id="138"/>
    <w:bookmarkEnd w:id="139"/>
    <w:bookmarkStart w:id="140"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40"/>
    <w:bookmarkStart w:id="14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41"/>
    <w:bookmarkStart w:id="146"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42"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42"/>
    <w:bookmarkStart w:id="143"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3"/>
    <w:bookmarkStart w:id="144"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4"/>
    <w:bookmarkStart w:id="145"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5"/>
    <w:bookmarkEnd w:id="146"/>
    <w:bookmarkStart w:id="147"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7"/>
    <w:bookmarkStart w:id="150" w:name="app:repro"/>
    <w:p>
      <w:pPr>
        <w:pStyle w:val="Heading1"/>
      </w:pPr>
      <w:r>
        <w:t xml:space="preserve">Models, data and software</w:t>
      </w:r>
    </w:p>
    <w:bookmarkStart w:id="148"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8"/>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9"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9"/>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50"/>
    <w:bookmarkStart w:id="151"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51"/>
    <w:bookmarkStart w:id="155"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3" name="Picture"/>
            <a:graphic>
              <a:graphicData uri="http://schemas.openxmlformats.org/drawingml/2006/picture">
                <pic:pic>
                  <pic:nvPicPr>
                    <pic:cNvPr descr="/home/claude/rag-embed-transfer/paper_figures/out/fig11_pareto.png" id="154" name="Picture"/>
                    <pic:cNvPicPr>
                      <a:picLocks noChangeArrowheads="1" noChangeAspect="1"/>
                    </pic:cNvPicPr>
                  </pic:nvPicPr>
                  <pic:blipFill>
                    <a:blip r:embed="rId152"/>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7</w:t>
        </w:r>
      </w:hyperlink>
      <w:r>
        <w:rPr>
          <w:iCs/>
          <w:i/>
        </w:rPr>
        <w:t xml:space="preserve">.</w:t>
      </w:r>
    </w:p>
    <w:bookmarkEnd w:id="155"/>
    <w:bookmarkStart w:id="261"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13</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14</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12</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6"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6"/>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7"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7"/>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8"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8"/>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60" name="Picture"/>
            <a:graphic>
              <a:graphicData uri="http://schemas.openxmlformats.org/drawingml/2006/picture">
                <pic:pic>
                  <pic:nvPicPr>
                    <pic:cNvPr descr="/home/claude/rag-embed-transfer/paper_figures/out/fig12_latency.png" id="161" name="Picture"/>
                    <pic:cNvPicPr>
                      <a:picLocks noChangeArrowheads="1" noChangeAspect="1"/>
                    </pic:cNvPicPr>
                  </pic:nvPicPr>
                  <pic:blipFill>
                    <a:blip r:embed="rId159"/>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60" w:name="refs"/>
    <w:bookmarkStart w:id="163"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 18228–58.</w:t>
      </w:r>
      <w:r>
        <w:t xml:space="preserve"> </w:t>
      </w:r>
      <w:hyperlink r:id="rId162">
        <w:r>
          <w:rPr>
            <w:rStyle w:val="Hyperlink"/>
          </w:rPr>
          <w:t xml:space="preserve">https://doi.org/10.18653/v1/2025.acl-long.892</w:t>
        </w:r>
      </w:hyperlink>
      <w:r>
        <w:t xml:space="preserve">.</w:t>
      </w:r>
    </w:p>
    <w:bookmarkEnd w:id="163"/>
    <w:bookmarkStart w:id="164"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4"/>
    <w:bookmarkStart w:id="165"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5"/>
    <w:bookmarkStart w:id="167"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6">
        <w:r>
          <w:rPr>
            <w:rStyle w:val="Hyperlink"/>
          </w:rPr>
          <w:t xml:space="preserve">https://doi.org/10.1177/001316446002000104</w:t>
        </w:r>
      </w:hyperlink>
      <w:r>
        <w:t xml:space="preserve">.</w:t>
      </w:r>
    </w:p>
    <w:bookmarkEnd w:id="167"/>
    <w:bookmarkStart w:id="169"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8">
        <w:r>
          <w:rPr>
            <w:rStyle w:val="Hyperlink"/>
          </w:rPr>
          <w:t xml:space="preserve">https://doi.org/10.18653/v1/2025.emnlp-main.1422</w:t>
        </w:r>
      </w:hyperlink>
      <w:r>
        <w:t xml:space="preserve">.</w:t>
      </w:r>
    </w:p>
    <w:bookmarkEnd w:id="169"/>
    <w:bookmarkStart w:id="171"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70">
        <w:r>
          <w:rPr>
            <w:rStyle w:val="Hyperlink"/>
          </w:rPr>
          <w:t xml:space="preserve">https://doi.org/10.1145/3626772.3657834</w:t>
        </w:r>
      </w:hyperlink>
      <w:r>
        <w:t xml:space="preserve">.</w:t>
      </w:r>
    </w:p>
    <w:bookmarkEnd w:id="171"/>
    <w:bookmarkStart w:id="173"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72">
        <w:r>
          <w:rPr>
            <w:rStyle w:val="Hyperlink"/>
          </w:rPr>
          <w:t xml:space="preserve">https://doi.org/10.18653/v1/p18-1128</w:t>
        </w:r>
      </w:hyperlink>
      <w:r>
        <w:t xml:space="preserve">.</w:t>
      </w:r>
    </w:p>
    <w:bookmarkEnd w:id="173"/>
    <w:bookmarkStart w:id="175"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4">
        <w:r>
          <w:rPr>
            <w:rStyle w:val="Hyperlink"/>
          </w:rPr>
          <w:t xml:space="preserve">https://doi.org/10.1007/978-1-4899-4541-9</w:t>
        </w:r>
      </w:hyperlink>
      <w:r>
        <w:t xml:space="preserve">.</w:t>
      </w:r>
    </w:p>
    <w:bookmarkEnd w:id="175"/>
    <w:bookmarkStart w:id="177"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6">
        <w:r>
          <w:rPr>
            <w:rStyle w:val="Hyperlink"/>
          </w:rPr>
          <w:t xml:space="preserve">https://doi.org/10.18653/v1/2024.eacl-demo.16</w:t>
        </w:r>
      </w:hyperlink>
      <w:r>
        <w:t xml:space="preserve">.</w:t>
      </w:r>
    </w:p>
    <w:bookmarkEnd w:id="177"/>
    <w:bookmarkStart w:id="178"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8"/>
    <w:bookmarkStart w:id="179"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9"/>
    <w:bookmarkStart w:id="181"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 1–19.</w:t>
      </w:r>
      <w:r>
        <w:t xml:space="preserve"> </w:t>
      </w:r>
      <w:hyperlink r:id="rId180">
        <w:r>
          <w:rPr>
            <w:rStyle w:val="Hyperlink"/>
          </w:rPr>
          <w:t xml:space="preserve">https://doi.org/10.1108/DTA-07-2025-0609</w:t>
        </w:r>
      </w:hyperlink>
      <w:r>
        <w:t xml:space="preserve">.</w:t>
      </w:r>
    </w:p>
    <w:bookmarkEnd w:id="181"/>
    <w:bookmarkStart w:id="183"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82">
        <w:r>
          <w:rPr>
            <w:rStyle w:val="Hyperlink"/>
          </w:rPr>
          <w:t xml:space="preserve">https://www.jstor.org/stable/4615733</w:t>
        </w:r>
      </w:hyperlink>
      <w:r>
        <w:t xml:space="preserve">.</w:t>
      </w:r>
    </w:p>
    <w:bookmarkEnd w:id="183"/>
    <w:bookmarkStart w:id="184"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4"/>
    <w:bookmarkStart w:id="186"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5">
        <w:r>
          <w:rPr>
            <w:rStyle w:val="Hyperlink"/>
          </w:rPr>
          <w:t xml:space="preserve">https://doi.org/10.18653/v1/2021.eacl-main.74</w:t>
        </w:r>
      </w:hyperlink>
      <w:r>
        <w:t xml:space="preserve">.</w:t>
      </w:r>
    </w:p>
    <w:bookmarkEnd w:id="186"/>
    <w:bookmarkStart w:id="187"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7"/>
    <w:bookmarkStart w:id="188"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8"/>
    <w:bookmarkStart w:id="190"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9">
        <w:r>
          <w:rPr>
            <w:rStyle w:val="Hyperlink"/>
          </w:rPr>
          <w:t xml:space="preserve">https://doi.org/10.1109/tbdata.2019.2921572</w:t>
        </w:r>
      </w:hyperlink>
      <w:r>
        <w:t xml:space="preserve">.</w:t>
      </w:r>
    </w:p>
    <w:bookmarkEnd w:id="190"/>
    <w:bookmarkStart w:id="192"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91">
        <w:r>
          <w:rPr>
            <w:rStyle w:val="Hyperlink"/>
          </w:rPr>
          <w:t xml:space="preserve">https://doi.org/10.18653/v1/2023.acl-long.307</w:t>
        </w:r>
      </w:hyperlink>
      <w:r>
        <w:t xml:space="preserve">.</w:t>
      </w:r>
    </w:p>
    <w:bookmarkEnd w:id="192"/>
    <w:bookmarkStart w:id="194"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3">
        <w:r>
          <w:rPr>
            <w:rStyle w:val="Hyperlink"/>
          </w:rPr>
          <w:t xml:space="preserve">https://doi.org/10.18653/v1/2020.emnlp-main.550</w:t>
        </w:r>
      </w:hyperlink>
      <w:r>
        <w:t xml:space="preserve">.</w:t>
      </w:r>
    </w:p>
    <w:bookmarkEnd w:id="194"/>
    <w:bookmarkStart w:id="196"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5">
        <w:r>
          <w:rPr>
            <w:rStyle w:val="Hyperlink"/>
          </w:rPr>
          <w:t xml:space="preserve">https://doi.org/10.1162/tacl_a_00276</w:t>
        </w:r>
      </w:hyperlink>
      <w:r>
        <w:t xml:space="preserve">.</w:t>
      </w:r>
    </w:p>
    <w:bookmarkEnd w:id="196"/>
    <w:bookmarkStart w:id="198"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7">
        <w:r>
          <w:rPr>
            <w:rStyle w:val="Hyperlink"/>
          </w:rPr>
          <w:t xml:space="preserve">https://doi.org/10.1145/3600006.3613165</w:t>
        </w:r>
      </w:hyperlink>
      <w:r>
        <w:t xml:space="preserve">.</w:t>
      </w:r>
    </w:p>
    <w:bookmarkEnd w:id="198"/>
    <w:bookmarkStart w:id="200"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159–74.</w:t>
      </w:r>
      <w:r>
        <w:t xml:space="preserve"> </w:t>
      </w:r>
      <w:hyperlink r:id="rId199">
        <w:r>
          <w:rPr>
            <w:rStyle w:val="Hyperlink"/>
          </w:rPr>
          <w:t xml:space="preserve">https://doi.org/10.2307/2529310</w:t>
        </w:r>
      </w:hyperlink>
      <w:r>
        <w:t xml:space="preserve">.</w:t>
      </w:r>
    </w:p>
    <w:bookmarkEnd w:id="200"/>
    <w:bookmarkStart w:id="202"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201">
        <w:r>
          <w:rPr>
            <w:rStyle w:val="Hyperlink"/>
          </w:rPr>
          <w:t xml:space="preserve">https://doi.org/10.18653/v1/p19-1612</w:t>
        </w:r>
      </w:hyperlink>
      <w:r>
        <w:t xml:space="preserve">.</w:t>
      </w:r>
    </w:p>
    <w:bookmarkEnd w:id="202"/>
    <w:bookmarkStart w:id="203"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NeurIPS 2024 Workshop on Attributing Model Behavior at Scale (ATTRIB); arXiv preprint arXiv:2411.07396.</w:t>
      </w:r>
    </w:p>
    <w:bookmarkEnd w:id="203"/>
    <w:bookmarkStart w:id="204"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4"/>
    <w:bookmarkStart w:id="206"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7"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7"/>
    <w:bookmarkStart w:id="209"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8">
        <w:r>
          <w:rPr>
            <w:rStyle w:val="Hyperlink"/>
          </w:rPr>
          <w:t xml:space="preserve">https://doi.org/10.1162/tacl_a_00638</w:t>
        </w:r>
      </w:hyperlink>
      <w:r>
        <w:t xml:space="preserve">.</w:t>
      </w:r>
    </w:p>
    <w:bookmarkEnd w:id="209"/>
    <w:bookmarkStart w:id="210"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10"/>
    <w:bookmarkStart w:id="212"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w:t>
      </w:r>
      <w:r>
        <w:t xml:space="preserve"> </w:t>
      </w:r>
      <w:hyperlink r:id="rId211">
        <w:r>
          <w:rPr>
            <w:rStyle w:val="Hyperlink"/>
          </w:rPr>
          <w:t xml:space="preserve">https://doi.org/10.1145/3701228</w:t>
        </w:r>
      </w:hyperlink>
      <w:r>
        <w:t xml:space="preserve">.</w:t>
      </w:r>
    </w:p>
    <w:bookmarkEnd w:id="212"/>
    <w:bookmarkStart w:id="214"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3">
        <w:r>
          <w:rPr>
            <w:rStyle w:val="Hyperlink"/>
          </w:rPr>
          <w:t xml:space="preserve">https://doi.org/10.1109/tpami.2018.2889473</w:t>
        </w:r>
      </w:hyperlink>
      <w:r>
        <w:t xml:space="preserve">.</w:t>
      </w:r>
    </w:p>
    <w:bookmarkEnd w:id="214"/>
    <w:bookmarkStart w:id="215"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5"/>
    <w:bookmarkStart w:id="217"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6">
        <w:r>
          <w:rPr>
            <w:rStyle w:val="Hyperlink"/>
          </w:rPr>
          <w:t xml:space="preserve">https://doi.org/10.1007/bf02295996</w:t>
        </w:r>
      </w:hyperlink>
      <w:r>
        <w:t xml:space="preserve">.</w:t>
      </w:r>
    </w:p>
    <w:bookmarkEnd w:id="217"/>
    <w:bookmarkStart w:id="218"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8"/>
    <w:bookmarkStart w:id="220"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9">
        <w:r>
          <w:rPr>
            <w:rStyle w:val="Hyperlink"/>
          </w:rPr>
          <w:t xml:space="preserve">https://doi.org/10.18653/v1/2023.eacl-main.148</w:t>
        </w:r>
      </w:hyperlink>
      <w:r>
        <w:t xml:space="preserve">.</w:t>
      </w:r>
    </w:p>
    <w:bookmarkEnd w:id="220"/>
    <w:bookmarkStart w:id="221"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21"/>
    <w:bookmarkStart w:id="222"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22"/>
    <w:bookmarkStart w:id="224"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3">
        <w:r>
          <w:rPr>
            <w:rStyle w:val="Hyperlink"/>
          </w:rPr>
          <w:t xml:space="preserve">https://doi.org/10.1145/3774904.3792093</w:t>
        </w:r>
      </w:hyperlink>
      <w:r>
        <w:t xml:space="preserve">.</w:t>
      </w:r>
    </w:p>
    <w:bookmarkEnd w:id="224"/>
    <w:bookmarkStart w:id="226"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5">
        <w:r>
          <w:rPr>
            <w:rStyle w:val="Hyperlink"/>
          </w:rPr>
          <w:t xml:space="preserve">https://doi.org/10.18653/v1/2021.naacl-main.200</w:t>
        </w:r>
      </w:hyperlink>
      <w:r>
        <w:t xml:space="preserve">.</w:t>
      </w:r>
    </w:p>
    <w:bookmarkEnd w:id="226"/>
    <w:bookmarkStart w:id="227"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7"/>
    <w:bookmarkStart w:id="229"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8">
        <w:r>
          <w:rPr>
            <w:rStyle w:val="Hyperlink"/>
          </w:rPr>
          <w:t xml:space="preserve">https://doi.org/10.1162/tacl_a_00605</w:t>
        </w:r>
      </w:hyperlink>
      <w:r>
        <w:t xml:space="preserve">.</w:t>
      </w:r>
    </w:p>
    <w:bookmarkEnd w:id="229"/>
    <w:bookmarkStart w:id="231"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30">
        <w:r>
          <w:rPr>
            <w:rStyle w:val="Hyperlink"/>
          </w:rPr>
          <w:t xml:space="preserve">https://doi.org/10.18653/v1/2024.findings-emnlp.449</w:t>
        </w:r>
      </w:hyperlink>
      <w:r>
        <w:t xml:space="preserve">.</w:t>
      </w:r>
    </w:p>
    <w:bookmarkEnd w:id="231"/>
    <w:bookmarkStart w:id="233"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32">
        <w:r>
          <w:rPr>
            <w:rStyle w:val="Hyperlink"/>
          </w:rPr>
          <w:t xml:space="preserve">https://doi.org/10.18653/v1/d19-1410</w:t>
        </w:r>
      </w:hyperlink>
      <w:r>
        <w:t xml:space="preserve">.</w:t>
      </w:r>
    </w:p>
    <w:bookmarkEnd w:id="233"/>
    <w:bookmarkStart w:id="234"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4"/>
    <w:bookmarkStart w:id="236"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5">
        <w:r>
          <w:rPr>
            <w:rStyle w:val="Hyperlink"/>
          </w:rPr>
          <w:t xml:space="preserve">https://doi.org/10.1561/1500000019</w:t>
        </w:r>
      </w:hyperlink>
      <w:r>
        <w:t xml:space="preserve">.</w:t>
      </w:r>
    </w:p>
    <w:bookmarkEnd w:id="236"/>
    <w:bookmarkStart w:id="238"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7">
        <w:r>
          <w:rPr>
            <w:rStyle w:val="Hyperlink"/>
          </w:rPr>
          <w:t xml:space="preserve">https://doi.org/10.18653/v1/2024.naacl-long.20</w:t>
        </w:r>
      </w:hyperlink>
      <w:r>
        <w:t xml:space="preserve">.</w:t>
      </w:r>
    </w:p>
    <w:bookmarkEnd w:id="238"/>
    <w:bookmarkStart w:id="240"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9">
        <w:r>
          <w:rPr>
            <w:rStyle w:val="Hyperlink"/>
          </w:rPr>
          <w:t xml:space="preserve">https://doi.org/10.1145/2641383.2641385</w:t>
        </w:r>
      </w:hyperlink>
      <w:r>
        <w:t xml:space="preserve">.</w:t>
      </w:r>
    </w:p>
    <w:bookmarkEnd w:id="240"/>
    <w:bookmarkStart w:id="242"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41">
        <w:r>
          <w:rPr>
            <w:rStyle w:val="Hyperlink"/>
          </w:rPr>
          <w:t xml:space="preserve">https://doi.org/10.1145/3626772.3657957</w:t>
        </w:r>
      </w:hyperlink>
      <w:r>
        <w:t xml:space="preserve">.</w:t>
      </w:r>
    </w:p>
    <w:bookmarkEnd w:id="242"/>
    <w:bookmarkStart w:id="244"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3">
        <w:r>
          <w:rPr>
            <w:rStyle w:val="Hyperlink"/>
          </w:rPr>
          <w:t xml:space="preserve">https://doi.org/10.1145/3805713.3820424</w:t>
        </w:r>
      </w:hyperlink>
      <w:r>
        <w:t xml:space="preserve">.</w:t>
      </w:r>
    </w:p>
    <w:bookmarkEnd w:id="244"/>
    <w:bookmarkStart w:id="245"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5"/>
    <w:bookmarkStart w:id="247"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6">
        <w:r>
          <w:rPr>
            <w:rStyle w:val="Hyperlink"/>
          </w:rPr>
          <w:t xml:space="preserve">https://doi.org/10.1145/1321440.1321528</w:t>
        </w:r>
      </w:hyperlink>
      <w:r>
        <w:t xml:space="preserve">.</w:t>
      </w:r>
    </w:p>
    <w:bookmarkEnd w:id="247"/>
    <w:bookmarkStart w:id="248" w:name="ref-thakur2021beir"/>
    <w:p>
      <w:pPr>
        <w:pStyle w:val="Bibliography"/>
      </w:pPr>
      <w:r>
        <w:t xml:space="preserve">Thakur, Nandan, Nils Reimers, Andreas Rücklé, Abhishek Srivastava, and Iryna Gurevych. 2021.</w:t>
      </w:r>
      <w:r>
        <w:t xml:space="preserve"> </w:t>
      </w:r>
      <w:r>
        <w:t xml:space="preserve">“</w:t>
      </w:r>
      <w:r>
        <w:t xml:space="preserve">BEIR: A Heterogeneous Benchmark for Zero-shot Evaluation of Information Retrieval Models</w:t>
      </w:r>
      <w:r>
        <w:t xml:space="preserve">.”</w:t>
      </w:r>
      <w:r>
        <w:t xml:space="preserve"> </w:t>
      </w:r>
      <w:r>
        <w:t xml:space="preserve">In</w:t>
      </w:r>
      <w:r>
        <w:t xml:space="preserve"> </w:t>
      </w:r>
      <w:r>
        <w:rPr>
          <w:iCs/>
          <w:i/>
        </w:rPr>
        <w:t xml:space="preserve">Proceedings of the Neural Information Processing Systems Track on Datasets and Benchmarks</w:t>
      </w:r>
      <w:r>
        <w:t xml:space="preserve">.</w:t>
      </w:r>
    </w:p>
    <w:bookmarkEnd w:id="248"/>
    <w:bookmarkStart w:id="249"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9"/>
    <w:bookmarkStart w:id="250"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50"/>
    <w:bookmarkStart w:id="251"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51"/>
    <w:bookmarkStart w:id="253"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52">
        <w:r>
          <w:rPr>
            <w:rStyle w:val="Hyperlink"/>
          </w:rPr>
          <w:t xml:space="preserve">https://doi.org/10.1145/3626772.3657878</w:t>
        </w:r>
      </w:hyperlink>
      <w:r>
        <w:t xml:space="preserve">.</w:t>
      </w:r>
    </w:p>
    <w:bookmarkEnd w:id="253"/>
    <w:bookmarkStart w:id="255"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4">
        <w:r>
          <w:rPr>
            <w:rStyle w:val="Hyperlink"/>
          </w:rPr>
          <w:t xml:space="preserve">https://doi.org/10.18653/v1/d18-1259</w:t>
        </w:r>
      </w:hyperlink>
      <w:r>
        <w:t xml:space="preserve">.</w:t>
      </w:r>
    </w:p>
    <w:bookmarkEnd w:id="255"/>
    <w:bookmarkStart w:id="256"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6"/>
    <w:bookmarkStart w:id="258"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7">
        <w:r>
          <w:rPr>
            <w:rStyle w:val="Hyperlink"/>
          </w:rPr>
          <w:t xml:space="preserve">https://doi.org/10.1145/3802824</w:t>
        </w:r>
      </w:hyperlink>
      <w:r>
        <w:t xml:space="preserve">.</w:t>
      </w:r>
    </w:p>
    <w:bookmarkEnd w:id="258"/>
    <w:bookmarkStart w:id="259"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75" Target="media/rId75.pdf" /><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2026-10-21T09:20:00Z</dcterms:created>
  <dcterms:modified xsi:type="dcterms:W3CDTF">2026-10-21T09:20:00Z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On the full 2.68-million-passage corpus, bge-small and e5-base-v2 had ratios of 0.15–0.23 with both readers, and e5-base-v2 stayed inside its sub-corpus intervals. T stayed well below 1 under F1, answer containment and a BM25 baseline, and rose when the reader saw one passage. Queries that newly retrieved a gold passage gained EM, queries that kept or lost a hit gave some back, and a blinded audit found a correct answer in the passages of 41 of 100 misses.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