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much retrieval gain reaches the answer? Transfer ratios and retrieval-stage cost of open embedding models in retrieval-augmented question answering</w:t>
      </w:r>
    </w:p>
    <w:p>
      <w:r>
        <w:t>Muhammad Adeel</w:t>
        <w:br/>
        <w:t>ORCID: 0009-0006-8541-4422</w:t>
        <w:br/>
        <w:t>Zhengzhou University, Zhengzhou, Henan, China</w:t>
        <w:br/>
        <w:t>Corresponding author: Muhammad Adeel, muhammadadeel167@stu.zzu.edu.cn</w:t>
      </w:r>
    </w:p>
    <w:p>
      <w:pPr>
        <w:pStyle w:val="Heading2"/>
      </w:pPr>
      <w:r>
        <w:t>CRediT authorship contribution statement</w:t>
      </w:r>
    </w:p>
    <w:p>
      <w:r>
        <w:t>Muhammad Adeel: Conceptualization, Methodology, Software, Investigation, Formal analysis, Data curation, Visualization, Writing – original draft, Writing – review &amp; editing.</w:t>
      </w:r>
    </w:p>
    <w:p>
      <w:pPr>
        <w:pStyle w:val="Heading2"/>
      </w:pPr>
      <w:r>
        <w:t>Declaration of competing interest</w:t>
      </w:r>
    </w:p>
    <w:p>
      <w:r>
        <w:t>The author declares that he has no known competing financial interests or personal relationships that could have appeared to influence the work reported in this paper.</w:t>
      </w:r>
    </w:p>
    <w:p>
      <w:pPr>
        <w:pStyle w:val="Heading2"/>
      </w:pPr>
      <w:r>
        <w:t>Funding</w:t>
      </w:r>
    </w:p>
    <w:p>
      <w:r>
        <w:t>This research did not receive any specific grant from funding agencies in the public, commercial, or not-for-profit sectors.</w:t>
      </w:r>
    </w:p>
    <w:p>
      <w:pPr>
        <w:pStyle w:val="Heading2"/>
      </w:pPr>
      <w:r>
        <w:t>Declaration of generative AI and AI-assisted technologies in the manuscript preparation process</w:t>
      </w:r>
    </w:p>
    <w:p>
      <w:r>
        <w:t>Given in the anonymised manuscript, before the references.</w:t>
      </w:r>
    </w:p>
    <w:p>
      <w:pPr>
        <w:pStyle w:val="Heading2"/>
      </w:pPr>
      <w:r>
        <w:t>Data availability</w:t>
      </w:r>
    </w:p>
    <w:p>
      <w:r>
        <w:t>Code, prompts, design documents, raw model outputs and analysis scripts: https://github.com/adeelcheena791/rag-embed-transfer. An archived copy with a DOI will be deposited on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