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On NQ, dense encoders passed 0.16–0.27 EM points per Hit@5 point gained</w:t>
      </w:r>
    </w:p>
    <w:p>
      <w:pPr>
        <w:pStyle w:val="ListBullet"/>
      </w:pPr>
      <w:r>
        <w:t>On the full 2.68M-passage NQ corpus, two dense encoders gave ratios of 0.15–0.23</w:t>
      </w:r>
    </w:p>
    <w:p>
      <w:pPr>
        <w:pStyle w:val="ListBullet"/>
      </w:pPr>
      <w:r>
        <w:t>New NQ hits raised EM; queries that kept or lost a hit offset part of the gain</w:t>
      </w:r>
    </w:p>
    <w:p>
      <w:pPr>
        <w:pStyle w:val="ListBullet"/>
      </w:pPr>
      <w:r>
        <w:t>HotpotQA ratios fell from 0.49–0.93 to 0.29–0.35 when Both@5 replaced Hit@5</w:t>
      </w:r>
    </w:p>
    <w:p>
      <w:pPr>
        <w:pStyle w:val="ListBullet"/>
      </w:pPr>
      <w:r>
        <w:t>Retrieval-stage throughput on a T4 GPU differed 27-fold across six encoders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