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competing interest</w:t>
      </w:r>
    </w:p>
    <w:p>
      <w:r>
        <w:t>Manuscript: How much retrieval gain reaches the answer? Transfer ratios and retrieval-stage cost of open embedding models in retrieval-augmented question answering</w:t>
      </w:r>
    </w:p>
    <w:p>
      <w:r>
        <w:t>The author declares that he has no known competing financial interests or personal relationships that could have appeared to influence the work reported in this paper.</w:t>
      </w:r>
    </w:p>
    <w:p>
      <w:r>
        <w:t>This research did not receive any specific grant from funding agencies in the public, commercial, or not-for-profit sectors.</w:t>
      </w:r>
    </w:p>
    <w:p>
      <w:r>
        <w:t>Muhammad Adeel, Zhengzhou University, Zhengzhou, Henan, China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