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149.png" ContentType="image/png"/>
  <Override PartName="/word/media/rId156.png" ContentType="image/png"/>
  <Override PartName="/word/media/rId69.png" ContentType="image/png"/>
  <Override PartName="/word/media/rId66.png" ContentType="image/png"/>
  <Override PartName="/word/media/rId89.png" ContentType="image/png"/>
  <Override PartName="/word/media/rId93.png" ContentType="image/png"/>
  <Override PartName="/word/media/rId102.png" ContentType="image/png"/>
  <Override PartName="/word/media/rId109.png" ContentType="image/png"/>
  <Override PartName="/word/media/rId27.png" ContentType="image/png"/>
  <Override PartName="/word/media/rId41.png" ContentType="image/png"/>
  <Override PartName="/word/media/rId62.png" ContentType="image/png"/>
  <Override PartName="/word/media/rId7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and</w:t>
      </w:r>
      <w:r>
        <w:t xml:space="preserve"> </w:t>
      </w:r>
      <w:r>
        <w:t xml:space="preserve">third</w:t>
      </w:r>
      <w:r>
        <w:t xml:space="preserve"> </w:t>
      </w:r>
      <w:r>
        <w:t xml:space="preserve">study</w:t>
      </w:r>
      <w:r>
        <w:t xml:space="preserve"> </w:t>
      </w:r>
      <w:r>
        <w:t xml:space="preserve">phases.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Rerun</w:t>
      </w:r>
      <w:r>
        <w:t xml:space="preserve"> </w:t>
      </w:r>
      <w:r>
        <w:t xml:space="preserve">on</w:t>
      </w:r>
      <w:r>
        <w:t xml:space="preserve"> </w:t>
      </w:r>
      <w:r>
        <w:t xml:space="preserve">the</w:t>
      </w:r>
      <w:r>
        <w:t xml:space="preserve"> </w:t>
      </w:r>
      <w:r>
        <w:t xml:space="preserve">full</w:t>
      </w:r>
      <w:r>
        <w:t xml:space="preserve"> </w:t>
      </w:r>
      <w:r>
        <w:t xml:space="preserve">2.68-million-passage</w:t>
      </w:r>
      <w:r>
        <w:t xml:space="preserve"> </w:t>
      </w:r>
      <w:r>
        <w:t xml:space="preserve">corpus</w:t>
      </w:r>
      <w:r>
        <w:t xml:space="preserve"> </w:t>
      </w:r>
      <w:r>
        <w:t xml:space="preserve">with</w:t>
      </w:r>
      <w:r>
        <w:t xml:space="preserve"> </w:t>
      </w:r>
      <w:r>
        <w:t xml:space="preserve">both</w:t>
      </w:r>
      <w:r>
        <w:t xml:space="preserve"> </w:t>
      </w:r>
      <w:r>
        <w:t xml:space="preserve">readers,</w:t>
      </w:r>
      <w:r>
        <w:t xml:space="preserve"> </w:t>
      </w:r>
      <w:r>
        <w:t xml:space="preserve">the</w:t>
      </w:r>
      <w:r>
        <w:t xml:space="preserve"> </w:t>
      </w:r>
      <w:r>
        <w:t xml:space="preserve">dense</w:t>
      </w:r>
      <w:r>
        <w:t xml:space="preserve"> </w:t>
      </w:r>
      <w:r>
        <w:t xml:space="preserve">ratios</w:t>
      </w:r>
      <w:r>
        <w:t xml:space="preserve"> </w:t>
      </w:r>
      <w:r>
        <w:t xml:space="preserve">were</w:t>
      </w:r>
      <w:r>
        <w:t xml:space="preserve"> </w:t>
      </w:r>
      <w:r>
        <w:t xml:space="preserve">0.15–0.23,</w:t>
      </w:r>
      <w:r>
        <w:t xml:space="preserve"> </w:t>
      </w:r>
      <w:r>
        <w:t xml:space="preserve">and</w:t>
      </w:r>
      <w:r>
        <w:t xml:space="preserve"> </w:t>
      </w:r>
      <w:r>
        <w:t xml:space="preserve">the</w:t>
      </w:r>
      <w:r>
        <w:t xml:space="preserve"> </w:t>
      </w:r>
      <w:r>
        <w:t xml:space="preserve">ratio</w:t>
      </w:r>
      <w:r>
        <w:t xml:space="preserve"> </w:t>
      </w:r>
      <w:r>
        <w:t xml:space="preserve">of</w:t>
      </w:r>
      <w:r>
        <w:t xml:space="preserve"> </w:t>
      </w:r>
      <w:r>
        <w:t xml:space="preserve">e5-base-v2</w:t>
      </w:r>
      <w:r>
        <w:t xml:space="preserve"> </w:t>
      </w:r>
      <w:r>
        <w:t xml:space="preserve">lay</w:t>
      </w:r>
      <w:r>
        <w:t xml:space="preserve"> </w:t>
      </w:r>
      <w:r>
        <w:t xml:space="preserve">inside</w:t>
      </w:r>
      <w:r>
        <w:t xml:space="preserve"> </w:t>
      </w:r>
      <w:r>
        <w:t xml:space="preserve">its</w:t>
      </w:r>
      <w:r>
        <w:t xml:space="preserve"> </w:t>
      </w:r>
      <w:r>
        <w:t xml:space="preserve">sub-corpus</w:t>
      </w:r>
      <w:r>
        <w:t xml:space="preserve"> </w:t>
      </w:r>
      <w:r>
        <w:t xml:space="preserve">interval.</w:t>
      </w:r>
      <w:r>
        <w:t xml:space="preserve"> </w:t>
      </w:r>
      <m:oMath>
        <m:r>
          <m:t>T</m:t>
        </m:r>
      </m:oMath>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but</w:t>
      </w:r>
      <w:r>
        <w:t xml:space="preserve"> </w:t>
      </w:r>
      <w:r>
        <w:t xml:space="preserve">was</w:t>
      </w:r>
      <w:r>
        <w:t xml:space="preserve"> </w:t>
      </w:r>
      <w:r>
        <w:t xml:space="preserve">higher</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EM,</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gave</w:t>
      </w:r>
      <w:r>
        <w:t xml:space="preserve"> </w:t>
      </w:r>
      <w:r>
        <w:t xml:space="preserve">some</w:t>
      </w:r>
      <w:r>
        <w:t xml:space="preserve"> </w:t>
      </w:r>
      <w:r>
        <w:t xml:space="preserve">back,</w:t>
      </w:r>
      <w:r>
        <w:t xml:space="preserve"> </w:t>
      </w:r>
      <w:r>
        <w:t xml:space="preserve">and</w:t>
      </w:r>
      <w:r>
        <w:t xml:space="preserve"> </w:t>
      </w:r>
      <w:r>
        <w:t xml:space="preserve">0.41–0.55</w:t>
      </w:r>
      <w:r>
        <w:t xml:space="preserve"> </w:t>
      </w:r>
      <w:r>
        <w:t xml:space="preserve">of</w:t>
      </w:r>
      <w:r>
        <w:t xml:space="preserve"> </w:t>
      </w:r>
      <w:r>
        <w:t xml:space="preserve">dense-encoder</w:t>
      </w:r>
      <w:r>
        <w:t xml:space="preserve"> </w:t>
      </w:r>
      <w:r>
        <w:t xml:space="preserve">Hit@5</w:t>
      </w:r>
      <w:r>
        <w:t xml:space="preserve"> </w:t>
      </w:r>
      <w:r>
        <w:t xml:space="preserve">misses</w:t>
      </w:r>
      <w:r>
        <w:t xml:space="preserve"> </w:t>
      </w:r>
      <w:r>
        <w:t xml:space="preserve">still</w:t>
      </w:r>
      <w:r>
        <w:t xml:space="preserve"> </w:t>
      </w:r>
      <w:r>
        <w:t xml:space="preserve">contained</w:t>
      </w:r>
      <w:r>
        <w:t xml:space="preserve"> </w:t>
      </w:r>
      <w:r>
        <w:t xml:space="preserve">an</w:t>
      </w:r>
      <w:r>
        <w:t xml:space="preserve"> </w:t>
      </w:r>
      <w:r>
        <w:t xml:space="preserve">answer</w:t>
      </w:r>
      <w:r>
        <w:t xml:space="preserve"> </w:t>
      </w:r>
      <w:r>
        <w:t xml:space="preserve">string.</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three phases. Phase 1 covered one reader on NQ. Before Phase 2, we registered six predictions (P1–P6) in a dated design document and then ran the new cells and experiments. Before Phase 3, we registered two more (P7, P8) and ran both readers on retrieval from the full NQ corpus, to test whether the 300,000-passage sub-corpus that all other answer results use had changed the NQ ratios.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their sensitivity to the answer metric, the baseline, the retrieval metric and the number of passages read, and a registered replication of the NQ ratios on the full corpus (Sections </w:t>
      </w:r>
      <w:hyperlink w:anchor="sec:res-transfer">
        <w:r>
          <w:rPr>
            <w:rStyle w:val="Hyperlink"/>
          </w:rPr>
          <w:t xml:space="preserve">5.2</w:t>
        </w:r>
      </w:hyperlink>
      <w:r>
        <w:t xml:space="preserve">–</w:t>
      </w:r>
      <w:hyperlink w:anchor="sec:res-full">
        <w:r>
          <w:rPr>
            <w:rStyle w:val="Hyperlink"/>
          </w:rPr>
          <w:t xml:space="preserve">5.4</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and an answer-string check of the passages behind NQ retrieval misses (Section </w:t>
      </w:r>
      <w:hyperlink w:anchor="sec:res-decomp">
        <w:r>
          <w:rPr>
            <w:rStyle w:val="Hyperlink"/>
          </w:rPr>
          <w:t xml:space="preserve">5.5</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5.7</w:t>
        </w:r>
      </w:hyperlink>
      <w:r>
        <w:t xml:space="preserve">–</w:t>
      </w:r>
      <w:hyperlink w:anchor="sec:res-cost">
        <w:r>
          <w:rPr>
            <w:rStyle w:val="Hyperlink"/>
          </w:rPr>
          <w:t xml:space="preserve">5.8</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5"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5.9</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10</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full">
        <w:r>
          <w:rPr>
            <w:rStyle w:val="Hyperlink"/>
          </w:rPr>
          <w:t xml:space="preserve">5.4</w:t>
        </w:r>
      </w:hyperlink>
      <w:r>
        <w:t xml:space="preserve"> </w:t>
      </w:r>
      <w:r>
        <w:t xml:space="preserve">checks whether the NQ transfer ratios change on the full corpus, and Section </w:t>
      </w:r>
      <w:hyperlink w:anchor="sec:res-cost">
        <w:r>
          <w:rPr>
            <w:rStyle w:val="Hyperlink"/>
          </w:rPr>
          <w:t xml:space="preserve">5.8</w:t>
        </w:r>
      </w:hyperlink>
      <w:r>
        <w:t xml:space="preserve"> </w:t>
      </w:r>
      <w:r>
        <w:t xml:space="preserve">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on the full NQ corpus the family is the six pairs among the four retrievers run there.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Before Phase 3 we registered two predictions for the readers on the full NQ corpus, together with the analysis of Section </w:t>
      </w:r>
      <w:hyperlink w:anchor="sec:res-full">
        <w:r>
          <w:rPr>
            <w:rStyle w:val="Hyperlink"/>
          </w:rPr>
          <w:t xml:space="preserve">5.4</w:t>
        </w:r>
      </w:hyperlink>
      <w:r>
        <w:t xml:space="preserve">:</w:t>
      </w:r>
    </w:p>
    <w:p>
      <w:pPr>
        <w:pStyle w:val="DefinitionTerm"/>
      </w:pPr>
      <w:r>
        <w:t xml:space="preserve">P7</w:t>
      </w:r>
    </w:p>
    <w:p>
      <w:pPr>
        <w:pStyle w:val="Definition"/>
      </w:pPr>
      <w:r>
        <w:t xml:space="preserve">For each reader, every reportable full-corpus</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P8</w:t>
      </w:r>
    </w:p>
    <w:p>
      <w:pPr>
        <w:pStyle w:val="Definition"/>
      </w:pPr>
      <w:r>
        <w:t xml:space="preserve">For each reader, the full-corpus</w:t>
      </w:r>
      <w:r>
        <w:t xml:space="preserve"> </w:t>
      </w:r>
      <m:oMath>
        <m:r>
          <m:t>T</m:t>
        </m:r>
      </m:oMath>
      <w:r>
        <w:t xml:space="preserve"> </w:t>
      </w:r>
      <w:r>
        <w:t xml:space="preserve">of e5-base-v2 lies inside its sub-corpus 95% interval.</w:t>
      </w:r>
    </w:p>
    <w:p>
      <w:pPr>
        <w:pStyle w:val="FirstParagraph"/>
      </w:pPr>
      <w:r>
        <w:t xml:space="preserve">Fig. </w:t>
      </w:r>
      <w:hyperlink w:anchor="fig:phases">
        <w:r>
          <w:rPr>
            <w:rStyle w:val="Hyperlink"/>
          </w:rPr>
          <w:t xml:space="preserve">2</w:t>
        </w:r>
      </w:hyperlink>
      <w:r>
        <w:t xml:space="preserve"> </w:t>
      </w:r>
      <w:r>
        <w:t xml:space="preserve">shows the sessions of the three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2330343"/>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2330343"/>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 and Phase 3 the readers on full-corpus NQ retrieval.</w:t>
      </w:r>
    </w:p>
    <w:bookmarkEnd w:id="44"/>
    <w:bookmarkStart w:id="54"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full-corpus-readers-phase-3"/>
    <w:p>
      <w:pPr>
        <w:pStyle w:val="Heading4"/>
      </w:pPr>
      <w:r>
        <w:t xml:space="preserve">Full-corpus readers (Phase 3)</w:t>
      </w:r>
    </w:p>
    <w:p>
      <w:pPr>
        <w:pStyle w:val="FirstParagraph"/>
      </w:pPr>
      <w:r>
        <w:t xml:space="preserve">MiniLM-L6, bge-small and e5-base-v2 encoded all 2,681,468 NQ passages again, with the same revisions and settings, and exact search returned the top 100 passages for every judged query; the BM25 full-corpus run of Phase 1 was reused. Both readers then answered the 2,255 NQ generation queries from the top five passages of these four retrievers with prompt A1 and greedy decoding (18,040 answers). The ranked lists, reader outputs and scores were all stored.</w:t>
      </w:r>
    </w:p>
    <w:bookmarkEnd w:id="50"/>
    <w:bookmarkStart w:id="51" w:name="answer-strings-in-passages"/>
    <w:p>
      <w:pPr>
        <w:pStyle w:val="Heading4"/>
      </w:pPr>
      <w:r>
        <w:t xml:space="preserve">Answer strings in passages</w:t>
      </w:r>
    </w:p>
    <w:p>
      <w:pPr>
        <w:pStyle w:val="FirstParagraph"/>
      </w:pPr>
      <w:r>
        <w:t xml:space="preserve">For each run and query we checked whether any of the top five passages contains a reference answer: a normalised reference occurs as a whole-token span of the normalised passage title and text, the rule of answer containment. The same check covered the gold passages and, for the context experiment, the four hard negatives of each question. This is a lexical check; it was registered with Phase 3 and is descriptive.</w:t>
      </w:r>
    </w:p>
    <w:bookmarkEnd w:id="51"/>
    <w:bookmarkStart w:id="52"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2"/>
    <w:bookmarkStart w:id="53"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3"/>
    <w:bookmarkEnd w:id="54"/>
    <w:bookmarkEnd w:id="55"/>
    <w:bookmarkStart w:id="61" w:name="sec:setup"/>
    <w:p>
      <w:pPr>
        <w:pStyle w:val="Heading1"/>
      </w:pPr>
      <w:r>
        <w:t xml:space="preserve">Experimental setup</w:t>
      </w:r>
    </w:p>
    <w:bookmarkStart w:id="56"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Phases 1 and 2 the Kaggle image changed from Python 3.12.13 to 3.13.15, and NumPy from 2.0.2 to 2.1.3; Phase 3 used the same image and package versions as Phase 2.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6"/>
    <w:bookmarkStart w:id="57" w:name="determinism-across-phases"/>
    <w:p>
      <w:pPr>
        <w:pStyle w:val="Heading4"/>
      </w:pPr>
      <w:r>
        <w:t xml:space="preserve">Determinism across phases</w:t>
      </w:r>
    </w:p>
    <w:p>
      <w:pPr>
        <w:pStyle w:val="FirstParagraph"/>
      </w:pPr>
      <w:r>
        <w:t xml:space="preserve">Some comparisons cross Phases 1 and 2: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the reranker runs against the Phase 1 runs, and the Phase 3 runs of the Qwen reader against its Phase 1 sub-corpus runs. To check that the software change does not alter the reader, we compared Phases 1 and 2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7"/>
    <w:bookmarkStart w:id="58"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8"/>
    <w:bookmarkStart w:id="59"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 Phase 3 has its own analysis script, which also reads only committed outputs. It checks that the passages each reader saw equal the top five of the stored ranked lists, and that the sub-corpus intervals it recomputes equal the committed ones. Re-encoding the full corpus gave Hit@5 and nDCG@10 values identical to those of the earlier full-corpus check (E9) for all four retrievers. A second script, again written without the project code, re-scored all 18,040 Phase 3 answers from the raw reader outputs and recomputed the means, ratios with their intervals, McNemar tests, query-level contributions and the answer-string shares of MiniLM-L6 and e5-base-v2; it found no disagreement.</w:t>
      </w:r>
    </w:p>
    <w:bookmarkEnd w:id="59"/>
    <w:bookmarkStart w:id="60"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7</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numPr>
          <w:ilvl w:val="0"/>
          <w:numId w:val="1002"/>
        </w:numPr>
      </w:pPr>
      <w:r>
        <w:rPr>
          <w:bCs/>
          <w:b/>
        </w:rPr>
        <w:t xml:space="preserve">Phase 3 human audit.</w:t>
      </w:r>
      <w:r>
        <w:t xml:space="preserve"> </w:t>
      </w:r>
      <w:r>
        <w:t xml:space="preserve">The Phase 3 design adds a blinded audit of 100 seeded e5-base-v2 retrieval misses by the author. Its labels were not complete when this version was written, so it is not reported. The Phase 3 session itself ran as registered, with no failed run.</w:t>
      </w:r>
    </w:p>
    <w:p>
      <w:pPr>
        <w:pStyle w:val="FirstParagraph"/>
      </w:pPr>
      <w:r>
        <w:t xml:space="preserve">No run was repeated to obtain a different result, and no result was discarded.</w:t>
      </w:r>
    </w:p>
    <w:bookmarkEnd w:id="60"/>
    <w:bookmarkEnd w:id="61"/>
    <w:bookmarkStart w:id="118" w:name="sec:results"/>
    <w:p>
      <w:pPr>
        <w:pStyle w:val="Heading1"/>
      </w:pPr>
      <w:r>
        <w:t xml:space="preserve">Results</w:t>
      </w:r>
    </w:p>
    <w:bookmarkStart w:id="65"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3" name="Picture"/>
            <a:graphic>
              <a:graphicData uri="http://schemas.openxmlformats.org/drawingml/2006/picture">
                <pic:pic>
                  <pic:nvPicPr>
                    <pic:cNvPr descr="/home/claude/rag-embed-transfer/paper_figures/out/fig9_retrieval.png" id="64" name="Picture"/>
                    <pic:cNvPicPr>
                      <a:picLocks noChangeArrowheads="1" noChangeAspect="1"/>
                    </pic:cNvPicPr>
                  </pic:nvPicPr>
                  <pic:blipFill>
                    <a:blip r:embed="rId62"/>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5"/>
    <w:bookmarkStart w:id="72"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7" name="Picture"/>
            <a:graphic>
              <a:graphicData uri="http://schemas.openxmlformats.org/drawingml/2006/picture">
                <pic:pic>
                  <pic:nvPicPr>
                    <pic:cNvPr descr="/home/claude/rag-embed-transfer/paper_figures/out/fig2_hit_vs_em.png" id="68" name="Picture"/>
                    <pic:cNvPicPr>
                      <a:picLocks noChangeArrowheads="1" noChangeAspect="1"/>
                    </pic:cNvPicPr>
                  </pic:nvPicPr>
                  <pic:blipFill>
                    <a:blip r:embed="rId66"/>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70" name="Picture"/>
            <a:graphic>
              <a:graphicData uri="http://schemas.openxmlformats.org/drawingml/2006/picture">
                <pic:pic>
                  <pic:nvPicPr>
                    <pic:cNvPr descr="/home/claude/rag-embed-transfer/paper_figures/out/fig1_transfer_ratios.png" id="71" name="Picture"/>
                    <pic:cNvPicPr>
                      <a:picLocks noChangeArrowheads="1" noChangeAspect="1"/>
                    </pic:cNvPicPr>
                  </pic:nvPicPr>
                  <pic:blipFill>
                    <a:blip r:embed="rId69"/>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2"/>
    <w:bookmarkStart w:id="73"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3"/>
    <w:bookmarkStart w:id="77" w:name="sec:res-full"/>
    <w:p>
      <w:pPr>
        <w:pStyle w:val="Heading2"/>
      </w:pPr>
      <w:r>
        <w:t xml:space="preserve">Do the NQ ratios hold on the full corpus?</w:t>
      </w:r>
    </w:p>
    <w:p>
      <w:pPr>
        <w:pStyle w:val="FirstParagraph"/>
      </w:pPr>
      <w:r>
        <w:t xml:space="preserve">All results so far use the 300,000-passage sub-corpus, which favours the dense encoders relative to BM25. In Phase 3 both readers answered the NQ generation queries from retrieval on the full corpus of 2,681,468 passages (Table </w:t>
      </w:r>
      <w:hyperlink w:anchor="tab:fullreader">
        <w:r>
          <w:rPr>
            <w:rStyle w:val="Hyperlink"/>
          </w:rPr>
          <w:t xml:space="preserve">[tab:fullreader]</w:t>
        </w:r>
      </w:hyperlink>
      <w:r>
        <w:t xml:space="preserve"> </w:t>
      </w:r>
      <w:r>
        <w:t xml:space="preserve">and Fig. </w:t>
      </w:r>
      <w:hyperlink w:anchor="fig:fulltransfer">
        <w:r>
          <w:rPr>
            <w:rStyle w:val="Hyperlink"/>
          </w:rPr>
          <w:t xml:space="preserve">6</w:t>
        </w:r>
      </w:hyperlink>
      <w:r>
        <w:t xml:space="preserve">). On the full corpus the dense encoders lost 0.089–0.100 in Hit@5 and 0.018–0.028 in EM (all Holm-adjusted</w:t>
      </w:r>
      <w:r>
        <w:t xml:space="preserve"> </w:t>
      </w:r>
      <m:oMath>
        <m:r>
          <m:t>p</m:t>
        </m:r>
        <m:r>
          <m:rPr>
            <m:sty m:val="p"/>
          </m:rPr>
          <m:t>≤</m:t>
        </m:r>
      </m:oMath>
      <w:r>
        <w:t xml:space="preserve"> </w:t>
      </w:r>
      <w:r>
        <w:t xml:space="preserve">0.014). BM25 kept its Hit@5, and its EM changed by no detectable amount (−0.005 to −0.001;</w:t>
      </w:r>
      <w:r>
        <w:t xml:space="preserve"> </w:t>
      </w:r>
      <m:oMath>
        <m:r>
          <m:t>p</m:t>
        </m:r>
        <m:r>
          <m:rPr>
            <m:sty m:val="p"/>
          </m:rPr>
          <m:t>≥</m:t>
        </m:r>
      </m:oMath>
      <w:r>
        <w:t xml:space="preserve"> </w:t>
      </w:r>
      <w:r>
        <w:t xml:space="preserve">0.16).</w:t>
      </w:r>
    </w:p>
    <w:p>
      <w:pPr>
        <w:pStyle w:val="BodyText"/>
      </w:pPr>
      <w:r>
        <w:t xml:space="preserve">The transfer ratios hardly moved. With e5-base-v2,</w:t>
      </w:r>
      <w:r>
        <w:t xml:space="preserve"> </w:t>
      </w:r>
      <m:oMath>
        <m:r>
          <m:t>T</m:t>
        </m:r>
      </m:oMath>
      <w:r>
        <w:t xml:space="preserve"> </w:t>
      </w:r>
      <w:r>
        <w:t xml:space="preserve">was 0.233 [0.13, 0.33] with Qwen, inside its sub-corpus interval [0.147, 0.356], and 0.195 [0.09, 0.30] with Llama, inside [0.053, 0.265]. The paired differences from the sub-corpus ratios were −0.02 [−0.12, +0.09] and +0.04 [−0.06, +0.14]. The bge-small ratios were 0.15 [−0.12, 0.40] and 0.22 [−0.05, 0.48]; as on the sub-corpus, their intervals included zero. Every dense upper bound stayed below 1 (largest 0.483), so P7 and P8 were met for both readers. Against BM25, the dense ratios were 0.33–0.38 on the full corpus and 0.29–0.34 on the sub-corpus.</w:t>
      </w:r>
    </w:p>
    <w:p>
      <w:pPr>
        <w:pStyle w:val="BodyText"/>
      </w:pPr>
      <w:r>
        <w:t xml:space="preserve">The query-level accounting also kept its shape. Queries that moved from miss to hit contributed +0.043 to +0.062 to the EM gain, those that hit under both retrievers −0.020 to −0.011 (interval below zero in 3 of 4 encoder–reader pairs) and those that lost their hit −0.022 to −0.010. In a comparison that was not pre-specified, the full corpus cost the three dense encoders 0.20–0.28 EM points per Hit@5 point lost, about the size of the transfer ratios themselves. At most 1.0% of the full-corpus outputs could not be parsed.</w:t>
      </w:r>
    </w:p>
    <w:p>
      <w:pPr>
        <w:pStyle w:val="CaptionedFigure"/>
      </w:pPr>
      <w:r>
        <w:drawing>
          <wp:inline>
            <wp:extent cx="2959100" cy="1663700"/>
            <wp:effectExtent b="0" l="0" r="0" t="0"/>
            <wp:docPr descr="" title="" id="75" name="Picture"/>
            <a:graphic>
              <a:graphicData uri="http://schemas.openxmlformats.org/drawingml/2006/picture">
                <pic:pic>
                  <pic:nvPicPr>
                    <pic:cNvPr descr="figs/fig13_fullcorpus_T.pdf" id="76" name="Picture"/>
                    <pic:cNvPicPr>
                      <a:picLocks noChangeArrowheads="1" noChangeAspect="1"/>
                    </pic:cNvPicPr>
                  </pic:nvPicPr>
                  <pic:blipFill>
                    <a:blip r:embed="rId74"/>
                    <a:stretch>
                      <a:fillRect/>
                    </a:stretch>
                  </pic:blipFill>
                  <pic:spPr bwMode="auto">
                    <a:xfrm>
                      <a:off x="0" y="0"/>
                      <a:ext cx="2959100" cy="1663700"/>
                    </a:xfrm>
                    <a:prstGeom prst="rect">
                      <a:avLst/>
                    </a:prstGeom>
                    <a:noFill/>
                    <a:ln w="9525">
                      <a:noFill/>
                      <a:headEnd/>
                      <a:tailEnd/>
                    </a:ln>
                  </pic:spPr>
                </pic:pic>
              </a:graphicData>
            </a:graphic>
          </wp:inline>
        </w:drawing>
      </w:r>
    </w:p>
    <w:p>
      <w:pPr>
        <w:pStyle w:val="ImageCaption"/>
      </w:pPr>
      <w:r>
        <w:t xml:space="preserve">NQ transfer ratios against MiniLM-L6 on the sub-corpus (open circles) and on the full corpus (filled squares), with 95% bootstrap intervals; 2,255 queries,</w:t>
      </w:r>
      <w:r>
        <w:t xml:space="preserve"> </w:t>
      </w:r>
      <m:oMath>
        <m:r>
          <m:t>k</m:t>
        </m:r>
        <m:r>
          <m:rPr>
            <m:sty m:val="p"/>
          </m:rPr>
          <m:t>=</m:t>
        </m:r>
        <m:r>
          <m:t>5</m:t>
        </m:r>
      </m:oMath>
      <w:r>
        <w:t xml:space="preserve">. The dashed line marks</w:t>
      </w:r>
      <w:r>
        <w:t xml:space="preserve"> </w:t>
      </w:r>
      <m:oMath>
        <m:r>
          <m:t>T</m:t>
        </m:r>
        <m:r>
          <m:rPr>
            <m:sty m:val="p"/>
          </m:rPr>
          <m:t>=</m:t>
        </m:r>
        <m:r>
          <m:t>1</m:t>
        </m:r>
      </m:oMath>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2"/>
          </w:tcPr>
          <w:p>
            <w:pPr>
              <w:pStyle w:val="Compact"/>
              <w:jc w:val="center"/>
            </w:pPr>
            <w:r>
              <w:t xml:space="preserve">Hit@5</w:t>
            </w:r>
          </w:p>
        </w:tc>
        <w:tc>
          <w:tcPr>
            <w:gridSpan w:val="2"/>
          </w:tcPr>
          <w:p>
            <w:pPr>
              <w:pStyle w:val="Compact"/>
              <w:jc w:val="center"/>
            </w:pPr>
            <w:r>
              <w:t xml:space="preserve">EM</w:t>
            </w:r>
          </w:p>
        </w:tc>
        <w:tc>
          <w:tcPr/>
          <w:p>
            <w:pPr>
              <w:pStyle w:val="Compact"/>
            </w:pPr>
          </w:p>
        </w:tc>
        <w:tc>
          <w:tcPr/>
          <w:p>
            <w:pPr>
              <w:pStyle w:val="Compact"/>
            </w:pPr>
          </w:p>
        </w:tc>
        <w:tc>
          <w:tcPr>
            <w:gridSpan w:val="2"/>
          </w:tcPr>
          <w:p>
            <w:pPr>
              <w:pStyle w:val="Compact"/>
              <w:jc w:val="center"/>
            </w:pPr>
            <m:oMath>
              <m:r>
                <m:t>T</m:t>
              </m:r>
            </m:oMath>
            <w:r>
              <w:t xml:space="preserve"> </w:t>
            </w:r>
            <w:r>
              <w:t xml:space="preserve">vs MiniLM-L6 [95% CI]</w:t>
            </w:r>
          </w:p>
        </w:tc>
      </w:tr>
      <w:tr>
        <w:tc>
          <w:tcPr/>
          <w:p>
            <w:pPr>
              <w:pStyle w:val="Compact"/>
              <w:jc w:val="left"/>
            </w:pPr>
            <w:r>
              <w:t xml:space="preserve">2-3</w:t>
            </w:r>
            <w:r>
              <w:t xml:space="preserve">(lr)</w:t>
            </w:r>
            <w:r>
              <w:t xml:space="preserve">4-5</w:t>
            </w:r>
            <w:r>
              <w:t xml:space="preserve">(lr)</w:t>
            </w:r>
            <w:r>
              <w:t xml:space="preserve">8-9</w:t>
            </w:r>
            <w:r>
              <w:t xml:space="preserve"> </w:t>
            </w:r>
            <w:r>
              <w:t xml:space="preserve">Retriever</w:t>
            </w:r>
          </w:p>
        </w:tc>
        <w:tc>
          <w:tcPr/>
          <w:p>
            <w:pPr>
              <w:pStyle w:val="Compact"/>
              <w:jc w:val="center"/>
            </w:pPr>
            <w:r>
              <w:t xml:space="preserve">sub</w:t>
            </w:r>
          </w:p>
        </w:tc>
        <w:tc>
          <w:tcPr/>
          <w:p>
            <w:pPr>
              <w:pStyle w:val="Compact"/>
              <w:jc w:val="center"/>
            </w:pPr>
            <w:r>
              <w:t xml:space="preserve">full</w:t>
            </w:r>
          </w:p>
        </w:tc>
        <w:tc>
          <w:tcPr/>
          <w:p>
            <w:pPr>
              <w:pStyle w:val="Compact"/>
              <w:jc w:val="center"/>
            </w:pPr>
            <w:r>
              <w:t xml:space="preserve">sub</w:t>
            </w:r>
          </w:p>
        </w:tc>
        <w:tc>
          <w:tcPr/>
          <w:p>
            <w:pPr>
              <w:pStyle w:val="Compact"/>
              <w:jc w:val="center"/>
            </w:pPr>
            <w:r>
              <w:t xml:space="preserve">full</w:t>
            </w:r>
          </w:p>
        </w:tc>
        <w:tc>
          <w:tcPr/>
          <w:p>
            <w:pPr>
              <w:pStyle w:val="Compact"/>
              <w:jc w:val="center"/>
            </w:pPr>
            <m:oMath>
              <m:r>
                <m:t>Δ</m:t>
              </m:r>
            </m:oMath>
            <w:r>
              <w:t xml:space="preserve">EM full</w:t>
            </w:r>
            <m:oMath>
              <m:r>
                <m:rPr>
                  <m:sty m:val="p"/>
                </m:rPr>
                <m:t>−</m:t>
              </m:r>
            </m:oMath>
            <w:r>
              <w:t xml:space="preserve">sub</w:t>
            </w:r>
          </w:p>
        </w:tc>
        <w:tc>
          <w:tcPr/>
          <w:p>
            <w:pPr>
              <w:pStyle w:val="Compact"/>
              <w:jc w:val="center"/>
            </w:pPr>
            <m:oMath>
              <m:sSub>
                <m:e>
                  <m:r>
                    <m:t>p</m:t>
                  </m:r>
                </m:e>
                <m:sub>
                  <m:r>
                    <m:rPr>
                      <m:nor/>
                      <m:sty m:val="p"/>
                    </m:rPr>
                    <m:t>Holm</m:t>
                  </m:r>
                </m:sub>
              </m:sSub>
            </m:oMath>
          </w:p>
        </w:tc>
        <w:tc>
          <w:tcPr/>
          <w:p>
            <w:pPr>
              <w:pStyle w:val="Compact"/>
              <w:jc w:val="left"/>
            </w:pPr>
            <w:r>
              <w:t xml:space="preserve">sub</w:t>
            </w:r>
          </w:p>
        </w:tc>
        <w:tc>
          <w:tcPr/>
          <w:p>
            <w:pPr>
              <w:pStyle w:val="Compact"/>
              <w:jc w:val="left"/>
            </w:pPr>
            <w:r>
              <w:t xml:space="preserve">full</w:t>
            </w:r>
          </w:p>
        </w:tc>
      </w:tr>
      <w:tr>
        <w:tc>
          <w:tcPr>
            <w:gridSpan w:val="9"/>
          </w:tcPr>
          <w:p>
            <w:pPr>
              <w:pStyle w:val="Compact"/>
              <w:jc w:val="left"/>
            </w:pPr>
            <w:r>
              <w:rPr>
                <w:iCs/>
                <w:i/>
              </w:rPr>
              <w:t xml:space="preserve">Qwen2.5-7B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0.360</w:t>
            </w:r>
          </w:p>
        </w:tc>
        <w:tc>
          <w:tcPr/>
          <w:p>
            <w:pPr>
              <w:pStyle w:val="Compact"/>
              <w:jc w:val="center"/>
            </w:pPr>
            <w:r>
              <w:t xml:space="preserve">0.358</w:t>
            </w:r>
          </w:p>
        </w:tc>
        <w:tc>
          <w:tcPr/>
          <w:p>
            <w:pPr>
              <w:pStyle w:val="Compact"/>
              <w:jc w:val="center"/>
            </w:pPr>
            <w:r>
              <w:t xml:space="preserve">−0.001</w:t>
            </w:r>
          </w:p>
        </w:tc>
        <w:tc>
          <w:tcPr/>
          <w:p>
            <w:pPr>
              <w:pStyle w:val="Compact"/>
              <w:jc w:val="center"/>
            </w:pPr>
            <w:r>
              <w:t xml:space="preserve">0.798</w:t>
            </w:r>
          </w:p>
        </w:tc>
        <w:tc>
          <w:tcPr/>
          <w:p>
            <w:pPr>
              <w:pStyle w:val="Compact"/>
              <w:jc w:val="left"/>
            </w:pPr>
            <w:r>
              <w:t xml:space="preserve">0.37 [0.31, 0.43]</w:t>
            </w:r>
          </w:p>
        </w:tc>
        <w:tc>
          <w:tcPr/>
          <w:p>
            <w:pPr>
              <w:pStyle w:val="Compact"/>
              <w:jc w:val="left"/>
            </w:pPr>
            <w:r>
              <w:t xml:space="preserve">0.44 [0.35, 0.53]</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0.471</w:t>
            </w:r>
          </w:p>
        </w:tc>
        <w:tc>
          <w:tcPr/>
          <w:p>
            <w:pPr>
              <w:pStyle w:val="Compact"/>
              <w:jc w:val="center"/>
            </w:pPr>
            <w:r>
              <w:t xml:space="preserve">0.446</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0.484</w:t>
            </w:r>
          </w:p>
        </w:tc>
        <w:tc>
          <w:tcPr/>
          <w:p>
            <w:pPr>
              <w:pStyle w:val="Compact"/>
              <w:jc w:val="center"/>
            </w:pPr>
            <w:r>
              <w:t xml:space="preserve">0.456</w:t>
            </w:r>
          </w:p>
        </w:tc>
        <w:tc>
          <w:tcPr/>
          <w:p>
            <w:pPr>
              <w:pStyle w:val="Compact"/>
              <w:jc w:val="center"/>
            </w:pPr>
            <w:r>
              <w:t xml:space="preserve">−0.028</w:t>
            </w:r>
          </w:p>
        </w:tc>
        <w:tc>
          <w:tcPr/>
          <w:p>
            <w:pPr>
              <w:pStyle w:val="Compact"/>
              <w:jc w:val="center"/>
            </w:pPr>
            <m:oMath>
              <m:r>
                <m:rPr>
                  <m:sty m:val="p"/>
                </m:rPr>
                <m:t>&lt;</m:t>
              </m:r>
            </m:oMath>
            <w:r>
              <w:t xml:space="preserve">0.001</w:t>
            </w:r>
          </w:p>
        </w:tc>
        <w:tc>
          <w:tcPr/>
          <w:p>
            <w:pPr>
              <w:pStyle w:val="Compact"/>
              <w:jc w:val="left"/>
            </w:pPr>
            <w:r>
              <w:t xml:space="preserve">0.19 [−0.07, 0.44]</w:t>
            </w:r>
          </w:p>
        </w:tc>
        <w:tc>
          <w:tcPr/>
          <w:p>
            <w:pPr>
              <w:pStyle w:val="Compact"/>
              <w:jc w:val="left"/>
            </w:pPr>
            <w:r>
              <w:t xml:space="preserve">0.15 [−0.12, 0.40]</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0.510</w:t>
            </w:r>
          </w:p>
        </w:tc>
        <w:tc>
          <w:tcPr/>
          <w:p>
            <w:pPr>
              <w:pStyle w:val="Compact"/>
              <w:jc w:val="center"/>
            </w:pPr>
            <w:r>
              <w:t xml:space="preserve">0.484</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0.25 [0.15, 0.36]</w:t>
            </w:r>
          </w:p>
        </w:tc>
        <w:tc>
          <w:tcPr/>
          <w:p>
            <w:pPr>
              <w:pStyle w:val="Compact"/>
              <w:jc w:val="left"/>
            </w:pPr>
            <w:r>
              <w:t xml:space="preserve">0.23 [0.13, 0.33]</w:t>
            </w:r>
          </w:p>
        </w:tc>
      </w:tr>
      <w:tr>
        <w:tc>
          <w:tcPr>
            <w:gridSpan w:val="9"/>
          </w:tcPr>
          <w:p>
            <w:pPr>
              <w:pStyle w:val="Compact"/>
              <w:jc w:val="left"/>
            </w:pPr>
            <w:r>
              <w:rPr>
                <w:iCs/>
                <w:i/>
              </w:rPr>
              <w:t xml:space="preserve">Llama-3.1-8B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0.340</w:t>
            </w:r>
          </w:p>
        </w:tc>
        <w:tc>
          <w:tcPr/>
          <w:p>
            <w:pPr>
              <w:pStyle w:val="Compact"/>
              <w:jc w:val="center"/>
            </w:pPr>
            <w:r>
              <w:t xml:space="preserve">0.335</w:t>
            </w:r>
          </w:p>
        </w:tc>
        <w:tc>
          <w:tcPr/>
          <w:p>
            <w:pPr>
              <w:pStyle w:val="Compact"/>
              <w:jc w:val="center"/>
            </w:pPr>
            <w:r>
              <w:t xml:space="preserve">−0.005</w:t>
            </w:r>
          </w:p>
        </w:tc>
        <w:tc>
          <w:tcPr/>
          <w:p>
            <w:pPr>
              <w:pStyle w:val="Compact"/>
              <w:jc w:val="center"/>
            </w:pPr>
            <w:r>
              <w:t xml:space="preserve">0.155</w:t>
            </w:r>
          </w:p>
        </w:tc>
        <w:tc>
          <w:tcPr/>
          <w:p>
            <w:pPr>
              <w:pStyle w:val="Compact"/>
              <w:jc w:val="left"/>
            </w:pPr>
            <w:r>
              <w:t xml:space="preserve">0.36 [0.30, 0.42]</w:t>
            </w:r>
          </w:p>
        </w:tc>
        <w:tc>
          <w:tcPr/>
          <w:p>
            <w:pPr>
              <w:pStyle w:val="Compact"/>
              <w:jc w:val="left"/>
            </w:pPr>
            <w:r>
              <w:t xml:space="preserve">0.44 [0.34, 0.54]</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0.448</w:t>
            </w:r>
          </w:p>
        </w:tc>
        <w:tc>
          <w:tcPr/>
          <w:p>
            <w:pPr>
              <w:pStyle w:val="Compact"/>
              <w:jc w:val="center"/>
            </w:pPr>
            <w:r>
              <w:t xml:space="preserve">0.423</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0.460</w:t>
            </w:r>
          </w:p>
        </w:tc>
        <w:tc>
          <w:tcPr/>
          <w:p>
            <w:pPr>
              <w:pStyle w:val="Compact"/>
              <w:jc w:val="center"/>
            </w:pPr>
            <w:r>
              <w:t xml:space="preserve">0.437</w:t>
            </w:r>
          </w:p>
        </w:tc>
        <w:tc>
          <w:tcPr/>
          <w:p>
            <w:pPr>
              <w:pStyle w:val="Compact"/>
              <w:jc w:val="center"/>
            </w:pPr>
            <w:r>
              <w:t xml:space="preserve">−0.023</w:t>
            </w:r>
          </w:p>
        </w:tc>
        <w:tc>
          <w:tcPr/>
          <w:p>
            <w:pPr>
              <w:pStyle w:val="Compact"/>
              <w:jc w:val="center"/>
            </w:pPr>
            <w:r>
              <w:t xml:space="preserve">0.002</w:t>
            </w:r>
          </w:p>
        </w:tc>
        <w:tc>
          <w:tcPr/>
          <w:p>
            <w:pPr>
              <w:pStyle w:val="Compact"/>
              <w:jc w:val="left"/>
            </w:pPr>
            <w:r>
              <w:t xml:space="preserve">0.18 [−0.08, 0.43]</w:t>
            </w:r>
          </w:p>
        </w:tc>
        <w:tc>
          <w:tcPr/>
          <w:p>
            <w:pPr>
              <w:pStyle w:val="Compact"/>
              <w:jc w:val="left"/>
            </w:pPr>
            <w:r>
              <w:t xml:space="preserve">0.22 [−0.05, 0.48]</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0.472</w:t>
            </w:r>
          </w:p>
        </w:tc>
        <w:tc>
          <w:tcPr/>
          <w:p>
            <w:pPr>
              <w:pStyle w:val="Compact"/>
              <w:jc w:val="center"/>
            </w:pPr>
            <w:r>
              <w:t xml:space="preserve">0.455</w:t>
            </w:r>
          </w:p>
        </w:tc>
        <w:tc>
          <w:tcPr/>
          <w:p>
            <w:pPr>
              <w:pStyle w:val="Compact"/>
              <w:jc w:val="center"/>
            </w:pPr>
            <w:r>
              <w:t xml:space="preserve">−0.018</w:t>
            </w:r>
          </w:p>
        </w:tc>
        <w:tc>
          <w:tcPr/>
          <w:p>
            <w:pPr>
              <w:pStyle w:val="Compact"/>
              <w:jc w:val="center"/>
            </w:pPr>
            <w:r>
              <w:t xml:space="preserve">0.014</w:t>
            </w:r>
          </w:p>
        </w:tc>
        <w:tc>
          <w:tcPr/>
          <w:p>
            <w:pPr>
              <w:pStyle w:val="Compact"/>
              <w:jc w:val="left"/>
            </w:pPr>
            <w:r>
              <w:t xml:space="preserve">0.16 [0.05, 0.26]</w:t>
            </w:r>
          </w:p>
        </w:tc>
        <w:tc>
          <w:tcPr/>
          <w:p>
            <w:pPr>
              <w:pStyle w:val="Compact"/>
              <w:jc w:val="left"/>
            </w:pPr>
            <w:r>
              <w:t xml:space="preserve">0.20 [0.09, 0.30]</w:t>
            </w:r>
          </w:p>
        </w:tc>
      </w:tr>
    </w:tbl>
    <w:p>
      <w:pPr>
        <w:pStyle w:val="BodyText"/>
      </w:pPr>
      <w:r>
        <w:rPr>
          <w:iCs/>
          <w:i/>
        </w:rPr>
        <w:t xml:space="preserve">Sub-corpus values are those of Table </w:t>
      </w:r>
      <w:hyperlink w:anchor="tab:transfer">
        <w:r>
          <w:rPr>
            <w:rStyle w:val="Hyperlink"/>
            <w:iCs/>
            <w:i/>
          </w:rPr>
          <w:t xml:space="preserve">[tab:transfer]</w:t>
        </w:r>
      </w:hyperlink>
      <w:r>
        <w:rPr>
          <w:iCs/>
          <w:i/>
        </w:rPr>
        <w:t xml:space="preserve">.</w:t>
      </w:r>
      <w:r>
        <w:rPr>
          <w:iCs/>
          <w:i/>
        </w:rPr>
        <w:t xml:space="preserve"> </w:t>
      </w:r>
      <m:oMath>
        <m:r>
          <m:t>Δ</m:t>
        </m:r>
      </m:oMath>
      <w:r>
        <w:rPr>
          <w:iCs/>
          <w:i/>
        </w:rPr>
        <w:t xml:space="preserve">EM: paired difference full</w:t>
      </w:r>
      <w:r>
        <w:rPr>
          <w:iCs/>
          <w:i/>
        </w:rPr>
        <w:t xml:space="preserve"> </w:t>
      </w:r>
      <m:oMath>
        <m:r>
          <m:rPr>
            <m:sty m:val="p"/>
          </m:rPr>
          <m:t>−</m:t>
        </m:r>
      </m:oMath>
      <w:r>
        <w:rPr>
          <w:iCs/>
          <w:i/>
        </w:rPr>
        <w:t xml:space="preserve"> </w:t>
      </w:r>
      <w:r>
        <w:rPr>
          <w:iCs/>
          <w:i/>
        </w:rPr>
        <w:t xml:space="preserve">sub (intervals in the repository), exact McNemar test, Holm over the four retrievers per reader. Full-corpus ratios use the reporting rule with Holm over the six pairs among the four retrievers. BM25’s ratio relates an EM loss to a Hit@5 loss.</w:t>
      </w:r>
    </w:p>
    <w:bookmarkEnd w:id="77"/>
    <w:bookmarkStart w:id="87" w:name="sec:res-decomp"/>
    <w:p>
      <w:pPr>
        <w:pStyle w:val="Heading2"/>
      </w:pPr>
      <w:r>
        <w:t xml:space="preserve">Where the gain sits</w:t>
      </w:r>
    </w:p>
    <w:bookmarkStart w:id="78"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w:t>
      </w:r>
    </w:p>
    <w:bookmarkEnd w:id="78"/>
    <w:bookmarkStart w:id="81" w:name="answer-strings-in-nq-misses"/>
    <w:p>
      <w:pPr>
        <w:pStyle w:val="Heading4"/>
      </w:pPr>
      <w:r>
        <w:t xml:space="preserve">Answer strings in NQ misses</w:t>
      </w:r>
    </w:p>
    <w:p>
      <w:pPr>
        <w:pStyle w:val="FirstParagraph"/>
      </w:pPr>
      <w:r>
        <w:t xml:space="preserve">Table </w:t>
      </w:r>
      <w:hyperlink w:anchor="tab:answerstr">
        <w:r>
          <w:rPr>
            <w:rStyle w:val="Hyperlink"/>
          </w:rPr>
          <w:t xml:space="preserve">2</w:t>
        </w:r>
      </w:hyperlink>
      <w:r>
        <w:t xml:space="preserve"> </w:t>
      </w:r>
      <w:r>
        <w:t xml:space="preserve">checks the label-sparsity reading for NQ. Among the Hit@5 misses of the dense encoders, 0.41–0.55 had a reference answer string in their top five passages on the sub-corpus (e5-base-v2: 0.50 [0.45, 0.55] of 414 misses) and 0.44–0.58 on the full corpus; for BM25 the share was 0.33. Among hits it was 0.92–0.94. The check is lexical and incomplete in both directions. A passage can mention the answer without supporting it, and the gold passages themselves contained an answer string for only 0.93 [0.92, 0.94] of the queries. Even so, a large part of what Hit@5 counts as a miss gave the reader a passage with the answer in it.</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79"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79"/>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Start w:id="80" w:name="tab:answerstr"/>
    <w:p>
      <w:pPr>
        <w:pStyle w:val="TableCaption"/>
      </w:pPr>
      <w:r>
        <w:t xml:space="preserve">Share of Hit@5 misses and hits whose top five passages contain a reference answer string (NQ, 2,255 generation queries).</w:t>
      </w:r>
    </w:p>
    <w:tbl>
      <w:tblPr>
        <w:tblStyle w:val="Table"/>
        <w:tblW w:type="auto" w:w="0"/>
        <w:tblLook w:firstRow="1" w:lastRow="0" w:firstColumn="0" w:lastColumn="0" w:noHBand="0" w:noVBand="0" w:val="0020"/>
        <w:jc w:val="start"/>
        <w:tblCaption w:val="Share of Hit@5 misses and hits whose top five passages contain a reference answer string (NQ, 2,255 generation queries)."/>
      </w:tblPr>
      <w:tblGrid>
        <w:gridCol w:w="1320"/>
        <w:gridCol w:w="1320"/>
        <w:gridCol w:w="1320"/>
        <w:gridCol w:w="1320"/>
        <w:gridCol w:w="1320"/>
        <w:gridCol w:w="1320"/>
      </w:tblGrid>
      <w:tr>
        <w:trPr>
          <w:tblHeader w:val="true"/>
        </w:trPr>
        <w:tc>
          <w:tcPr/>
          <w:p>
            <w:pPr>
              <w:pStyle w:val="Compact"/>
            </w:pPr>
          </w:p>
        </w:tc>
        <w:tc>
          <w:tcPr>
            <w:gridSpan w:val="2"/>
          </w:tcPr>
          <w:p>
            <w:pPr>
              <w:pStyle w:val="Compact"/>
              <w:jc w:val="center"/>
            </w:pPr>
            <w:r>
              <w:t xml:space="preserve">Misses, sub-corpus</w:t>
            </w:r>
          </w:p>
        </w:tc>
        <w:tc>
          <w:tcPr>
            <w:gridSpan w:val="2"/>
          </w:tcPr>
          <w:p>
            <w:pPr>
              <w:pStyle w:val="Compact"/>
              <w:jc w:val="center"/>
            </w:pPr>
            <w:r>
              <w:t xml:space="preserve">Misses, full corpus</w:t>
            </w:r>
          </w:p>
        </w:tc>
        <w:tc>
          <w:tcPr/>
          <w:p>
            <w:pPr>
              <w:pStyle w:val="Compact"/>
              <w:jc w:val="center"/>
            </w:pPr>
            <w:r>
              <w:t xml:space="preserve">Hits, sub</w:t>
            </w:r>
          </w:p>
        </w:tc>
      </w:tr>
      <w:tr>
        <w:tc>
          <w:tcPr/>
          <w:p>
            <w:pPr>
              <w:pStyle w:val="Compact"/>
              <w:jc w:val="left"/>
            </w:pPr>
            <w:r>
              <w:t xml:space="preserve">2-3</w:t>
            </w:r>
            <w:r>
              <w:t xml:space="preserve">(lr)</w:t>
            </w:r>
            <w:r>
              <w:t xml:space="preserve">4-5</w:t>
            </w:r>
            <w:r>
              <w:t xml:space="preserve"> </w:t>
            </w:r>
            <w:r>
              <w:t xml:space="preserve">Retriever</w:t>
            </w:r>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r>
      <w:tr>
        <w:tc>
          <w:tcPr/>
          <w:p>
            <w:pPr>
              <w:pStyle w:val="Compact"/>
              <w:jc w:val="left"/>
            </w:pPr>
            <w:r>
              <w:t xml:space="preserve">BM25</w:t>
            </w:r>
          </w:p>
        </w:tc>
        <w:tc>
          <w:tcPr/>
          <w:p>
            <w:pPr>
              <w:pStyle w:val="Compact"/>
              <w:jc w:val="center"/>
            </w:pPr>
            <w:r>
              <w:t xml:space="preserve">0.33 [0.31, 0.36]</w:t>
            </w:r>
          </w:p>
        </w:tc>
        <w:tc>
          <w:tcPr/>
          <w:p>
            <w:pPr>
              <w:pStyle w:val="Compact"/>
              <w:jc w:val="center"/>
            </w:pPr>
            <w:r>
              <w:t xml:space="preserve">1,436</w:t>
            </w:r>
          </w:p>
        </w:tc>
        <w:tc>
          <w:tcPr/>
          <w:p>
            <w:pPr>
              <w:pStyle w:val="Compact"/>
              <w:jc w:val="center"/>
            </w:pPr>
            <w:r>
              <w:t xml:space="preserve">0.33 [0.30, 0.35]</w:t>
            </w:r>
          </w:p>
        </w:tc>
        <w:tc>
          <w:tcPr/>
          <w:p>
            <w:pPr>
              <w:pStyle w:val="Compact"/>
              <w:jc w:val="center"/>
            </w:pPr>
            <w:r>
              <w:t xml:space="preserve">1,435</w:t>
            </w:r>
          </w:p>
        </w:tc>
        <w:tc>
          <w:tcPr/>
          <w:p>
            <w:pPr>
              <w:pStyle w:val="Compact"/>
              <w:jc w:val="center"/>
            </w:pPr>
            <w:r>
              <w:t xml:space="preserve">0.93</w:t>
            </w:r>
          </w:p>
        </w:tc>
      </w:tr>
      <w:tr>
        <w:tc>
          <w:tcPr/>
          <w:p>
            <w:pPr>
              <w:pStyle w:val="Compact"/>
              <w:jc w:val="left"/>
            </w:pPr>
            <w:r>
              <w:t xml:space="preserve">MiniLM-L6</w:t>
            </w:r>
          </w:p>
        </w:tc>
        <w:tc>
          <w:tcPr/>
          <w:p>
            <w:pPr>
              <w:pStyle w:val="Compact"/>
              <w:jc w:val="center"/>
            </w:pPr>
            <w:r>
              <w:t xml:space="preserve">0.41 [0.37, 0.44]</w:t>
            </w:r>
          </w:p>
        </w:tc>
        <w:tc>
          <w:tcPr/>
          <w:p>
            <w:pPr>
              <w:pStyle w:val="Compact"/>
              <w:jc w:val="center"/>
            </w:pPr>
            <w:r>
              <w:t xml:space="preserve">758</w:t>
            </w:r>
          </w:p>
        </w:tc>
        <w:tc>
          <w:tcPr/>
          <w:p>
            <w:pPr>
              <w:pStyle w:val="Compact"/>
              <w:jc w:val="center"/>
            </w:pPr>
            <w:r>
              <w:t xml:space="preserve">0.44 [0.41, 0.47]</w:t>
            </w:r>
          </w:p>
        </w:tc>
        <w:tc>
          <w:tcPr/>
          <w:p>
            <w:pPr>
              <w:pStyle w:val="Compact"/>
              <w:jc w:val="center"/>
            </w:pPr>
            <w:r>
              <w:t xml:space="preserve">983</w:t>
            </w:r>
          </w:p>
        </w:tc>
        <w:tc>
          <w:tcPr/>
          <w:p>
            <w:pPr>
              <w:pStyle w:val="Compact"/>
              <w:jc w:val="center"/>
            </w:pPr>
            <w:r>
              <w:t xml:space="preserve">0.92</w:t>
            </w:r>
          </w:p>
        </w:tc>
      </w:tr>
      <w:tr>
        <w:tc>
          <w:tcPr/>
          <w:p>
            <w:pPr>
              <w:pStyle w:val="Compact"/>
              <w:jc w:val="left"/>
            </w:pPr>
            <w:r>
              <w:t xml:space="preserve">bge-small</w:t>
            </w:r>
          </w:p>
        </w:tc>
        <w:tc>
          <w:tcPr/>
          <w:p>
            <w:pPr>
              <w:pStyle w:val="Compact"/>
              <w:jc w:val="center"/>
            </w:pPr>
            <w:r>
              <w:t xml:space="preserve">0.48 [0.44, 0.52]</w:t>
            </w:r>
          </w:p>
        </w:tc>
        <w:tc>
          <w:tcPr/>
          <w:p>
            <w:pPr>
              <w:pStyle w:val="Compact"/>
              <w:jc w:val="center"/>
            </w:pPr>
            <w:r>
              <w:t xml:space="preserve">611</w:t>
            </w:r>
          </w:p>
        </w:tc>
        <w:tc>
          <w:tcPr/>
          <w:p>
            <w:pPr>
              <w:pStyle w:val="Compact"/>
              <w:jc w:val="center"/>
            </w:pPr>
            <w:r>
              <w:t xml:space="preserve">0.51 [0.48, 0.55]</w:t>
            </w:r>
          </w:p>
        </w:tc>
        <w:tc>
          <w:tcPr/>
          <w:p>
            <w:pPr>
              <w:pStyle w:val="Compact"/>
              <w:jc w:val="center"/>
            </w:pPr>
            <w:r>
              <w:t xml:space="preserve">834</w:t>
            </w:r>
          </w:p>
        </w:tc>
        <w:tc>
          <w:tcPr/>
          <w:p>
            <w:pPr>
              <w:pStyle w:val="Compact"/>
              <w:jc w:val="center"/>
            </w:pPr>
            <w:r>
              <w:t xml:space="preserve">0.93</w:t>
            </w:r>
          </w:p>
        </w:tc>
      </w:tr>
      <w:tr>
        <w:tc>
          <w:tcPr/>
          <w:p>
            <w:pPr>
              <w:pStyle w:val="Compact"/>
              <w:jc w:val="left"/>
            </w:pPr>
            <w:r>
              <w:t xml:space="preserve">bge-base</w:t>
            </w:r>
          </w:p>
        </w:tc>
        <w:tc>
          <w:tcPr/>
          <w:p>
            <w:pPr>
              <w:pStyle w:val="Compact"/>
              <w:jc w:val="center"/>
            </w:pPr>
            <w:r>
              <w:t xml:space="preserve">0.51 [0.46, 0.55]</w:t>
            </w:r>
          </w:p>
        </w:tc>
        <w:tc>
          <w:tcPr/>
          <w:p>
            <w:pPr>
              <w:pStyle w:val="Compact"/>
              <w:jc w:val="center"/>
            </w:pPr>
            <w:r>
              <w:t xml:space="preserve">518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bge-large</w:t>
            </w:r>
          </w:p>
        </w:tc>
        <w:tc>
          <w:tcPr/>
          <w:p>
            <w:pPr>
              <w:pStyle w:val="Compact"/>
              <w:jc w:val="center"/>
            </w:pPr>
            <w:r>
              <w:t xml:space="preserve">0.55 [0.50, 0.59]</w:t>
            </w:r>
          </w:p>
        </w:tc>
        <w:tc>
          <w:tcPr/>
          <w:p>
            <w:pPr>
              <w:pStyle w:val="Compact"/>
              <w:jc w:val="center"/>
            </w:pPr>
            <w:r>
              <w:t xml:space="preserve">460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e5-base-v2</w:t>
            </w:r>
          </w:p>
        </w:tc>
        <w:tc>
          <w:tcPr/>
          <w:p>
            <w:pPr>
              <w:pStyle w:val="Compact"/>
              <w:jc w:val="center"/>
            </w:pPr>
            <w:r>
              <w:t xml:space="preserve">0.50 [0.45, 0.55]</w:t>
            </w:r>
          </w:p>
        </w:tc>
        <w:tc>
          <w:tcPr/>
          <w:p>
            <w:pPr>
              <w:pStyle w:val="Compact"/>
              <w:jc w:val="center"/>
            </w:pPr>
            <w:r>
              <w:t xml:space="preserve">414</w:t>
            </w:r>
          </w:p>
        </w:tc>
        <w:tc>
          <w:tcPr/>
          <w:p>
            <w:pPr>
              <w:pStyle w:val="Compact"/>
              <w:jc w:val="center"/>
            </w:pPr>
            <w:r>
              <w:t xml:space="preserve">0.58 [0.54, 0.62]</w:t>
            </w:r>
          </w:p>
        </w:tc>
        <w:tc>
          <w:tcPr/>
          <w:p>
            <w:pPr>
              <w:pStyle w:val="Compact"/>
              <w:jc w:val="center"/>
            </w:pPr>
            <w:r>
              <w:t xml:space="preserve">614</w:t>
            </w:r>
          </w:p>
        </w:tc>
        <w:tc>
          <w:tcPr/>
          <w:p>
            <w:pPr>
              <w:pStyle w:val="Compact"/>
              <w:jc w:val="center"/>
            </w:pPr>
            <w:r>
              <w:t xml:space="preserve">0.94</w:t>
            </w:r>
          </w:p>
        </w:tc>
      </w:tr>
      <w:tr>
        <w:tc>
          <w:tcPr/>
          <w:p>
            <w:pPr>
              <w:pStyle w:val="Compact"/>
              <w:jc w:val="left"/>
            </w:pPr>
            <w:r>
              <w:t xml:space="preserve">Qwen3-Emb-0.6B</w:t>
            </w:r>
          </w:p>
        </w:tc>
        <w:tc>
          <w:tcPr/>
          <w:p>
            <w:pPr>
              <w:pStyle w:val="Compact"/>
              <w:jc w:val="center"/>
            </w:pPr>
            <w:r>
              <w:t xml:space="preserve">0.46 [0.42, 0.50]</w:t>
            </w:r>
          </w:p>
        </w:tc>
        <w:tc>
          <w:tcPr/>
          <w:p>
            <w:pPr>
              <w:pStyle w:val="Compact"/>
              <w:jc w:val="center"/>
            </w:pPr>
            <w:r>
              <w:t xml:space="preserve">577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bl>
    <w:bookmarkEnd w:id="80"/>
    <w:p>
      <w:pPr>
        <w:pStyle w:val="BodyText"/>
      </w:pPr>
      <w:r>
        <w:rPr>
          <w:iCs/>
          <w:i/>
        </w:rPr>
        <w:t xml:space="preserve">Automatic, lexical check: a normalised reference answer occurs as a whole-token span of a normalised passage (title and text), the rule of answer containment. Under this rule the gold passages contain an answer for 0.93 of the queries. A match does not show that the passage supports the answer.</w:t>
      </w:r>
    </w:p>
    <w:bookmarkEnd w:id="81"/>
    <w:bookmarkStart w:id="85"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7</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11</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83" name="Picture"/>
            <a:graphic>
              <a:graphicData uri="http://schemas.openxmlformats.org/drawingml/2006/picture">
                <pic:pic>
                  <pic:nvPicPr>
                    <pic:cNvPr descr="/home/claude/rag-embed-transfer/paper_figures/out/fig10_error.png" id="84" name="Picture"/>
                    <pic:cNvPicPr>
                      <a:picLocks noChangeArrowheads="1" noChangeAspect="1"/>
                    </pic:cNvPicPr>
                  </pic:nvPicPr>
                  <pic:blipFill>
                    <a:blip r:embed="rId82"/>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85"/>
    <w:bookmarkStart w:id="86" w:name="abstention-prompt"/>
    <w:p>
      <w:pPr>
        <w:pStyle w:val="Heading4"/>
      </w:pPr>
      <w:r>
        <w:t xml:space="preserve">Abstention prompt</w:t>
      </w:r>
    </w:p>
    <w:p>
      <w:pPr>
        <w:pStyle w:val="FirstParagraph"/>
      </w:pPr>
      <w:r>
        <w:t xml:space="preserve">A Phase 1 check (Table </w:t>
      </w:r>
      <w:hyperlink w:anchor="tab:idk">
        <w:r>
          <w:rPr>
            <w:rStyle w:val="Hyperlink"/>
          </w:rPr>
          <w:t xml:space="preserve">12</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86"/>
    <w:bookmarkEnd w:id="87"/>
    <w:bookmarkStart w:id="88"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88"/>
    <w:bookmarkStart w:id="101" w:name="sec:res-context"/>
    <w:p>
      <w:pPr>
        <w:pStyle w:val="Heading2"/>
      </w:pPr>
      <w:r>
        <w:t xml:space="preserve">Context choices (RQ3)</w:t>
      </w:r>
    </w:p>
    <w:bookmarkStart w:id="92" w:name="number-of-passages"/>
    <w:p>
      <w:pPr>
        <w:pStyle w:val="Heading4"/>
      </w:pPr>
      <w:r>
        <w:t xml:space="preserve">Number of passages</w:t>
      </w:r>
    </w:p>
    <w:p>
      <w:pPr>
        <w:pStyle w:val="FirstParagraph"/>
      </w:pPr>
      <w:r>
        <w:t xml:space="preserve">Table </w:t>
      </w:r>
      <w:hyperlink w:anchor="tab:topk">
        <w:r>
          <w:rPr>
            <w:rStyle w:val="Hyperlink"/>
          </w:rPr>
          <w:t xml:space="preserve">3</w:t>
        </w:r>
      </w:hyperlink>
      <w:r>
        <w:t xml:space="preserve"> </w:t>
      </w:r>
      <w:r>
        <w:t xml:space="preserve">and Fig. </w:t>
      </w:r>
      <w:hyperlink w:anchor="fig:topk">
        <w:r>
          <w:rPr>
            <w:rStyle w:val="Hyperlink"/>
          </w:rPr>
          <w:t xml:space="preserve">8</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90" name="Picture"/>
            <a:graphic>
              <a:graphicData uri="http://schemas.openxmlformats.org/drawingml/2006/picture">
                <pic:pic>
                  <pic:nvPicPr>
                    <pic:cNvPr descr="/home/claude/rag-embed-transfer/paper_figures/out/fig3_topk.png" id="91" name="Picture"/>
                    <pic:cNvPicPr>
                      <a:picLocks noChangeArrowheads="1" noChangeAspect="1"/>
                    </pic:cNvPicPr>
                  </pic:nvPicPr>
                  <pic:blipFill>
                    <a:blip r:embed="rId89"/>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92"/>
    <w:bookmarkStart w:id="98"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4</w:t>
        </w:r>
      </w:hyperlink>
      <w:r>
        <w:t xml:space="preserve"> </w:t>
      </w:r>
      <w:r>
        <w:t xml:space="preserve">and Fig. </w:t>
      </w:r>
      <w:hyperlink w:anchor="fig:mechanism">
        <w:r>
          <w:rPr>
            <w:rStyle w:val="Hyperlink"/>
          </w:rPr>
          <w:t xml:space="preserve">9</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Under the answer-string rule, at least one hard negative contained an answer for 167 of the 500 questions (0.33, Wilson interval [0.29, 0.38]). On the 333 questions without such a passage, the drop was larger: EM 0.535 with hard negatives against 0.637 with random passages (−0.102, 95% CI [−0.144, −0.060];</w:t>
      </w:r>
      <w:r>
        <w:t xml:space="preserve"> </w:t>
      </w:r>
      <m:oMath>
        <m:r>
          <m:t>p</m:t>
        </m:r>
      </m:oMath>
      <w:r>
        <w:t xml:space="preserve"> </w:t>
      </w:r>
      <m:oMath>
        <m:r>
          <m:rPr>
            <m:sty m:val="p"/>
          </m:rPr>
          <m:t>&lt;</m:t>
        </m:r>
      </m:oMath>
      <w:r>
        <w:t xml:space="preserve">0.001). On the other questions the two contexts gave 0.671 and 0.689 (not pre-specified). Answer-bearing hard negatives therefore made the registered P5 effect smaller, not larger.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94" name="Picture"/>
            <a:graphic>
              <a:graphicData uri="http://schemas.openxmlformats.org/drawingml/2006/picture">
                <pic:pic>
                  <pic:nvPicPr>
                    <pic:cNvPr descr="/home/claude/rag-embed-transfer/paper_figures/out/fig4_mechanism.png" id="95" name="Picture"/>
                    <pic:cNvPicPr>
                      <a:picLocks noChangeArrowheads="1" noChangeAspect="1"/>
                    </pic:cNvPicPr>
                  </pic:nvPicPr>
                  <pic:blipFill>
                    <a:blip r:embed="rId93"/>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96"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96"/>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97"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97"/>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98"/>
    <w:bookmarkStart w:id="100"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5</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99"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99"/>
    <w:p>
      <w:pPr>
        <w:pStyle w:val="BodyText"/>
      </w:pPr>
      <w:r>
        <w:rPr>
          <w:iCs/>
          <w:i/>
        </w:rPr>
        <w:t xml:space="preserve">Retrieval on all 3,452 judged queries; EM on the 2,255 generation queries (Qwen). Latency: median per query, 50 pairs, one T4.</w:t>
      </w:r>
    </w:p>
    <w:bookmarkEnd w:id="100"/>
    <w:bookmarkEnd w:id="101"/>
    <w:bookmarkStart w:id="114" w:name="sec:res-cost"/>
    <w:p>
      <w:pPr>
        <w:pStyle w:val="Heading2"/>
      </w:pPr>
      <w:r>
        <w:t xml:space="preserve">Retrieval-stage cost and checks of the setup (RQ4)</w:t>
      </w:r>
    </w:p>
    <w:bookmarkStart w:id="106" w:name="encoding-cost"/>
    <w:p>
      <w:pPr>
        <w:pStyle w:val="Heading4"/>
      </w:pPr>
      <w:r>
        <w:t xml:space="preserve">Encoding cost</w:t>
      </w:r>
    </w:p>
    <w:p>
      <w:pPr>
        <w:pStyle w:val="FirstParagraph"/>
      </w:pPr>
      <w:r>
        <w:t xml:space="preserve">Table </w:t>
      </w:r>
      <w:hyperlink w:anchor="tab:cost">
        <w:r>
          <w:rPr>
            <w:rStyle w:val="Hyperlink"/>
          </w:rPr>
          <w:t xml:space="preserve">6</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6</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10</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103" name="Picture"/>
            <a:graphic>
              <a:graphicData uri="http://schemas.openxmlformats.org/drawingml/2006/picture">
                <pic:pic>
                  <pic:nvPicPr>
                    <pic:cNvPr descr="/home/claude/rag-embed-transfer/paper_figures/out/fig5_cost_quality.png" id="104" name="Picture"/>
                    <pic:cNvPicPr>
                      <a:picLocks noChangeArrowheads="1" noChangeAspect="1"/>
                    </pic:cNvPicPr>
                  </pic:nvPicPr>
                  <pic:blipFill>
                    <a:blip r:embed="rId102"/>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105"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105"/>
    <w:p>
      <w:pPr>
        <w:pStyle w:val="BodyText"/>
      </w:pPr>
      <w:r>
        <w:rPr>
          <w:iCs/>
          <w:i/>
        </w:rPr>
        <w:t xml:space="preserve">BM25 batch-1 query latency on CPU: 25.7 ms (23.7–27.7).</w:t>
      </w:r>
    </w:p>
    <w:bookmarkEnd w:id="106"/>
    <w:bookmarkStart w:id="107"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107"/>
    <w:bookmarkStart w:id="108"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08"/>
    <w:bookmarkStart w:id="113"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7</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Section </w:t>
      </w:r>
      <w:hyperlink w:anchor="sec:res-full">
        <w:r>
          <w:rPr>
            <w:rStyle w:val="Hyperlink"/>
          </w:rPr>
          <w:t xml:space="preserve">5.4</w:t>
        </w:r>
      </w:hyperlink>
      <w:r>
        <w:t xml:space="preserve"> </w:t>
      </w:r>
      <w:r>
        <w:t xml:space="preserve">gives the readers on full-corpus retrieval; HotpotQA was not run on its full corpus.</w:t>
      </w:r>
    </w:p>
    <w:p>
      <w:pPr>
        <w:pStyle w:val="CaptionedFigure"/>
      </w:pPr>
      <w:r>
        <w:drawing>
          <wp:inline>
            <wp:extent cx="2975622" cy="1544387"/>
            <wp:effectExtent b="0" l="0" r="0" t="0"/>
            <wp:docPr descr="" title="" id="110" name="Picture"/>
            <a:graphic>
              <a:graphicData uri="http://schemas.openxmlformats.org/drawingml/2006/picture">
                <pic:pic>
                  <pic:nvPicPr>
                    <pic:cNvPr descr="/home/claude/rag-embed-transfer/paper_figures/out/fig6_full_corpus.png" id="111" name="Picture"/>
                    <pic:cNvPicPr>
                      <a:picLocks noChangeArrowheads="1" noChangeAspect="1"/>
                    </pic:cNvPicPr>
                  </pic:nvPicPr>
                  <pic:blipFill>
                    <a:blip r:embed="rId109"/>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12"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12"/>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13"/>
    <w:bookmarkEnd w:id="114"/>
    <w:bookmarkStart w:id="116"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8</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13</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15"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15"/>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16"/>
    <w:bookmarkStart w:id="117"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eight registered criteria. P3, P4, P5, P7 and P8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r>
        <w:tc>
          <w:tcPr/>
          <w:p>
            <w:pPr>
              <w:pStyle w:val="Compact"/>
              <w:jc w:val="left"/>
            </w:pPr>
            <w:r>
              <w:t xml:space="preserve">P7</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2 dense-encoder ratios; largest upper bound 0.399 (bge-small)</w:t>
            </w:r>
          </w:p>
        </w:tc>
      </w:tr>
      <w:tr>
        <w:tc>
          <w:tcPr/>
          <w:p>
            <w:pPr>
              <w:pStyle w:val="Compact"/>
              <w:jc w:val="left"/>
            </w:pPr>
            <w:r>
              <w:t xml:space="preserve">P7</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2 dense-encoder ratios; largest upper bound 0.483 (bge-small)</w:t>
            </w:r>
          </w:p>
        </w:tc>
      </w:tr>
      <w:tr>
        <w:tc>
          <w:tcPr/>
          <w:p>
            <w:pPr>
              <w:pStyle w:val="Compact"/>
              <w:jc w:val="left"/>
            </w:pPr>
            <w:r>
              <w:t xml:space="preserve">P8</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0.233 in [0.147, 0.356];</w:t>
            </w:r>
            <w:r>
              <w:t xml:space="preserve"> </w:t>
            </w:r>
            <m:oMath>
              <m:sSub>
                <m:e>
                  <m:r>
                    <m:t>T</m:t>
                  </m:r>
                </m:e>
                <m:sub>
                  <m:r>
                    <m:rPr>
                      <m:nor/>
                      <m:sty m:val="p"/>
                    </m:rPr>
                    <m:t>full</m:t>
                  </m:r>
                </m:sub>
              </m:sSub>
              <m:r>
                <m:rPr>
                  <m:sty m:val="p"/>
                </m:rPr>
                <m:t>−</m:t>
              </m:r>
              <m:sSub>
                <m:e>
                  <m:r>
                    <m:t>T</m:t>
                  </m:r>
                </m:e>
                <m:sub>
                  <m:r>
                    <m:rPr>
                      <m:nor/>
                      <m:sty m:val="p"/>
                    </m:rPr>
                    <m:t>sub</m:t>
                  </m:r>
                </m:sub>
              </m:sSub>
            </m:oMath>
            <w:r>
              <w:t xml:space="preserve"> </w:t>
            </w:r>
            <m:oMath>
              <m:r>
                <m:rPr>
                  <m:sty m:val="p"/>
                </m:rPr>
                <m:t>−</m:t>
              </m:r>
            </m:oMath>
            <w:r>
              <w:t xml:space="preserve">0.017 [</w:t>
            </w:r>
            <m:oMath>
              <m:r>
                <m:rPr>
                  <m:sty m:val="p"/>
                </m:rPr>
                <m:t>−</m:t>
              </m:r>
            </m:oMath>
            <w:r>
              <w:t xml:space="preserve">0.123, +0.087]</w:t>
            </w:r>
          </w:p>
        </w:tc>
      </w:tr>
      <w:tr>
        <w:tc>
          <w:tcPr/>
          <w:p>
            <w:pPr>
              <w:pStyle w:val="Compact"/>
              <w:jc w:val="left"/>
            </w:pPr>
            <w:r>
              <w:t xml:space="preserve">P8</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0.195 in [0.053, 0.265];</w:t>
            </w:r>
            <w:r>
              <w:t xml:space="preserve"> </w:t>
            </w:r>
            <m:oMath>
              <m:sSub>
                <m:e>
                  <m:r>
                    <m:t>T</m:t>
                  </m:r>
                </m:e>
                <m:sub>
                  <m:r>
                    <m:rPr>
                      <m:nor/>
                      <m:sty m:val="p"/>
                    </m:rPr>
                    <m:t>full</m:t>
                  </m:r>
                </m:sub>
              </m:sSub>
              <m:r>
                <m:rPr>
                  <m:sty m:val="p"/>
                </m:rPr>
                <m:t>−</m:t>
              </m:r>
              <m:sSub>
                <m:e>
                  <m:r>
                    <m:t>T</m:t>
                  </m:r>
                </m:e>
                <m:sub>
                  <m:r>
                    <m:rPr>
                      <m:nor/>
                      <m:sty m:val="p"/>
                    </m:rPr>
                    <m:t>sub</m:t>
                  </m:r>
                </m:sub>
              </m:sSub>
            </m:oMath>
            <w:r>
              <w:t xml:space="preserve"> </w:t>
            </w:r>
            <w:r>
              <w:t xml:space="preserve">+0.035 [</w:t>
            </w:r>
            <m:oMath>
              <m:r>
                <m:rPr>
                  <m:sty m:val="p"/>
                </m:rPr>
                <m:t>−</m:t>
              </m:r>
            </m:oMath>
            <w:r>
              <w:t xml:space="preserve">0.065, +0.137]</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 P7 (registered before Phase 3): every reportable full-corpus EM ratio of a dense encoder has an upper 95% bound below 1. P8: the full-corpus ratio of e5-base-v2 lies inside its sub-corpus 95% interval.</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17"/>
    <w:bookmarkEnd w:id="118"/>
    <w:bookmarkStart w:id="123" w:name="sec:discussion"/>
    <w:p>
      <w:pPr>
        <w:pStyle w:val="Heading1"/>
      </w:pPr>
      <w:r>
        <w:t xml:space="preserve">Discussion</w:t>
      </w:r>
    </w:p>
    <w:bookmarkStart w:id="119"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registered full-corpus run agreed for the encoders it covered: the ratio of e5-base-v2 moved by −0.02 and +0.04, and both values lay inside the sub-corpus intervals.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0.41–0.55 of dense-encoder misses had an answer string in their top five passages, and the readers may also have known some answers. Hit@5 therefore overstates the difference between encoders that matters for the reader. The full corpus showed the same effect from the other side: it removed about a tenth of the hits of each dense encoder but only 0.20–0.28 EM points per lost hit.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19"/>
    <w:bookmarkStart w:id="120"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20"/>
    <w:bookmarkStart w:id="121"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21"/>
    <w:bookmarkStart w:id="122"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the F1 and containment ratios were higher but still well below 1. The sub-corpus inflates dense retrieval scores, but on the full corpus the order of four retrievers was kept, the e5-base-v2 ratios stayed inside their sub-corpus intervals for both readers, and the dense ratios against BM25 rose only from 0.29–0.34 to 0.33–0.38. This check covers three dense encoders on NQ; the larger encoders and HotpotQA were not run on a full corpus. Answer-bearing hard negatives did not explain the context effect either: P5 held, with a larger drop, on the questions whose hard negatives contained no answer string.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22"/>
    <w:bookmarkEnd w:id="123"/>
    <w:bookmarkStart w:id="130" w:name="sec:limits"/>
    <w:p>
      <w:pPr>
        <w:pStyle w:val="Heading1"/>
      </w:pPr>
      <w:r>
        <w:t xml:space="preserve">Limitations</w:t>
      </w:r>
    </w:p>
    <w:bookmarkStart w:id="124"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24"/>
    <w:bookmarkStart w:id="125" w:name="corpus-and-labels"/>
    <w:p>
      <w:pPr>
        <w:pStyle w:val="Heading4"/>
      </w:pPr>
      <w:r>
        <w:t xml:space="preserve">Corpus and labels</w:t>
      </w:r>
    </w:p>
    <w:p>
      <w:pPr>
        <w:pStyle w:val="FirstParagraph"/>
      </w:pPr>
      <w:r>
        <w:t xml:space="preserve">Except for Phase 3, retrieval ran on 300,000-passage sub-corpora that contain every gold passage and favour the dense encoders relative to BM25. Phase 3 tested the NQ ratios on the full corpus for BM25, MiniLM-L6, bge-small and e5-base-v2 only; bge-base, bge-large, Qwen3-Embedding-0.6B and all of HotpotQA rest on the sub-corpus. NQ relevance labels are sparse. The answer-string check measures how often a miss still holds an answer, but it is lexical: it can count a passage that mentions the answer without supporting it, and it misses paraphrases. The registered blinded human audit of misses was not complete for this version.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25"/>
    <w:bookmarkStart w:id="126" w:name="metrics-and-statistics"/>
    <w:p>
      <w:pPr>
        <w:pStyle w:val="Heading4"/>
      </w:pPr>
      <w:r>
        <w:t xml:space="preserve">Metrics and statistics</w:t>
      </w:r>
    </w:p>
    <w:p>
      <w:pPr>
        <w:pStyle w:val="FirstParagraph"/>
      </w:pPr>
      <w:r>
        <w:t xml:space="preserve">EM is strict. We report F1 and answer containment, but did not judge correctness by hand.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11</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26"/>
    <w:bookmarkStart w:id="127" w:name="context-experiment"/>
    <w:p>
      <w:pPr>
        <w:pStyle w:val="Heading4"/>
      </w:pPr>
      <w:r>
        <w:t xml:space="preserve">Context experiment</w:t>
      </w:r>
    </w:p>
    <w:p>
      <w:pPr>
        <w:pStyle w:val="FirstParagraph"/>
      </w:pPr>
      <w:r>
        <w:t xml:space="preserve">The hard negatives are top-ranked BM25 passages without a gold label, and a third of the questions had at least one that contained an answer string. Excluding those questions made the measured drop larger, so this does not weaken P5, but the subset analysis is a sensitivity check on 333 questions. The experiment used one reader and 500 questions. The random-passage control found no detected difference from the gold passage alone; it does not establish equivalence.</w:t>
      </w:r>
    </w:p>
    <w:bookmarkEnd w:id="127"/>
    <w:bookmarkStart w:id="128"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28"/>
    <w:bookmarkStart w:id="129" w:name="three-study-phases"/>
    <w:p>
      <w:pPr>
        <w:pStyle w:val="Heading4"/>
      </w:pPr>
      <w:r>
        <w:t xml:space="preserve">Three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1 and 2. P7 and P8 were registered after the sub-corpus results were known; they test whether those results replicate, not a new hypothesis. Within-cell comparisons share one environment. For comparisons across phases, 396 of 397 identical prompts gave identical outputs.</w:t>
      </w:r>
    </w:p>
    <w:bookmarkEnd w:id="129"/>
    <w:bookmarkEnd w:id="130"/>
    <w:bookmarkStart w:id="131"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held on the full NQ corpus in a registered rerun (0.15–0.23), and its size depended on the number of passages read (RQ1). The gain came from queries that newly retrieved a gold passage, partly offset by queries that kept or lost one, and many retrieval misses still contained the answer.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on the full NQ corpus the four retrievers tested kept their order and their transfer ratios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Future work should test larger readers, other domains and the multi-hop setting on a full corpus, run the readers on approximate-search results, and judge by hand whether the answer-bearing passages behind retrieval misses support the answer.</w:t>
      </w:r>
    </w:p>
    <w:bookmarkEnd w:id="131"/>
    <w:bookmarkStart w:id="136" w:name="ethics-statement"/>
    <w:p>
      <w:pPr>
        <w:pStyle w:val="Heading1"/>
      </w:pPr>
      <w:r>
        <w:t xml:space="preserve">Ethics statement</w:t>
      </w:r>
    </w:p>
    <w:bookmarkStart w:id="132"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32"/>
    <w:bookmarkStart w:id="133"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33"/>
    <w:bookmarkStart w:id="134"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34"/>
    <w:bookmarkStart w:id="135" w:name="compute"/>
    <w:p>
      <w:pPr>
        <w:pStyle w:val="Heading4"/>
      </w:pPr>
      <w:r>
        <w:t xml:space="preserve">Compute</w:t>
      </w:r>
    </w:p>
    <w:p>
      <w:pPr>
        <w:pStyle w:val="FirstParagraph"/>
      </w:pPr>
      <w:r>
        <w:t xml:space="preserve">All experiments ran on free Kaggle sessions with Tesla T4 GPUs; the study had no monetary cost.</w:t>
      </w:r>
    </w:p>
    <w:bookmarkEnd w:id="135"/>
    <w:bookmarkEnd w:id="136"/>
    <w:bookmarkStart w:id="137"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it will be made public, with an archived DOI,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37"/>
    <w:bookmarkStart w:id="13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38"/>
    <w:bookmarkStart w:id="143"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39"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39"/>
    <w:bookmarkStart w:id="140"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40"/>
    <w:bookmarkStart w:id="141"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41"/>
    <w:bookmarkStart w:id="142"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42"/>
    <w:bookmarkEnd w:id="143"/>
    <w:bookmarkStart w:id="144"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44"/>
    <w:bookmarkStart w:id="147" w:name="app:repro"/>
    <w:p>
      <w:pPr>
        <w:pStyle w:val="Heading1"/>
      </w:pPr>
      <w:r>
        <w:t xml:space="preserve">Models, data and software</w:t>
      </w:r>
    </w:p>
    <w:bookmarkStart w:id="145"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45"/>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3, full-corpus NQ readers (S5)</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46"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46"/>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47"/>
    <w:bookmarkStart w:id="148"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numPr>
          <w:ilvl w:val="0"/>
          <w:numId w:val="1003"/>
        </w:numPr>
      </w:pPr>
      <w:r>
        <w:rPr>
          <w:bCs/>
          <w:b/>
        </w:rPr>
        <w:t xml:space="preserve">v0.4 (17 October 2026).</w:t>
      </w:r>
      <w:r>
        <w:t xml:space="preserve"> </w:t>
      </w:r>
      <w:r>
        <w:t xml:space="preserve">Phase 3: readers on full-corpus NQ retrieval, predictions P7 and P8, the answer-string checks and the human audit of misses, written and committed before the Phase 3 session.</w:t>
      </w:r>
    </w:p>
    <w:p>
      <w:pPr>
        <w:pStyle w:val="FirstParagraph"/>
      </w:pPr>
      <w:r>
        <w:t xml:space="preserve">Pilot numbers were used only for planning and are not reported as results.</w:t>
      </w:r>
    </w:p>
    <w:bookmarkEnd w:id="148"/>
    <w:bookmarkStart w:id="152"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12</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13</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50" name="Picture"/>
            <a:graphic>
              <a:graphicData uri="http://schemas.openxmlformats.org/drawingml/2006/picture">
                <pic:pic>
                  <pic:nvPicPr>
                    <pic:cNvPr descr="/home/claude/rag-embed-transfer/paper_figures/out/fig11_pareto.png" id="151" name="Picture"/>
                    <pic:cNvPicPr>
                      <a:picLocks noChangeArrowheads="1" noChangeAspect="1"/>
                    </pic:cNvPicPr>
                  </pic:nvPicPr>
                  <pic:blipFill>
                    <a:blip r:embed="rId149"/>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6</w:t>
        </w:r>
      </w:hyperlink>
      <w:r>
        <w:rPr>
          <w:iCs/>
          <w:i/>
        </w:rPr>
        <w:t xml:space="preserve">.</w:t>
      </w:r>
    </w:p>
    <w:bookmarkEnd w:id="152"/>
    <w:bookmarkStart w:id="258"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12</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13</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11</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53"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53"/>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54"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4"/>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55"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55"/>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57" name="Picture"/>
            <a:graphic>
              <a:graphicData uri="http://schemas.openxmlformats.org/drawingml/2006/picture">
                <pic:pic>
                  <pic:nvPicPr>
                    <pic:cNvPr descr="/home/claude/rag-embed-transfer/paper_figures/out/fig12_latency.png" id="158" name="Picture"/>
                    <pic:cNvPicPr>
                      <a:picLocks noChangeArrowheads="1" noChangeAspect="1"/>
                    </pic:cNvPicPr>
                  </pic:nvPicPr>
                  <pic:blipFill>
                    <a:blip r:embed="rId156"/>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57" w:name="refs"/>
    <w:bookmarkStart w:id="160"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59">
        <w:r>
          <w:rPr>
            <w:rStyle w:val="Hyperlink"/>
          </w:rPr>
          <w:t xml:space="preserve">https://doi.org/10.18653/v1/2025.acl-long.892</w:t>
        </w:r>
      </w:hyperlink>
      <w:r>
        <w:t xml:space="preserve">.</w:t>
      </w:r>
    </w:p>
    <w:bookmarkEnd w:id="160"/>
    <w:bookmarkStart w:id="161"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61"/>
    <w:bookmarkStart w:id="162"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62"/>
    <w:bookmarkStart w:id="164"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63">
        <w:r>
          <w:rPr>
            <w:rStyle w:val="Hyperlink"/>
          </w:rPr>
          <w:t xml:space="preserve">https://doi.org/10.1177/001316446002000104</w:t>
        </w:r>
      </w:hyperlink>
      <w:r>
        <w:t xml:space="preserve">.</w:t>
      </w:r>
    </w:p>
    <w:bookmarkEnd w:id="164"/>
    <w:bookmarkStart w:id="166"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65">
        <w:r>
          <w:rPr>
            <w:rStyle w:val="Hyperlink"/>
          </w:rPr>
          <w:t xml:space="preserve">https://doi.org/10.18653/v1/2025.emnlp-main.1422</w:t>
        </w:r>
      </w:hyperlink>
      <w:r>
        <w:t xml:space="preserve">.</w:t>
      </w:r>
    </w:p>
    <w:bookmarkEnd w:id="166"/>
    <w:bookmarkStart w:id="168"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67">
        <w:r>
          <w:rPr>
            <w:rStyle w:val="Hyperlink"/>
          </w:rPr>
          <w:t xml:space="preserve">https://doi.org/10.1145/3626772.3657834</w:t>
        </w:r>
      </w:hyperlink>
      <w:r>
        <w:t xml:space="preserve">.</w:t>
      </w:r>
    </w:p>
    <w:bookmarkEnd w:id="168"/>
    <w:bookmarkStart w:id="170"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69">
        <w:r>
          <w:rPr>
            <w:rStyle w:val="Hyperlink"/>
          </w:rPr>
          <w:t xml:space="preserve">https://doi.org/10.18653/v1/p18-1128</w:t>
        </w:r>
      </w:hyperlink>
      <w:r>
        <w:t xml:space="preserve">.</w:t>
      </w:r>
    </w:p>
    <w:bookmarkEnd w:id="170"/>
    <w:bookmarkStart w:id="172"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71">
        <w:r>
          <w:rPr>
            <w:rStyle w:val="Hyperlink"/>
          </w:rPr>
          <w:t xml:space="preserve">https://doi.org/10.1007/978-1-4899-4541-9</w:t>
        </w:r>
      </w:hyperlink>
      <w:r>
        <w:t xml:space="preserve">.</w:t>
      </w:r>
    </w:p>
    <w:bookmarkEnd w:id="172"/>
    <w:bookmarkStart w:id="174"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73">
        <w:r>
          <w:rPr>
            <w:rStyle w:val="Hyperlink"/>
          </w:rPr>
          <w:t xml:space="preserve">https://doi.org/10.18653/v1/2024.eacl-demo.16</w:t>
        </w:r>
      </w:hyperlink>
      <w:r>
        <w:t xml:space="preserve">.</w:t>
      </w:r>
    </w:p>
    <w:bookmarkEnd w:id="174"/>
    <w:bookmarkStart w:id="175"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75"/>
    <w:bookmarkStart w:id="176"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76"/>
    <w:bookmarkStart w:id="178"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w:t>
      </w:r>
      <w:r>
        <w:t xml:space="preserve"> </w:t>
      </w:r>
      <w:hyperlink r:id="rId177">
        <w:r>
          <w:rPr>
            <w:rStyle w:val="Hyperlink"/>
          </w:rPr>
          <w:t xml:space="preserve">https://doi.org/10.1108/DTA-07-2025-0609</w:t>
        </w:r>
      </w:hyperlink>
      <w:r>
        <w:t xml:space="preserve">.</w:t>
      </w:r>
    </w:p>
    <w:bookmarkEnd w:id="178"/>
    <w:bookmarkStart w:id="180"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79">
        <w:r>
          <w:rPr>
            <w:rStyle w:val="Hyperlink"/>
          </w:rPr>
          <w:t xml:space="preserve">https://www.jstor.org/stable/4615733</w:t>
        </w:r>
      </w:hyperlink>
      <w:r>
        <w:t xml:space="preserve">.</w:t>
      </w:r>
    </w:p>
    <w:bookmarkEnd w:id="180"/>
    <w:bookmarkStart w:id="181"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81"/>
    <w:bookmarkStart w:id="183"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82">
        <w:r>
          <w:rPr>
            <w:rStyle w:val="Hyperlink"/>
          </w:rPr>
          <w:t xml:space="preserve">https://doi.org/10.18653/v1/2021.eacl-main.74</w:t>
        </w:r>
      </w:hyperlink>
      <w:r>
        <w:t xml:space="preserve">.</w:t>
      </w:r>
    </w:p>
    <w:bookmarkEnd w:id="183"/>
    <w:bookmarkStart w:id="184"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84"/>
    <w:bookmarkStart w:id="185"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85"/>
    <w:bookmarkStart w:id="187"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86">
        <w:r>
          <w:rPr>
            <w:rStyle w:val="Hyperlink"/>
          </w:rPr>
          <w:t xml:space="preserve">https://doi.org/10.1109/tbdata.2019.2921572</w:t>
        </w:r>
      </w:hyperlink>
      <w:r>
        <w:t xml:space="preserve">.</w:t>
      </w:r>
    </w:p>
    <w:bookmarkEnd w:id="187"/>
    <w:bookmarkStart w:id="189"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88">
        <w:r>
          <w:rPr>
            <w:rStyle w:val="Hyperlink"/>
          </w:rPr>
          <w:t xml:space="preserve">https://doi.org/10.18653/v1/2023.acl-long.307</w:t>
        </w:r>
      </w:hyperlink>
      <w:r>
        <w:t xml:space="preserve">.</w:t>
      </w:r>
    </w:p>
    <w:bookmarkEnd w:id="189"/>
    <w:bookmarkStart w:id="191"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90">
        <w:r>
          <w:rPr>
            <w:rStyle w:val="Hyperlink"/>
          </w:rPr>
          <w:t xml:space="preserve">https://doi.org/10.18653/v1/2020.emnlp-main.550</w:t>
        </w:r>
      </w:hyperlink>
      <w:r>
        <w:t xml:space="preserve">.</w:t>
      </w:r>
    </w:p>
    <w:bookmarkEnd w:id="191"/>
    <w:bookmarkStart w:id="193"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92">
        <w:r>
          <w:rPr>
            <w:rStyle w:val="Hyperlink"/>
          </w:rPr>
          <w:t xml:space="preserve">https://doi.org/10.1162/tacl_a_00276</w:t>
        </w:r>
      </w:hyperlink>
      <w:r>
        <w:t xml:space="preserve">.</w:t>
      </w:r>
    </w:p>
    <w:bookmarkEnd w:id="193"/>
    <w:bookmarkStart w:id="195"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94">
        <w:r>
          <w:rPr>
            <w:rStyle w:val="Hyperlink"/>
          </w:rPr>
          <w:t xml:space="preserve">https://doi.org/10.1145/3600006.3613165</w:t>
        </w:r>
      </w:hyperlink>
      <w:r>
        <w:t xml:space="preserve">.</w:t>
      </w:r>
    </w:p>
    <w:bookmarkEnd w:id="195"/>
    <w:bookmarkStart w:id="197"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w:t>
      </w:r>
      <w:r>
        <w:t xml:space="preserve"> </w:t>
      </w:r>
      <w:hyperlink r:id="rId196">
        <w:r>
          <w:rPr>
            <w:rStyle w:val="Hyperlink"/>
          </w:rPr>
          <w:t xml:space="preserve">https://doi.org/10.2307/2529310</w:t>
        </w:r>
      </w:hyperlink>
      <w:r>
        <w:t xml:space="preserve">.</w:t>
      </w:r>
    </w:p>
    <w:bookmarkEnd w:id="197"/>
    <w:bookmarkStart w:id="199"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198">
        <w:r>
          <w:rPr>
            <w:rStyle w:val="Hyperlink"/>
          </w:rPr>
          <w:t xml:space="preserve">https://doi.org/10.18653/v1/p19-1612</w:t>
        </w:r>
      </w:hyperlink>
      <w:r>
        <w:t xml:space="preserve">.</w:t>
      </w:r>
    </w:p>
    <w:bookmarkEnd w:id="199"/>
    <w:bookmarkStart w:id="200"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arXiv preprint arXiv:2411.07396.</w:t>
      </w:r>
    </w:p>
    <w:bookmarkEnd w:id="200"/>
    <w:bookmarkStart w:id="201"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01"/>
    <w:bookmarkStart w:id="203"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202">
        <w:r>
          <w:rPr>
            <w:rStyle w:val="Hyperlink"/>
          </w:rPr>
          <w:t xml:space="preserve">https://doi.org/10.1093/biomet/73.1.13</w:t>
        </w:r>
      </w:hyperlink>
      <w:r>
        <w:t xml:space="preserve">.</w:t>
      </w:r>
    </w:p>
    <w:bookmarkEnd w:id="203"/>
    <w:bookmarkStart w:id="204"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204"/>
    <w:bookmarkStart w:id="206"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205">
        <w:r>
          <w:rPr>
            <w:rStyle w:val="Hyperlink"/>
          </w:rPr>
          <w:t xml:space="preserve">https://doi.org/10.1162/tacl_a_00638</w:t>
        </w:r>
      </w:hyperlink>
      <w:r>
        <w:t xml:space="preserve">.</w:t>
      </w:r>
    </w:p>
    <w:bookmarkEnd w:id="206"/>
    <w:bookmarkStart w:id="207"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207"/>
    <w:bookmarkStart w:id="209"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 1–32.</w:t>
      </w:r>
      <w:r>
        <w:t xml:space="preserve"> </w:t>
      </w:r>
      <w:hyperlink r:id="rId208">
        <w:r>
          <w:rPr>
            <w:rStyle w:val="Hyperlink"/>
          </w:rPr>
          <w:t xml:space="preserve">https://doi.org/10.1145/3701228</w:t>
        </w:r>
      </w:hyperlink>
      <w:r>
        <w:t xml:space="preserve">.</w:t>
      </w:r>
    </w:p>
    <w:bookmarkEnd w:id="209"/>
    <w:bookmarkStart w:id="211"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10">
        <w:r>
          <w:rPr>
            <w:rStyle w:val="Hyperlink"/>
          </w:rPr>
          <w:t xml:space="preserve">https://doi.org/10.1109/tpami.2018.2889473</w:t>
        </w:r>
      </w:hyperlink>
      <w:r>
        <w:t xml:space="preserve">.</w:t>
      </w:r>
    </w:p>
    <w:bookmarkEnd w:id="211"/>
    <w:bookmarkStart w:id="212"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12"/>
    <w:bookmarkStart w:id="214"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13">
        <w:r>
          <w:rPr>
            <w:rStyle w:val="Hyperlink"/>
          </w:rPr>
          <w:t xml:space="preserve">https://doi.org/10.1007/bf02295996</w:t>
        </w:r>
      </w:hyperlink>
      <w:r>
        <w:t xml:space="preserve">.</w:t>
      </w:r>
    </w:p>
    <w:bookmarkEnd w:id="214"/>
    <w:bookmarkStart w:id="215"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15"/>
    <w:bookmarkStart w:id="217"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16">
        <w:r>
          <w:rPr>
            <w:rStyle w:val="Hyperlink"/>
          </w:rPr>
          <w:t xml:space="preserve">https://doi.org/10.18653/v1/2023.eacl-main.148</w:t>
        </w:r>
      </w:hyperlink>
      <w:r>
        <w:t xml:space="preserve">.</w:t>
      </w:r>
    </w:p>
    <w:bookmarkEnd w:id="217"/>
    <w:bookmarkStart w:id="218"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18"/>
    <w:bookmarkStart w:id="219"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19"/>
    <w:bookmarkStart w:id="221"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20">
        <w:r>
          <w:rPr>
            <w:rStyle w:val="Hyperlink"/>
          </w:rPr>
          <w:t xml:space="preserve">https://doi.org/10.1145/3774904.3792093</w:t>
        </w:r>
      </w:hyperlink>
      <w:r>
        <w:t xml:space="preserve">.</w:t>
      </w:r>
    </w:p>
    <w:bookmarkEnd w:id="221"/>
    <w:bookmarkStart w:id="223"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22">
        <w:r>
          <w:rPr>
            <w:rStyle w:val="Hyperlink"/>
          </w:rPr>
          <w:t xml:space="preserve">https://doi.org/10.18653/v1/2021.naacl-main.200</w:t>
        </w:r>
      </w:hyperlink>
      <w:r>
        <w:t xml:space="preserve">.</w:t>
      </w:r>
    </w:p>
    <w:bookmarkEnd w:id="223"/>
    <w:bookmarkStart w:id="224"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24"/>
    <w:bookmarkStart w:id="226"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25">
        <w:r>
          <w:rPr>
            <w:rStyle w:val="Hyperlink"/>
          </w:rPr>
          <w:t xml:space="preserve">https://doi.org/10.1162/tacl_a_00605</w:t>
        </w:r>
      </w:hyperlink>
      <w:r>
        <w:t xml:space="preserve">.</w:t>
      </w:r>
    </w:p>
    <w:bookmarkEnd w:id="226"/>
    <w:bookmarkStart w:id="228"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27">
        <w:r>
          <w:rPr>
            <w:rStyle w:val="Hyperlink"/>
          </w:rPr>
          <w:t xml:space="preserve">https://doi.org/10.18653/v1/2024.findings-emnlp.449</w:t>
        </w:r>
      </w:hyperlink>
      <w:r>
        <w:t xml:space="preserve">.</w:t>
      </w:r>
    </w:p>
    <w:bookmarkEnd w:id="228"/>
    <w:bookmarkStart w:id="230"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29">
        <w:r>
          <w:rPr>
            <w:rStyle w:val="Hyperlink"/>
          </w:rPr>
          <w:t xml:space="preserve">https://doi.org/10.18653/v1/d19-1410</w:t>
        </w:r>
      </w:hyperlink>
      <w:r>
        <w:t xml:space="preserve">.</w:t>
      </w:r>
    </w:p>
    <w:bookmarkEnd w:id="230"/>
    <w:bookmarkStart w:id="231"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31"/>
    <w:bookmarkStart w:id="233"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32">
        <w:r>
          <w:rPr>
            <w:rStyle w:val="Hyperlink"/>
          </w:rPr>
          <w:t xml:space="preserve">https://doi.org/10.1561/1500000019</w:t>
        </w:r>
      </w:hyperlink>
      <w:r>
        <w:t xml:space="preserve">.</w:t>
      </w:r>
    </w:p>
    <w:bookmarkEnd w:id="233"/>
    <w:bookmarkStart w:id="235"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34">
        <w:r>
          <w:rPr>
            <w:rStyle w:val="Hyperlink"/>
          </w:rPr>
          <w:t xml:space="preserve">https://doi.org/10.18653/v1/2024.naacl-long.20</w:t>
        </w:r>
      </w:hyperlink>
      <w:r>
        <w:t xml:space="preserve">.</w:t>
      </w:r>
    </w:p>
    <w:bookmarkEnd w:id="235"/>
    <w:bookmarkStart w:id="237"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36">
        <w:r>
          <w:rPr>
            <w:rStyle w:val="Hyperlink"/>
          </w:rPr>
          <w:t xml:space="preserve">https://doi.org/10.1145/2641383.2641385</w:t>
        </w:r>
      </w:hyperlink>
      <w:r>
        <w:t xml:space="preserve">.</w:t>
      </w:r>
    </w:p>
    <w:bookmarkEnd w:id="237"/>
    <w:bookmarkStart w:id="239"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38">
        <w:r>
          <w:rPr>
            <w:rStyle w:val="Hyperlink"/>
          </w:rPr>
          <w:t xml:space="preserve">https://doi.org/10.1145/3626772.3657957</w:t>
        </w:r>
      </w:hyperlink>
      <w:r>
        <w:t xml:space="preserve">.</w:t>
      </w:r>
    </w:p>
    <w:bookmarkEnd w:id="239"/>
    <w:bookmarkStart w:id="241"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40">
        <w:r>
          <w:rPr>
            <w:rStyle w:val="Hyperlink"/>
          </w:rPr>
          <w:t xml:space="preserve">https://doi.org/10.1145/3805713.3820424</w:t>
        </w:r>
      </w:hyperlink>
      <w:r>
        <w:t xml:space="preserve">.</w:t>
      </w:r>
    </w:p>
    <w:bookmarkEnd w:id="241"/>
    <w:bookmarkStart w:id="242"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42"/>
    <w:bookmarkStart w:id="244"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43">
        <w:r>
          <w:rPr>
            <w:rStyle w:val="Hyperlink"/>
          </w:rPr>
          <w:t xml:space="preserve">https://doi.org/10.1145/1321440.1321528</w:t>
        </w:r>
      </w:hyperlink>
      <w:r>
        <w:t xml:space="preserve">.</w:t>
      </w:r>
    </w:p>
    <w:bookmarkEnd w:id="244"/>
    <w:bookmarkStart w:id="245" w:name="ref-thakur2021beir"/>
    <w:p>
      <w:pPr>
        <w:pStyle w:val="Bibliography"/>
      </w:pPr>
      <w:r>
        <w:t xml:space="preserve">Thakur, Nandan, Nils Reimers, Andreas Rücklé, Abhishek Srivastava, and Iryna Gurevych. 2021.</w:t>
      </w:r>
      <w:r>
        <w:t xml:space="preserve"> </w:t>
      </w:r>
      <w:r>
        <w:t xml:space="preserve">“</w:t>
      </w:r>
      <w:r>
        <w:t xml:space="preserve">BEIR: A Heterogenous Benchmark for Zero-shot Evaluation of Information Retrieval Models</w:t>
      </w:r>
      <w:r>
        <w:t xml:space="preserve">.”</w:t>
      </w:r>
      <w:r>
        <w:t xml:space="preserve"> </w:t>
      </w:r>
      <w:r>
        <w:t xml:space="preserve">arXiv preprint arXiv:2104.08663.</w:t>
      </w:r>
    </w:p>
    <w:bookmarkEnd w:id="245"/>
    <w:bookmarkStart w:id="246"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46"/>
    <w:bookmarkStart w:id="247"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47"/>
    <w:bookmarkStart w:id="248"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48"/>
    <w:bookmarkStart w:id="250"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49">
        <w:r>
          <w:rPr>
            <w:rStyle w:val="Hyperlink"/>
          </w:rPr>
          <w:t xml:space="preserve">https://doi.org/10.1145/3626772.3657878</w:t>
        </w:r>
      </w:hyperlink>
      <w:r>
        <w:t xml:space="preserve">.</w:t>
      </w:r>
    </w:p>
    <w:bookmarkEnd w:id="250"/>
    <w:bookmarkStart w:id="252"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51">
        <w:r>
          <w:rPr>
            <w:rStyle w:val="Hyperlink"/>
          </w:rPr>
          <w:t xml:space="preserve">https://doi.org/10.18653/v1/d18-1259</w:t>
        </w:r>
      </w:hyperlink>
      <w:r>
        <w:t xml:space="preserve">.</w:t>
      </w:r>
    </w:p>
    <w:bookmarkEnd w:id="252"/>
    <w:bookmarkStart w:id="253"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53"/>
    <w:bookmarkStart w:id="255"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54">
        <w:r>
          <w:rPr>
            <w:rStyle w:val="Hyperlink"/>
          </w:rPr>
          <w:t xml:space="preserve">https://doi.org/10.1145/3802824</w:t>
        </w:r>
      </w:hyperlink>
      <w:r>
        <w:t xml:space="preserve">.</w:t>
      </w:r>
    </w:p>
    <w:bookmarkEnd w:id="255"/>
    <w:bookmarkStart w:id="256"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56"/>
    <w:bookmarkEnd w:id="257"/>
    <w:bookmarkEnd w:id="2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74" Target="media/rId74.pdf" /><Relationship Type="http://schemas.openxmlformats.org/officeDocument/2006/relationships/hyperlink" Id="rId171" Target="https://doi.org/10.1007/978-1-4899-4541-9" TargetMode="External" /><Relationship Type="http://schemas.openxmlformats.org/officeDocument/2006/relationships/hyperlink" Id="rId213" Target="https://doi.org/10.1007/bf02295996" TargetMode="External" /><Relationship Type="http://schemas.openxmlformats.org/officeDocument/2006/relationships/hyperlink" Id="rId202" Target="https://doi.org/10.1093/biomet/73.1.13" TargetMode="External" /><Relationship Type="http://schemas.openxmlformats.org/officeDocument/2006/relationships/hyperlink" Id="rId177" Target="https://doi.org/10.1108/DTA-07-2025-0609" TargetMode="External" /><Relationship Type="http://schemas.openxmlformats.org/officeDocument/2006/relationships/hyperlink" Id="rId186" Target="https://doi.org/10.1109/tbdata.2019.2921572" TargetMode="External" /><Relationship Type="http://schemas.openxmlformats.org/officeDocument/2006/relationships/hyperlink" Id="rId210" Target="https://doi.org/10.1109/tpami.2018.2889473" TargetMode="External" /><Relationship Type="http://schemas.openxmlformats.org/officeDocument/2006/relationships/hyperlink" Id="rId243" Target="https://doi.org/10.1145/1321440.1321528" TargetMode="External" /><Relationship Type="http://schemas.openxmlformats.org/officeDocument/2006/relationships/hyperlink" Id="rId236" Target="https://doi.org/10.1145/2641383.2641385" TargetMode="External" /><Relationship Type="http://schemas.openxmlformats.org/officeDocument/2006/relationships/hyperlink" Id="rId194" Target="https://doi.org/10.1145/3600006.3613165" TargetMode="External" /><Relationship Type="http://schemas.openxmlformats.org/officeDocument/2006/relationships/hyperlink" Id="rId167" Target="https://doi.org/10.1145/3626772.3657834" TargetMode="External" /><Relationship Type="http://schemas.openxmlformats.org/officeDocument/2006/relationships/hyperlink" Id="rId249" Target="https://doi.org/10.1145/3626772.3657878" TargetMode="External" /><Relationship Type="http://schemas.openxmlformats.org/officeDocument/2006/relationships/hyperlink" Id="rId238" Target="https://doi.org/10.1145/3626772.3657957" TargetMode="External" /><Relationship Type="http://schemas.openxmlformats.org/officeDocument/2006/relationships/hyperlink" Id="rId208" Target="https://doi.org/10.1145/3701228" TargetMode="External" /><Relationship Type="http://schemas.openxmlformats.org/officeDocument/2006/relationships/hyperlink" Id="rId220" Target="https://doi.org/10.1145/3774904.3792093" TargetMode="External" /><Relationship Type="http://schemas.openxmlformats.org/officeDocument/2006/relationships/hyperlink" Id="rId254" Target="https://doi.org/10.1145/3802824" TargetMode="External" /><Relationship Type="http://schemas.openxmlformats.org/officeDocument/2006/relationships/hyperlink" Id="rId240" Target="https://doi.org/10.1145/3805713.3820424" TargetMode="External" /><Relationship Type="http://schemas.openxmlformats.org/officeDocument/2006/relationships/hyperlink" Id="rId192" Target="https://doi.org/10.1162/tacl_a_00276" TargetMode="External" /><Relationship Type="http://schemas.openxmlformats.org/officeDocument/2006/relationships/hyperlink" Id="rId225" Target="https://doi.org/10.1162/tacl_a_00605" TargetMode="External" /><Relationship Type="http://schemas.openxmlformats.org/officeDocument/2006/relationships/hyperlink" Id="rId205" Target="https://doi.org/10.1162/tacl_a_00638" TargetMode="External" /><Relationship Type="http://schemas.openxmlformats.org/officeDocument/2006/relationships/hyperlink" Id="rId163" Target="https://doi.org/10.1177/001316446002000104" TargetMode="External" /><Relationship Type="http://schemas.openxmlformats.org/officeDocument/2006/relationships/hyperlink" Id="rId232" Target="https://doi.org/10.1561/1500000019" TargetMode="External" /><Relationship Type="http://schemas.openxmlformats.org/officeDocument/2006/relationships/hyperlink" Id="rId190" Target="https://doi.org/10.18653/v1/2020.emnlp-main.550" TargetMode="External" /><Relationship Type="http://schemas.openxmlformats.org/officeDocument/2006/relationships/hyperlink" Id="rId182" Target="https://doi.org/10.18653/v1/2021.eacl-main.74" TargetMode="External" /><Relationship Type="http://schemas.openxmlformats.org/officeDocument/2006/relationships/hyperlink" Id="rId222" Target="https://doi.org/10.18653/v1/2021.naacl-main.200" TargetMode="External" /><Relationship Type="http://schemas.openxmlformats.org/officeDocument/2006/relationships/hyperlink" Id="rId188" Target="https://doi.org/10.18653/v1/2023.acl-long.307" TargetMode="External" /><Relationship Type="http://schemas.openxmlformats.org/officeDocument/2006/relationships/hyperlink" Id="rId216" Target="https://doi.org/10.18653/v1/2023.eacl-main.148" TargetMode="External" /><Relationship Type="http://schemas.openxmlformats.org/officeDocument/2006/relationships/hyperlink" Id="rId173" Target="https://doi.org/10.18653/v1/2024.eacl-demo.16" TargetMode="External" /><Relationship Type="http://schemas.openxmlformats.org/officeDocument/2006/relationships/hyperlink" Id="rId227" Target="https://doi.org/10.18653/v1/2024.findings-emnlp.449" TargetMode="External" /><Relationship Type="http://schemas.openxmlformats.org/officeDocument/2006/relationships/hyperlink" Id="rId234" Target="https://doi.org/10.18653/v1/2024.naacl-long.20" TargetMode="External" /><Relationship Type="http://schemas.openxmlformats.org/officeDocument/2006/relationships/hyperlink" Id="rId159" Target="https://doi.org/10.18653/v1/2025.acl-long.892" TargetMode="External" /><Relationship Type="http://schemas.openxmlformats.org/officeDocument/2006/relationships/hyperlink" Id="rId165" Target="https://doi.org/10.18653/v1/2025.emnlp-main.1422" TargetMode="External" /><Relationship Type="http://schemas.openxmlformats.org/officeDocument/2006/relationships/hyperlink" Id="rId251" Target="https://doi.org/10.18653/v1/d18-1259" TargetMode="External" /><Relationship Type="http://schemas.openxmlformats.org/officeDocument/2006/relationships/hyperlink" Id="rId229" Target="https://doi.org/10.18653/v1/d19-1410" TargetMode="External" /><Relationship Type="http://schemas.openxmlformats.org/officeDocument/2006/relationships/hyperlink" Id="rId169" Target="https://doi.org/10.18653/v1/p18-1128" TargetMode="External" /><Relationship Type="http://schemas.openxmlformats.org/officeDocument/2006/relationships/hyperlink" Id="rId198" Target="https://doi.org/10.18653/v1/p19-1612" TargetMode="External" /><Relationship Type="http://schemas.openxmlformats.org/officeDocument/2006/relationships/hyperlink" Id="rId196" Target="https://doi.org/10.2307/2529310" TargetMode="External" /><Relationship Type="http://schemas.openxmlformats.org/officeDocument/2006/relationships/hyperlink" Id="rId179"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71" Target="https://doi.org/10.1007/978-1-4899-4541-9" TargetMode="External" /><Relationship Type="http://schemas.openxmlformats.org/officeDocument/2006/relationships/hyperlink" Id="rId213" Target="https://doi.org/10.1007/bf02295996" TargetMode="External" /><Relationship Type="http://schemas.openxmlformats.org/officeDocument/2006/relationships/hyperlink" Id="rId202" Target="https://doi.org/10.1093/biomet/73.1.13" TargetMode="External" /><Relationship Type="http://schemas.openxmlformats.org/officeDocument/2006/relationships/hyperlink" Id="rId177" Target="https://doi.org/10.1108/DTA-07-2025-0609" TargetMode="External" /><Relationship Type="http://schemas.openxmlformats.org/officeDocument/2006/relationships/hyperlink" Id="rId186" Target="https://doi.org/10.1109/tbdata.2019.2921572" TargetMode="External" /><Relationship Type="http://schemas.openxmlformats.org/officeDocument/2006/relationships/hyperlink" Id="rId210" Target="https://doi.org/10.1109/tpami.2018.2889473" TargetMode="External" /><Relationship Type="http://schemas.openxmlformats.org/officeDocument/2006/relationships/hyperlink" Id="rId243" Target="https://doi.org/10.1145/1321440.1321528" TargetMode="External" /><Relationship Type="http://schemas.openxmlformats.org/officeDocument/2006/relationships/hyperlink" Id="rId236" Target="https://doi.org/10.1145/2641383.2641385" TargetMode="External" /><Relationship Type="http://schemas.openxmlformats.org/officeDocument/2006/relationships/hyperlink" Id="rId194" Target="https://doi.org/10.1145/3600006.3613165" TargetMode="External" /><Relationship Type="http://schemas.openxmlformats.org/officeDocument/2006/relationships/hyperlink" Id="rId167" Target="https://doi.org/10.1145/3626772.3657834" TargetMode="External" /><Relationship Type="http://schemas.openxmlformats.org/officeDocument/2006/relationships/hyperlink" Id="rId249" Target="https://doi.org/10.1145/3626772.3657878" TargetMode="External" /><Relationship Type="http://schemas.openxmlformats.org/officeDocument/2006/relationships/hyperlink" Id="rId238" Target="https://doi.org/10.1145/3626772.3657957" TargetMode="External" /><Relationship Type="http://schemas.openxmlformats.org/officeDocument/2006/relationships/hyperlink" Id="rId208" Target="https://doi.org/10.1145/3701228" TargetMode="External" /><Relationship Type="http://schemas.openxmlformats.org/officeDocument/2006/relationships/hyperlink" Id="rId220" Target="https://doi.org/10.1145/3774904.3792093" TargetMode="External" /><Relationship Type="http://schemas.openxmlformats.org/officeDocument/2006/relationships/hyperlink" Id="rId254" Target="https://doi.org/10.1145/3802824" TargetMode="External" /><Relationship Type="http://schemas.openxmlformats.org/officeDocument/2006/relationships/hyperlink" Id="rId240" Target="https://doi.org/10.1145/3805713.3820424" TargetMode="External" /><Relationship Type="http://schemas.openxmlformats.org/officeDocument/2006/relationships/hyperlink" Id="rId192" Target="https://doi.org/10.1162/tacl_a_00276" TargetMode="External" /><Relationship Type="http://schemas.openxmlformats.org/officeDocument/2006/relationships/hyperlink" Id="rId225" Target="https://doi.org/10.1162/tacl_a_00605" TargetMode="External" /><Relationship Type="http://schemas.openxmlformats.org/officeDocument/2006/relationships/hyperlink" Id="rId205" Target="https://doi.org/10.1162/tacl_a_00638" TargetMode="External" /><Relationship Type="http://schemas.openxmlformats.org/officeDocument/2006/relationships/hyperlink" Id="rId163" Target="https://doi.org/10.1177/001316446002000104" TargetMode="External" /><Relationship Type="http://schemas.openxmlformats.org/officeDocument/2006/relationships/hyperlink" Id="rId232" Target="https://doi.org/10.1561/1500000019" TargetMode="External" /><Relationship Type="http://schemas.openxmlformats.org/officeDocument/2006/relationships/hyperlink" Id="rId190" Target="https://doi.org/10.18653/v1/2020.emnlp-main.550" TargetMode="External" /><Relationship Type="http://schemas.openxmlformats.org/officeDocument/2006/relationships/hyperlink" Id="rId182" Target="https://doi.org/10.18653/v1/2021.eacl-main.74" TargetMode="External" /><Relationship Type="http://schemas.openxmlformats.org/officeDocument/2006/relationships/hyperlink" Id="rId222" Target="https://doi.org/10.18653/v1/2021.naacl-main.200" TargetMode="External" /><Relationship Type="http://schemas.openxmlformats.org/officeDocument/2006/relationships/hyperlink" Id="rId188" Target="https://doi.org/10.18653/v1/2023.acl-long.307" TargetMode="External" /><Relationship Type="http://schemas.openxmlformats.org/officeDocument/2006/relationships/hyperlink" Id="rId216" Target="https://doi.org/10.18653/v1/2023.eacl-main.148" TargetMode="External" /><Relationship Type="http://schemas.openxmlformats.org/officeDocument/2006/relationships/hyperlink" Id="rId173" Target="https://doi.org/10.18653/v1/2024.eacl-demo.16" TargetMode="External" /><Relationship Type="http://schemas.openxmlformats.org/officeDocument/2006/relationships/hyperlink" Id="rId227" Target="https://doi.org/10.18653/v1/2024.findings-emnlp.449" TargetMode="External" /><Relationship Type="http://schemas.openxmlformats.org/officeDocument/2006/relationships/hyperlink" Id="rId234" Target="https://doi.org/10.18653/v1/2024.naacl-long.20" TargetMode="External" /><Relationship Type="http://schemas.openxmlformats.org/officeDocument/2006/relationships/hyperlink" Id="rId159" Target="https://doi.org/10.18653/v1/2025.acl-long.892" TargetMode="External" /><Relationship Type="http://schemas.openxmlformats.org/officeDocument/2006/relationships/hyperlink" Id="rId165" Target="https://doi.org/10.18653/v1/2025.emnlp-main.1422" TargetMode="External" /><Relationship Type="http://schemas.openxmlformats.org/officeDocument/2006/relationships/hyperlink" Id="rId251" Target="https://doi.org/10.18653/v1/d18-1259" TargetMode="External" /><Relationship Type="http://schemas.openxmlformats.org/officeDocument/2006/relationships/hyperlink" Id="rId229" Target="https://doi.org/10.18653/v1/d19-1410" TargetMode="External" /><Relationship Type="http://schemas.openxmlformats.org/officeDocument/2006/relationships/hyperlink" Id="rId169" Target="https://doi.org/10.18653/v1/p18-1128" TargetMode="External" /><Relationship Type="http://schemas.openxmlformats.org/officeDocument/2006/relationships/hyperlink" Id="rId198" Target="https://doi.org/10.18653/v1/p19-1612" TargetMode="External" /><Relationship Type="http://schemas.openxmlformats.org/officeDocument/2006/relationships/hyperlink" Id="rId196" Target="https://doi.org/10.2307/2529310" TargetMode="External" /><Relationship Type="http://schemas.openxmlformats.org/officeDocument/2006/relationships/hyperlink" Id="rId179"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2026-10-17T23:57:18Z</dcterms:created>
  <dcterms:modified xsi:type="dcterms:W3CDTF">2026-10-17T23:57:18Z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predictions before the second and third study phases. The transfer ratio T divides the exact-match (EM) gain over a small baseline encoder by the Hit@5 gain on the same queries. On NQ, T of the five dense encoders was 0.16–0.27 (largest upper 95% bound 0.455). Rerun on the full 2.68-million-passage corpus with both readers, the dense ratios were 0.15–0.23, and the ratio of e5-base-v2 lay inside its sub-corpus interval. T stayed well below 1 under F1, answer containment and a BM25 baseline, but was higher when the reader saw one passage. Queries that newly retrieved a gold passage gained EM, queries that kept or lost a hit gave some back, and 0.41–0.55 of dense-encoder Hit@5 misses still contained an answer string.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