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95.png" ContentType="image/png"/>
  <Override PartName="/word/media/rId140.png" ContentType="image/png"/>
  <Override PartName="/word/media/rId66.png" ContentType="image/png"/>
  <Override PartName="/word/media/rId63.png" ContentType="image/png"/>
  <Override PartName="/word/media/rId77.png" ContentType="image/png"/>
  <Override PartName="/word/media/rId81.png" ContentType="image/png"/>
  <Override PartName="/word/media/rId90.png" ContentType="image/png"/>
  <Override PartName="/word/media/rId100.png" ContentType="image/png"/>
  <Override PartName="/word/media/rId27.png" ContentType="image/png"/>
  <Override PartName="/word/media/rId40.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retrieval gain reaches the answer? Transfer ratios and cost of open embedding models in retrieval-augmented question answering</w:t>
      </w:r>
    </w:p>
    <w:p>
      <w:pPr>
        <w:pStyle w:val="AbstractTitle"/>
      </w:pPr>
      <w:r>
        <w:t xml:space="preserve">Abstract</w:t>
      </w:r>
    </w:p>
    <w:p>
      <w:pPr>
        <w:pStyle w:val="Abstract"/>
      </w:pPr>
      <w:r>
        <w:t xml:space="preserve">Teams</w:t>
      </w:r>
      <w:r>
        <w:t xml:space="preserve"> </w:t>
      </w:r>
      <w:r>
        <w:t xml:space="preserve">that</w:t>
      </w:r>
      <w:r>
        <w:t xml:space="preserve"> </w:t>
      </w:r>
      <w:r>
        <w:t xml:space="preserve">build</w:t>
      </w:r>
      <w:r>
        <w:t xml:space="preserve"> </w:t>
      </w:r>
      <w:r>
        <w:t xml:space="preserve">retrieval-augmented</w:t>
      </w:r>
      <w:r>
        <w:t xml:space="preserve"> </w:t>
      </w:r>
      <w:r>
        <w:t xml:space="preserve">generation</w:t>
      </w:r>
      <w:r>
        <w:t xml:space="preserve"> </w:t>
      </w:r>
      <w:r>
        <w:t xml:space="preserve">(RAG)</w:t>
      </w:r>
      <w:r>
        <w:t xml:space="preserve"> </w:t>
      </w:r>
      <w:r>
        <w:t xml:space="preserve">systems</w:t>
      </w:r>
      <w:r>
        <w:t xml:space="preserve"> </w:t>
      </w:r>
      <w:r>
        <w:t xml:space="preserve">often</w:t>
      </w:r>
      <w:r>
        <w:t xml:space="preserve"> </w:t>
      </w:r>
      <w:r>
        <w:t xml:space="preserve">pick</w:t>
      </w:r>
      <w:r>
        <w:t xml:space="preserve"> </w:t>
      </w:r>
      <w:r>
        <w:t xml:space="preserve">an</w:t>
      </w:r>
      <w:r>
        <w:t xml:space="preserve"> </w:t>
      </w:r>
      <w:r>
        <w:t xml:space="preserve">embedding</w:t>
      </w:r>
      <w:r>
        <w:t xml:space="preserve"> </w:t>
      </w:r>
      <w:r>
        <w:t xml:space="preserve">model</w:t>
      </w:r>
      <w:r>
        <w:t xml:space="preserve"> </w:t>
      </w:r>
      <w:r>
        <w:t xml:space="preserve">by</w:t>
      </w:r>
      <w:r>
        <w:t xml:space="preserve"> </w:t>
      </w:r>
      <w:r>
        <w:t xml:space="preserve">its</w:t>
      </w:r>
      <w:r>
        <w:t xml:space="preserve"> </w:t>
      </w:r>
      <w:r>
        <w:t xml:space="preserve">retrieval</w:t>
      </w:r>
      <w:r>
        <w:t xml:space="preserve"> </w:t>
      </w:r>
      <w:r>
        <w:t xml:space="preserve">score.</w:t>
      </w:r>
      <w:r>
        <w:t xml:space="preserve"> </w:t>
      </w:r>
      <w:r>
        <w:t xml:space="preserve">We</w:t>
      </w:r>
      <w:r>
        <w:t xml:space="preserve"> </w:t>
      </w:r>
      <w:r>
        <w:t xml:space="preserve">measured</w:t>
      </w:r>
      <w:r>
        <w:t xml:space="preserve"> </w:t>
      </w:r>
      <w:r>
        <w:t xml:space="preserve">how</w:t>
      </w:r>
      <w:r>
        <w:t xml:space="preserve"> </w:t>
      </w:r>
      <w:r>
        <w:t xml:space="preserve">much</w:t>
      </w:r>
      <w:r>
        <w:t xml:space="preserve"> </w:t>
      </w:r>
      <w:r>
        <w:t xml:space="preserve">of</w:t>
      </w:r>
      <w:r>
        <w:t xml:space="preserve"> </w:t>
      </w:r>
      <w:r>
        <w:t xml:space="preserve">a</w:t>
      </w:r>
      <w:r>
        <w:t xml:space="preserve"> </w:t>
      </w:r>
      <w:r>
        <w:t xml:space="preserve">retrieval</w:t>
      </w:r>
      <w:r>
        <w:t xml:space="preserve"> </w:t>
      </w:r>
      <w:r>
        <w:t xml:space="preserve">gain</w:t>
      </w:r>
      <w:r>
        <w:t xml:space="preserve"> </w:t>
      </w:r>
      <w:r>
        <w:t xml:space="preserve">reaches</w:t>
      </w:r>
      <w:r>
        <w:t xml:space="preserve"> </w:t>
      </w:r>
      <w:r>
        <w:t xml:space="preserve">the</w:t>
      </w:r>
      <w:r>
        <w:t xml:space="preserve"> </w:t>
      </w:r>
      <w:r>
        <w:t xml:space="preserve">answer,</w:t>
      </w:r>
      <w:r>
        <w:t xml:space="preserve"> </w:t>
      </w:r>
      <w:r>
        <w:t xml:space="preserve">and</w:t>
      </w:r>
      <w:r>
        <w:t xml:space="preserve"> </w:t>
      </w:r>
      <w:r>
        <w:t xml:space="preserve">at</w:t>
      </w:r>
      <w:r>
        <w:t xml:space="preserve"> </w:t>
      </w:r>
      <w:r>
        <w:t xml:space="preserve">what</w:t>
      </w:r>
      <w:r>
        <w:t xml:space="preserve"> </w:t>
      </w:r>
      <w:r>
        <w:t xml:space="preserve">cost,</w:t>
      </w:r>
      <w:r>
        <w:t xml:space="preserve"> </w:t>
      </w:r>
      <w:r>
        <w:t xml:space="preserve">for</w:t>
      </w:r>
      <w:r>
        <w:t xml:space="preserve"> </w:t>
      </w:r>
      <w:r>
        <w:t xml:space="preserve">open</w:t>
      </w:r>
      <w:r>
        <w:t xml:space="preserve"> </w:t>
      </w:r>
      <w:r>
        <w:t xml:space="preserve">models</w:t>
      </w:r>
      <w:r>
        <w:t xml:space="preserve"> </w:t>
      </w:r>
      <w:r>
        <w:t xml:space="preserve">on</w:t>
      </w:r>
      <w:r>
        <w:t xml:space="preserve"> </w:t>
      </w:r>
      <w:r>
        <w:t xml:space="preserve">free</w:t>
      </w:r>
      <w:r>
        <w:t xml:space="preserve"> </w:t>
      </w:r>
      <w:r>
        <w:t xml:space="preserve">cloud</w:t>
      </w:r>
      <w:r>
        <w:t xml:space="preserve"> </w:t>
      </w:r>
      <w:r>
        <w:t xml:space="preserve">GPUs.</w:t>
      </w:r>
      <w:r>
        <w:t xml:space="preserve"> </w:t>
      </w:r>
      <w:r>
        <w:t xml:space="preserve">We</w:t>
      </w:r>
      <w:r>
        <w:t xml:space="preserve"> </w:t>
      </w:r>
      <w:r>
        <w:t xml:space="preserve">compared</w:t>
      </w:r>
      <w:r>
        <w:t xml:space="preserve"> </w:t>
      </w:r>
      <w:r>
        <w:t xml:space="preserve">BM25</w:t>
      </w:r>
      <w:r>
        <w:t xml:space="preserve"> </w:t>
      </w:r>
      <w:r>
        <w:t xml:space="preserve">and</w:t>
      </w:r>
      <w:r>
        <w:t xml:space="preserve"> </w:t>
      </w:r>
      <w:r>
        <w:t xml:space="preserve">six</w:t>
      </w:r>
      <w:r>
        <w:t xml:space="preserve"> </w:t>
      </w:r>
      <w:r>
        <w:t xml:space="preserve">open</w:t>
      </w:r>
      <w:r>
        <w:t xml:space="preserve"> </w:t>
      </w:r>
      <w:r>
        <w:t xml:space="preserve">embedding</w:t>
      </w:r>
      <w:r>
        <w:t xml:space="preserve"> </w:t>
      </w:r>
      <w:r>
        <w:t xml:space="preserve">models</w:t>
      </w:r>
      <w:r>
        <w:t xml:space="preserve"> </w:t>
      </w:r>
      <w:r>
        <w:t xml:space="preserve">(23–596M</w:t>
      </w:r>
      <w:r>
        <w:t xml:space="preserve"> </w:t>
      </w:r>
      <w:r>
        <w:t xml:space="preserve">parameters)</w:t>
      </w:r>
      <w:r>
        <w:t xml:space="preserve"> </w:t>
      </w:r>
      <w:r>
        <w:t xml:space="preserve">on</w:t>
      </w:r>
      <w:r>
        <w:t xml:space="preserve"> </w:t>
      </w:r>
      <w:r>
        <w:t xml:space="preserve">Natural</w:t>
      </w:r>
      <w:r>
        <w:t xml:space="preserve"> </w:t>
      </w:r>
      <w:r>
        <w:t xml:space="preserve">Questions</w:t>
      </w:r>
      <w:r>
        <w:t xml:space="preserve"> </w:t>
      </w:r>
      <w:r>
        <w:t xml:space="preserve">(NQ,</w:t>
      </w:r>
      <w:r>
        <w:t xml:space="preserve"> </w:t>
      </w:r>
      <w:r>
        <w:t xml:space="preserve">2,255</w:t>
      </w:r>
      <w:r>
        <w:t xml:space="preserve"> </w:t>
      </w:r>
      <w:r>
        <w:t xml:space="preserve">queries)</w:t>
      </w:r>
      <w:r>
        <w:t xml:space="preserve"> </w:t>
      </w:r>
      <w:r>
        <w:t xml:space="preserve">and</w:t>
      </w:r>
      <w:r>
        <w:t xml:space="preserve"> </w:t>
      </w:r>
      <w:r>
        <w:t xml:space="preserve">HotpotQA</w:t>
      </w:r>
      <w:r>
        <w:t xml:space="preserve"> </w:t>
      </w:r>
      <w:r>
        <w:t xml:space="preserve">(2,000</w:t>
      </w:r>
      <w:r>
        <w:t xml:space="preserve"> </w:t>
      </w:r>
      <w:r>
        <w:t xml:space="preserve">queries),</w:t>
      </w:r>
      <w:r>
        <w:t xml:space="preserve"> </w:t>
      </w:r>
      <w:r>
        <w:t xml:space="preserve">each</w:t>
      </w:r>
      <w:r>
        <w:t xml:space="preserve"> </w:t>
      </w:r>
      <w:r>
        <w:t xml:space="preserve">read</w:t>
      </w:r>
      <w:r>
        <w:t xml:space="preserve"> </w:t>
      </w:r>
      <w:r>
        <w:t xml:space="preserve">by</w:t>
      </w:r>
      <w:r>
        <w:t xml:space="preserve"> </w:t>
      </w:r>
      <w:r>
        <w:t xml:space="preserve">two</w:t>
      </w:r>
      <w:r>
        <w:t xml:space="preserve"> </w:t>
      </w:r>
      <w:r>
        <w:t xml:space="preserve">quantised</w:t>
      </w:r>
      <w:r>
        <w:t xml:space="preserve"> </w:t>
      </w:r>
      <w:r>
        <w:t xml:space="preserve">7–8B</w:t>
      </w:r>
      <w:r>
        <w:t xml:space="preserve"> </w:t>
      </w:r>
      <w:r>
        <w:t xml:space="preserve">models.</w:t>
      </w:r>
      <w:r>
        <w:t xml:space="preserve"> </w:t>
      </w:r>
      <w:r>
        <w:t xml:space="preserve">The</w:t>
      </w:r>
      <w:r>
        <w:t xml:space="preserve"> </w:t>
      </w:r>
      <w:r>
        <w:t xml:space="preserve">transfer</w:t>
      </w:r>
      <w:r>
        <w:t xml:space="preserve"> </w:t>
      </w:r>
      <w:r>
        <w:t xml:space="preserve">ratio</w:t>
      </w:r>
      <w:r>
        <w:t xml:space="preserve"> </w:t>
      </w:r>
      <m:oMath>
        <m:r>
          <m:t>T</m:t>
        </m:r>
      </m:oMath>
      <w:r>
        <w:t xml:space="preserve"> </w:t>
      </w:r>
      <w:r>
        <w:t xml:space="preserve">divides</w:t>
      </w:r>
      <w:r>
        <w:t xml:space="preserve"> </w:t>
      </w:r>
      <w:r>
        <w:t xml:space="preserve">the</w:t>
      </w:r>
      <w:r>
        <w:t xml:space="preserve"> </w:t>
      </w:r>
      <w:r>
        <w:t xml:space="preserve">exact-match</w:t>
      </w:r>
      <w:r>
        <w:t xml:space="preserve"> </w:t>
      </w:r>
      <w:r>
        <w:t xml:space="preserve">(EM)</w:t>
      </w:r>
      <w:r>
        <w:t xml:space="preserve"> </w:t>
      </w:r>
      <w:r>
        <w:t xml:space="preserve">gain</w:t>
      </w:r>
      <w:r>
        <w:t xml:space="preserve"> </w:t>
      </w:r>
      <w:r>
        <w:t xml:space="preserve">by</w:t>
      </w:r>
      <w:r>
        <w:t xml:space="preserve"> </w:t>
      </w:r>
      <w:r>
        <w:t xml:space="preserve">the</w:t>
      </w:r>
      <w:r>
        <w:t xml:space="preserve"> </w:t>
      </w:r>
      <w:r>
        <w:t xml:space="preserve">Hit@5</w:t>
      </w:r>
      <w:r>
        <w:t xml:space="preserve"> </w:t>
      </w:r>
      <w:r>
        <w:t xml:space="preserve">gain</w:t>
      </w:r>
      <w:r>
        <w:t xml:space="preserve"> </w:t>
      </w:r>
      <w:r>
        <w:t xml:space="preserve">over</w:t>
      </w:r>
      <w:r>
        <w:t xml:space="preserve"> </w:t>
      </w:r>
      <w:r>
        <w:t xml:space="preserve">a</w:t>
      </w:r>
      <w:r>
        <w:t xml:space="preserve"> </w:t>
      </w:r>
      <w:r>
        <w:t xml:space="preserve">small</w:t>
      </w:r>
      <w:r>
        <w:t xml:space="preserve"> </w:t>
      </w:r>
      <w:r>
        <w:t xml:space="preserve">baseline</w:t>
      </w:r>
      <w:r>
        <w:t xml:space="preserve"> </w:t>
      </w:r>
      <w:r>
        <w:t xml:space="preserve">encoder</w:t>
      </w:r>
      <w:r>
        <w:t xml:space="preserve"> </w:t>
      </w:r>
      <w:r>
        <w:t xml:space="preserve">on</w:t>
      </w:r>
      <w:r>
        <w:t xml:space="preserve"> </w:t>
      </w:r>
      <w:r>
        <w:t xml:space="preserve">the</w:t>
      </w:r>
      <w:r>
        <w:t xml:space="preserve"> </w:t>
      </w:r>
      <w:r>
        <w:t xml:space="preserve">same</w:t>
      </w:r>
      <w:r>
        <w:t xml:space="preserve"> </w:t>
      </w:r>
      <w:r>
        <w:t xml:space="preserve">queries.</w:t>
      </w:r>
      <w:r>
        <w:t xml:space="preserve"> </w:t>
      </w:r>
      <w:r>
        <w:t xml:space="preserve">We</w:t>
      </w:r>
      <w:r>
        <w:t xml:space="preserve"> </w:t>
      </w:r>
      <w:r>
        <w:t xml:space="preserve">report</w:t>
      </w:r>
      <w:r>
        <w:t xml:space="preserve"> </w:t>
      </w:r>
      <w:r>
        <w:t xml:space="preserve">bootstrap</w:t>
      </w:r>
      <w:r>
        <w:t xml:space="preserve"> </w:t>
      </w:r>
      <w:r>
        <w:t xml:space="preserve">intervals,</w:t>
      </w:r>
      <w:r>
        <w:t xml:space="preserve"> </w:t>
      </w:r>
      <w:r>
        <w:t xml:space="preserve">and</w:t>
      </w:r>
      <w:r>
        <w:t xml:space="preserve"> </w:t>
      </w:r>
      <w:r>
        <w:t xml:space="preserve">we</w:t>
      </w:r>
      <w:r>
        <w:t xml:space="preserve"> </w:t>
      </w:r>
      <w:r>
        <w:t xml:space="preserve">registered</w:t>
      </w:r>
      <w:r>
        <w:t xml:space="preserve"> </w:t>
      </w:r>
      <w:r>
        <w:t xml:space="preserve">six</w:t>
      </w:r>
      <w:r>
        <w:t xml:space="preserve"> </w:t>
      </w:r>
      <w:r>
        <w:t xml:space="preserve">predictions</w:t>
      </w:r>
      <w:r>
        <w:t xml:space="preserve"> </w:t>
      </w:r>
      <w:r>
        <w:t xml:space="preserve">before</w:t>
      </w:r>
      <w:r>
        <w:t xml:space="preserve"> </w:t>
      </w:r>
      <w:r>
        <w:t xml:space="preserve">the</w:t>
      </w:r>
      <w:r>
        <w:t xml:space="preserve"> </w:t>
      </w:r>
      <w:r>
        <w:t xml:space="preserve">second</w:t>
      </w:r>
      <w:r>
        <w:t xml:space="preserve"> </w:t>
      </w:r>
      <w:r>
        <w:t xml:space="preserve">phase</w:t>
      </w:r>
      <w:r>
        <w:t xml:space="preserve"> </w:t>
      </w:r>
      <w:r>
        <w:t xml:space="preserve">of</w:t>
      </w:r>
      <w:r>
        <w:t xml:space="preserve"> </w:t>
      </w:r>
      <w:r>
        <w:t xml:space="preserve">the</w:t>
      </w:r>
      <w:r>
        <w:t xml:space="preserve"> </w:t>
      </w:r>
      <w:r>
        <w:t xml:space="preserve">study.</w:t>
      </w:r>
      <w:r>
        <w:t xml:space="preserve"> </w:t>
      </w:r>
      <w:r>
        <w:t xml:space="preserve">On</w:t>
      </w:r>
      <w:r>
        <w:t xml:space="preserve"> </w:t>
      </w:r>
      <w:r>
        <w:t xml:space="preserve">NQ,</w:t>
      </w:r>
      <w:r>
        <w:t xml:space="preserve"> </w:t>
      </w:r>
      <m:oMath>
        <m:r>
          <m:t>T</m:t>
        </m:r>
      </m:oMath>
      <w:r>
        <w:t xml:space="preserve"> </w:t>
      </w:r>
      <w:r>
        <w:t xml:space="preserve">ranged</w:t>
      </w:r>
      <w:r>
        <w:t xml:space="preserve"> </w:t>
      </w:r>
      <w:r>
        <w:t xml:space="preserve">from</w:t>
      </w:r>
      <w:r>
        <w:t xml:space="preserve"> </w:t>
      </w:r>
      <w:r>
        <w:t xml:space="preserve">0.16</w:t>
      </w:r>
      <w:r>
        <w:t xml:space="preserve"> </w:t>
      </w:r>
      <w:r>
        <w:t xml:space="preserve">to</w:t>
      </w:r>
      <w:r>
        <w:t xml:space="preserve"> </w:t>
      </w:r>
      <w:r>
        <w:t xml:space="preserve">0.27,</w:t>
      </w:r>
      <w:r>
        <w:t xml:space="preserve"> </w:t>
      </w:r>
      <w:r>
        <w:t xml:space="preserve">and</w:t>
      </w:r>
      <w:r>
        <w:t xml:space="preserve"> </w:t>
      </w:r>
      <w:r>
        <w:t xml:space="preserve">no</w:t>
      </w:r>
      <w:r>
        <w:t xml:space="preserve"> </w:t>
      </w:r>
      <w:r>
        <w:t xml:space="preserve">upper</w:t>
      </w:r>
      <w:r>
        <w:t xml:space="preserve"> </w:t>
      </w:r>
      <w:r>
        <w:t xml:space="preserve">95%</w:t>
      </w:r>
      <w:r>
        <w:t xml:space="preserve"> </w:t>
      </w:r>
      <w:r>
        <w:t xml:space="preserve">bound</w:t>
      </w:r>
      <w:r>
        <w:t xml:space="preserve"> </w:t>
      </w:r>
      <w:r>
        <w:t xml:space="preserve">exceeded</w:t>
      </w:r>
      <w:r>
        <w:t xml:space="preserve"> </w:t>
      </w:r>
      <w:r>
        <w:t xml:space="preserve">0.45.</w:t>
      </w:r>
      <w:r>
        <w:t xml:space="preserve"> </w:t>
      </w:r>
      <w:r>
        <w:t xml:space="preserve">On</w:t>
      </w:r>
      <w:r>
        <w:t xml:space="preserve"> </w:t>
      </w:r>
      <w:r>
        <w:t xml:space="preserve">HotpotQA,</w:t>
      </w:r>
      <w:r>
        <w:t xml:space="preserve"> </w:t>
      </w:r>
      <m:oMath>
        <m:r>
          <m:t>T</m:t>
        </m:r>
      </m:oMath>
      <w:r>
        <w:t xml:space="preserve"> </w:t>
      </w:r>
      <w:r>
        <w:t xml:space="preserve">was</w:t>
      </w:r>
      <w:r>
        <w:t xml:space="preserve"> </w:t>
      </w:r>
      <w:r>
        <w:t xml:space="preserve">larger</w:t>
      </w:r>
      <w:r>
        <w:t xml:space="preserve"> </w:t>
      </w:r>
      <w:r>
        <w:t xml:space="preserve">(0.49–0.93)</w:t>
      </w:r>
      <w:r>
        <w:t xml:space="preserve"> </w:t>
      </w:r>
      <w:r>
        <w:t xml:space="preserve">and</w:t>
      </w:r>
      <w:r>
        <w:t xml:space="preserve"> </w:t>
      </w:r>
      <w:r>
        <w:t xml:space="preserve">one</w:t>
      </w:r>
      <w:r>
        <w:t xml:space="preserve"> </w:t>
      </w:r>
      <w:r>
        <w:t xml:space="preserve">upper</w:t>
      </w:r>
      <w:r>
        <w:t xml:space="preserve"> </w:t>
      </w:r>
      <w:r>
        <w:t xml:space="preserve">bound</w:t>
      </w:r>
      <w:r>
        <w:t xml:space="preserve"> </w:t>
      </w:r>
      <w:r>
        <w:t xml:space="preserve">reached</w:t>
      </w:r>
      <w:r>
        <w:t xml:space="preserve"> </w:t>
      </w:r>
      <w:r>
        <w:t xml:space="preserve">1.10,</w:t>
      </w:r>
      <w:r>
        <w:t xml:space="preserve"> </w:t>
      </w:r>
      <w:r>
        <w:t xml:space="preserve">so</w:t>
      </w:r>
      <w:r>
        <w:t xml:space="preserve"> </w:t>
      </w:r>
      <w:r>
        <w:t xml:space="preserve">the</w:t>
      </w:r>
      <w:r>
        <w:t xml:space="preserve"> </w:t>
      </w:r>
      <w:r>
        <w:t xml:space="preserve">prediction</w:t>
      </w:r>
      <w:r>
        <w:t xml:space="preserve"> </w:t>
      </w:r>
      <m:oMath>
        <m:r>
          <m:t>T</m:t>
        </m:r>
        <m:r>
          <m:rPr>
            <m:sty m:val="p"/>
          </m:rPr>
          <m:t>&lt;</m:t>
        </m:r>
        <m:r>
          <m:t>1</m:t>
        </m:r>
      </m:oMath>
      <w:r>
        <w:t xml:space="preserve"> </w:t>
      </w:r>
      <w:r>
        <w:t xml:space="preserve">failed</w:t>
      </w:r>
      <w:r>
        <w:t xml:space="preserve"> </w:t>
      </w:r>
      <w:r>
        <w:t xml:space="preserve">in</w:t>
      </w:r>
      <w:r>
        <w:t xml:space="preserve"> </w:t>
      </w:r>
      <w:r>
        <w:t xml:space="preserve">one</w:t>
      </w:r>
      <w:r>
        <w:t xml:space="preserve"> </w:t>
      </w:r>
      <w:r>
        <w:t xml:space="preserve">of</w:t>
      </w:r>
      <w:r>
        <w:t xml:space="preserve"> </w:t>
      </w:r>
      <w:r>
        <w:t xml:space="preserve">four</w:t>
      </w:r>
      <w:r>
        <w:t xml:space="preserve"> </w:t>
      </w:r>
      <w:r>
        <w:t xml:space="preserve">reader–dataset</w:t>
      </w:r>
      <w:r>
        <w:t xml:space="preserve"> </w:t>
      </w:r>
      <w:r>
        <w:t xml:space="preserve">cells.</w:t>
      </w:r>
      <w:r>
        <w:t xml:space="preserve"> </w:t>
      </w:r>
      <w:r>
        <w:t xml:space="preserve">An</w:t>
      </w:r>
      <w:r>
        <w:t xml:space="preserve"> </w:t>
      </w:r>
      <w:r>
        <w:t xml:space="preserve">exact</w:t>
      </w:r>
      <w:r>
        <w:t xml:space="preserve"> </w:t>
      </w:r>
      <w:r>
        <w:t xml:space="preserve">decomposition</w:t>
      </w:r>
      <w:r>
        <w:t xml:space="preserve"> </w:t>
      </w:r>
      <w:r>
        <w:t xml:space="preserve">attributes</w:t>
      </w:r>
      <w:r>
        <w:t xml:space="preserve"> </w:t>
      </w:r>
      <w:r>
        <w:t xml:space="preserve">48%–70%</w:t>
      </w:r>
      <w:r>
        <w:t xml:space="preserve"> </w:t>
      </w:r>
      <w:r>
        <w:t xml:space="preserve">of</w:t>
      </w:r>
      <w:r>
        <w:t xml:space="preserve"> </w:t>
      </w:r>
      <w:r>
        <w:t xml:space="preserve">the</w:t>
      </w:r>
      <w:r>
        <w:t xml:space="preserve"> </w:t>
      </w:r>
      <w:r>
        <w:t xml:space="preserve">HotpotQA</w:t>
      </w:r>
      <w:r>
        <w:t xml:space="preserve"> </w:t>
      </w:r>
      <w:r>
        <w:t xml:space="preserve">transfer</w:t>
      </w:r>
      <w:r>
        <w:t xml:space="preserve"> </w:t>
      </w:r>
      <w:r>
        <w:t xml:space="preserve">to</w:t>
      </w:r>
      <w:r>
        <w:t xml:space="preserve"> </w:t>
      </w:r>
      <w:r>
        <w:t xml:space="preserve">higher</w:t>
      </w:r>
      <w:r>
        <w:t xml:space="preserve"> </w:t>
      </w:r>
      <w:r>
        <w:t xml:space="preserve">EM</w:t>
      </w:r>
      <w:r>
        <w:t xml:space="preserve"> </w:t>
      </w:r>
      <w:r>
        <w:t xml:space="preserve">given</w:t>
      </w:r>
      <w:r>
        <w:t xml:space="preserve"> </w:t>
      </w:r>
      <w:r>
        <w:t xml:space="preserve">a</w:t>
      </w:r>
      <w:r>
        <w:t xml:space="preserve"> </w:t>
      </w:r>
      <w:r>
        <w:t xml:space="preserve">hit,</w:t>
      </w:r>
      <w:r>
        <w:t xml:space="preserve"> </w:t>
      </w:r>
      <w:r>
        <w:t xml:space="preserve">in</w:t>
      </w:r>
      <w:r>
        <w:t xml:space="preserve"> </w:t>
      </w:r>
      <w:r>
        <w:t xml:space="preserve">line</w:t>
      </w:r>
      <w:r>
        <w:t xml:space="preserve"> </w:t>
      </w:r>
      <w:r>
        <w:t xml:space="preserve">with</w:t>
      </w:r>
      <w:r>
        <w:t xml:space="preserve"> </w:t>
      </w:r>
      <w:r>
        <w:t xml:space="preserve">retrieving</w:t>
      </w:r>
      <w:r>
        <w:t xml:space="preserve"> </w:t>
      </w:r>
      <w:r>
        <w:t xml:space="preserve">both</w:t>
      </w:r>
      <w:r>
        <w:t xml:space="preserve"> </w:t>
      </w:r>
      <w:r>
        <w:t xml:space="preserve">supporting</w:t>
      </w:r>
      <w:r>
        <w:t xml:space="preserve"> </w:t>
      </w:r>
      <w:r>
        <w:t xml:space="preserve">passages.</w:t>
      </w:r>
      <w:r>
        <w:t xml:space="preserve"> </w:t>
      </w:r>
      <w:r>
        <w:t xml:space="preserve">On</w:t>
      </w:r>
      <w:r>
        <w:t xml:space="preserve"> </w:t>
      </w:r>
      <w:r>
        <w:t xml:space="preserve">HotpotQA,</w:t>
      </w:r>
      <w:r>
        <w:t xml:space="preserve"> </w:t>
      </w:r>
      <w:r>
        <w:t xml:space="preserve">bge-large</w:t>
      </w:r>
      <w:r>
        <w:t xml:space="preserve"> </w:t>
      </w:r>
      <w:r>
        <w:t xml:space="preserve">gave</w:t>
      </w:r>
      <w:r>
        <w:t xml:space="preserve"> </w:t>
      </w:r>
      <w:r>
        <w:t xml:space="preserve">higher</w:t>
      </w:r>
      <w:r>
        <w:t xml:space="preserve"> </w:t>
      </w:r>
      <w:r>
        <w:t xml:space="preserve">EM</w:t>
      </w:r>
      <w:r>
        <w:t xml:space="preserve"> </w:t>
      </w:r>
      <w:r>
        <w:t xml:space="preserve">than</w:t>
      </w:r>
      <w:r>
        <w:t xml:space="preserve"> </w:t>
      </w:r>
      <w:r>
        <w:t xml:space="preserve">e5-base-v2</w:t>
      </w:r>
      <w:r>
        <w:t xml:space="preserve"> </w:t>
      </w:r>
      <w:r>
        <w:t xml:space="preserve">(+0.028</w:t>
      </w:r>
      <w:r>
        <w:t xml:space="preserve"> </w:t>
      </w:r>
      <w:r>
        <w:t xml:space="preserve">and</w:t>
      </w:r>
      <w:r>
        <w:t xml:space="preserve"> </w:t>
      </w:r>
      <w:r>
        <w:t xml:space="preserve">+0.022,</w:t>
      </w:r>
      <w:r>
        <w:t xml:space="preserve"> </w:t>
      </w:r>
      <w:r>
        <w:t xml:space="preserve">Holm-adjusted</w:t>
      </w:r>
      <w:r>
        <w:t xml:space="preserve"> </w:t>
      </w:r>
      <m:oMath>
        <m:r>
          <m:t>p</m:t>
        </m:r>
        <m:r>
          <m:rPr>
            <m:sty m:val="p"/>
          </m:rPr>
          <m:t>≤</m:t>
        </m:r>
      </m:oMath>
      <w:r>
        <w:t xml:space="preserve"> </w:t>
      </w:r>
      <w:r>
        <w:t xml:space="preserve">0.040);</w:t>
      </w:r>
      <w:r>
        <w:t xml:space="preserve"> </w:t>
      </w:r>
      <w:r>
        <w:t xml:space="preserve">on</w:t>
      </w:r>
      <w:r>
        <w:t xml:space="preserve"> </w:t>
      </w:r>
      <w:r>
        <w:t xml:space="preserve">NQ,</w:t>
      </w:r>
      <w:r>
        <w:t xml:space="preserve"> </w:t>
      </w:r>
      <w:r>
        <w:t xml:space="preserve">no</w:t>
      </w:r>
      <w:r>
        <w:t xml:space="preserve"> </w:t>
      </w:r>
      <w:r>
        <w:t xml:space="preserve">difference</w:t>
      </w:r>
      <w:r>
        <w:t xml:space="preserve"> </w:t>
      </w:r>
      <w:r>
        <w:t xml:space="preserve">was</w:t>
      </w:r>
      <w:r>
        <w:t xml:space="preserve"> </w:t>
      </w:r>
      <w:r>
        <w:t xml:space="preserve">detected.</w:t>
      </w:r>
      <w:r>
        <w:t xml:space="preserve"> </w:t>
      </w:r>
      <w:r>
        <w:t xml:space="preserve">Encoding</w:t>
      </w:r>
      <w:r>
        <w:t xml:space="preserve"> </w:t>
      </w:r>
      <w:r>
        <w:t xml:space="preserve">throughput</w:t>
      </w:r>
      <w:r>
        <w:t xml:space="preserve"> </w:t>
      </w:r>
      <w:r>
        <w:t xml:space="preserve">on</w:t>
      </w:r>
      <w:r>
        <w:t xml:space="preserve"> </w:t>
      </w:r>
      <w:r>
        <w:t xml:space="preserve">one</w:t>
      </w:r>
      <w:r>
        <w:t xml:space="preserve"> </w:t>
      </w:r>
      <w:r>
        <w:t xml:space="preserve">T4</w:t>
      </w:r>
      <w:r>
        <w:t xml:space="preserve"> </w:t>
      </w:r>
      <w:r>
        <w:t xml:space="preserve">GPU</w:t>
      </w:r>
      <w:r>
        <w:t xml:space="preserve"> </w:t>
      </w:r>
      <w:r>
        <w:t xml:space="preserve">differed</w:t>
      </w:r>
      <w:r>
        <w:t xml:space="preserve"> </w:t>
      </w:r>
      <w:r>
        <w:t xml:space="preserve">27-fold</w:t>
      </w:r>
      <w:r>
        <w:t xml:space="preserve"> </w:t>
      </w:r>
      <w:r>
        <w:t xml:space="preserve">across</w:t>
      </w:r>
      <w:r>
        <w:t xml:space="preserve"> </w:t>
      </w:r>
      <w:r>
        <w:t xml:space="preserve">encoders.</w:t>
      </w:r>
      <w:r>
        <w:t xml:space="preserve"> </w:t>
      </w:r>
      <w:r>
        <w:t xml:space="preserve">Top-ranked</w:t>
      </w:r>
      <w:r>
        <w:t xml:space="preserve"> </w:t>
      </w:r>
      <w:r>
        <w:t xml:space="preserve">non-gold</w:t>
      </w:r>
      <w:r>
        <w:t xml:space="preserve"> </w:t>
      </w:r>
      <w:r>
        <w:t xml:space="preserve">passages</w:t>
      </w:r>
      <w:r>
        <w:t xml:space="preserve"> </w:t>
      </w:r>
      <w:r>
        <w:t xml:space="preserve">lowered</w:t>
      </w:r>
      <w:r>
        <w:t xml:space="preserve"> </w:t>
      </w:r>
      <w:r>
        <w:t xml:space="preserve">EM</w:t>
      </w:r>
      <w:r>
        <w:t xml:space="preserve"> </w:t>
      </w:r>
      <w:r>
        <w:t xml:space="preserve">by</w:t>
      </w:r>
      <w:r>
        <w:t xml:space="preserve"> </w:t>
      </w:r>
      <w:r>
        <w:t xml:space="preserve">0.074</w:t>
      </w:r>
      <w:r>
        <w:t xml:space="preserve"> </w:t>
      </w:r>
      <w:r>
        <w:t xml:space="preserve">against</w:t>
      </w:r>
      <w:r>
        <w:t xml:space="preserve"> </w:t>
      </w:r>
      <w:r>
        <w:t xml:space="preserve">random</w:t>
      </w:r>
      <w:r>
        <w:t xml:space="preserve"> </w:t>
      </w:r>
      <w:r>
        <w:t xml:space="preserve">passages;</w:t>
      </w:r>
      <w:r>
        <w:t xml:space="preserve"> </w:t>
      </w:r>
      <w:r>
        <w:t xml:space="preserve">gold</w:t>
      </w:r>
      <w:r>
        <w:t xml:space="preserve"> </w:t>
      </w:r>
      <w:r>
        <w:t xml:space="preserve">position</w:t>
      </w:r>
      <w:r>
        <w:t xml:space="preserve"> </w:t>
      </w:r>
      <w:r>
        <w:t xml:space="preserve">showed</w:t>
      </w:r>
      <w:r>
        <w:t xml:space="preserve"> </w:t>
      </w:r>
      <w:r>
        <w:t xml:space="preserve">no</w:t>
      </w:r>
      <w:r>
        <w:t xml:space="preserve"> </w:t>
      </w:r>
      <w:r>
        <w:t xml:space="preserve">detectable</w:t>
      </w:r>
      <w:r>
        <w:t xml:space="preserve"> </w:t>
      </w:r>
      <w:r>
        <w:t xml:space="preserve">effect.</w:t>
      </w:r>
      <w:r>
        <w:t xml:space="preserve"> </w:t>
      </w:r>
      <w:r>
        <w:t xml:space="preserve">An</w:t>
      </w:r>
      <w:r>
        <w:t xml:space="preserve"> </w:t>
      </w:r>
      <w:r>
        <w:t xml:space="preserve">LLM</w:t>
      </w:r>
      <w:r>
        <w:t xml:space="preserve"> </w:t>
      </w:r>
      <w:r>
        <w:t xml:space="preserve">faithfulness</w:t>
      </w:r>
      <w:r>
        <w:t xml:space="preserve"> </w:t>
      </w:r>
      <w:r>
        <w:t xml:space="preserve">judge</w:t>
      </w:r>
      <w:r>
        <w:t xml:space="preserve"> </w:t>
      </w:r>
      <w:r>
        <w:t xml:space="preserve">agreed</w:t>
      </w:r>
      <w:r>
        <w:t xml:space="preserve"> </w:t>
      </w:r>
      <w:r>
        <w:t xml:space="preserve">poorly</w:t>
      </w:r>
      <w:r>
        <w:t xml:space="preserve"> </w:t>
      </w:r>
      <w:r>
        <w:t xml:space="preserve">with</w:t>
      </w:r>
      <w:r>
        <w:t xml:space="preserve"> </w:t>
      </w:r>
      <w:r>
        <w:t xml:space="preserve">human</w:t>
      </w:r>
      <w:r>
        <w:t xml:space="preserve"> </w:t>
      </w:r>
      <w:r>
        <w:t xml:space="preserve">labels</w:t>
      </w:r>
      <w:r>
        <w:t xml:space="preserve"> </w:t>
      </w:r>
      <w:r>
        <w:t xml:space="preserve">(Cohen’s</w:t>
      </w:r>
      <w:r>
        <w:t xml:space="preserve"> </w:t>
      </w:r>
      <m:oMath>
        <m:r>
          <m:t>κ</m:t>
        </m:r>
      </m:oMath>
      <w:r>
        <w:t xml:space="preserve"> </w:t>
      </w:r>
      <w:r>
        <w:t xml:space="preserve">=</w:t>
      </w:r>
      <w:r>
        <w:t xml:space="preserve"> </w:t>
      </w:r>
      <w:r>
        <w:t xml:space="preserve">0.127)</w:t>
      </w:r>
      <w:r>
        <w:t xml:space="preserve"> </w:t>
      </w:r>
      <w:r>
        <w:t xml:space="preserve">and</w:t>
      </w:r>
      <w:r>
        <w:t xml:space="preserve"> </w:t>
      </w:r>
      <w:r>
        <w:t xml:space="preserve">was</w:t>
      </w:r>
      <w:r>
        <w:t xml:space="preserve"> </w:t>
      </w:r>
      <w:r>
        <w:t xml:space="preserve">excluded.</w:t>
      </w:r>
      <w:r>
        <w:t xml:space="preserve"> </w:t>
      </w:r>
      <w:r>
        <w:t xml:space="preserve">Within</w:t>
      </w:r>
      <w:r>
        <w:t xml:space="preserve"> </w:t>
      </w:r>
      <w:r>
        <w:t xml:space="preserve">this</w:t>
      </w:r>
      <w:r>
        <w:t xml:space="preserve"> </w:t>
      </w:r>
      <w:r>
        <w:t xml:space="preserve">setup,</w:t>
      </w:r>
      <w:r>
        <w:t xml:space="preserve"> </w:t>
      </w:r>
      <w:r>
        <w:t xml:space="preserve">retrieval</w:t>
      </w:r>
      <w:r>
        <w:t xml:space="preserve"> </w:t>
      </w:r>
      <w:r>
        <w:t xml:space="preserve">gains</w:t>
      </w:r>
      <w:r>
        <w:t xml:space="preserve"> </w:t>
      </w:r>
      <w:r>
        <w:t xml:space="preserve">overstate</w:t>
      </w:r>
      <w:r>
        <w:t xml:space="preserve"> </w:t>
      </w:r>
      <w:r>
        <w:t xml:space="preserve">answer</w:t>
      </w:r>
      <w:r>
        <w:t xml:space="preserve"> </w:t>
      </w:r>
      <w:r>
        <w:t xml:space="preserve">gains</w:t>
      </w:r>
      <w:r>
        <w:t xml:space="preserve"> </w:t>
      </w:r>
      <w:r>
        <w:t xml:space="preserve">on</w:t>
      </w:r>
      <w:r>
        <w:t xml:space="preserve"> </w:t>
      </w:r>
      <w:r>
        <w:t xml:space="preserve">single-hop</w:t>
      </w:r>
      <w:r>
        <w:t xml:space="preserve"> </w:t>
      </w:r>
      <w:r>
        <w:t xml:space="preserve">questions,</w:t>
      </w:r>
      <w:r>
        <w:t xml:space="preserve"> </w:t>
      </w:r>
      <w:r>
        <w:t xml:space="preserve">and</w:t>
      </w:r>
      <w:r>
        <w:t xml:space="preserve"> </w:t>
      </w:r>
      <w:r>
        <w:t xml:space="preserve">encoder</w:t>
      </w:r>
      <w:r>
        <w:t xml:space="preserve"> </w:t>
      </w:r>
      <w:r>
        <w:t xml:space="preserve">cost</w:t>
      </w:r>
      <w:r>
        <w:t xml:space="preserve"> </w:t>
      </w:r>
      <w:r>
        <w:t xml:space="preserve">should</w:t>
      </w:r>
      <w:r>
        <w:t xml:space="preserve"> </w:t>
      </w:r>
      <w:r>
        <w:t xml:space="preserve">be</w:t>
      </w:r>
      <w:r>
        <w:t xml:space="preserve"> </w:t>
      </w:r>
      <w:r>
        <w:t xml:space="preserve">weighed</w:t>
      </w:r>
      <w:r>
        <w:t xml:space="preserve"> </w:t>
      </w:r>
      <w:r>
        <w:t xml:space="preserve">alongside</w:t>
      </w:r>
      <w:r>
        <w:t xml:space="preserve"> </w:t>
      </w:r>
      <w:r>
        <w:t xml:space="preserve">retrieval</w:t>
      </w:r>
      <w:r>
        <w:t xml:space="preserve"> </w:t>
      </w:r>
      <w:r>
        <w:t xml:space="preserve">scores.</w:t>
      </w:r>
    </w:p>
    <w:bookmarkStart w:id="20" w:name="keywords"/>
    <w:p>
      <w:pPr>
        <w:pStyle w:val="Heading4"/>
      </w:pPr>
      <w:r>
        <w:t xml:space="preserve">Keywords</w:t>
      </w:r>
    </w:p>
    <w:p>
      <w:pPr>
        <w:pStyle w:val="FirstParagraph"/>
      </w:pPr>
      <w:r>
        <w:t xml:space="preserve">retrieval-augmented generation; dense retrieval; text embeddings; question answering; evaluation; reproducibility; computational cost</w:t>
      </w:r>
    </w:p>
    <w:bookmarkEnd w:id="20"/>
    <w:bookmarkStart w:id="21" w:name="sec:intro"/>
    <w:p>
      <w:pPr>
        <w:pStyle w:val="Heading1"/>
      </w:pPr>
      <w:r>
        <w:t xml:space="preserve">Introduction</w:t>
      </w:r>
    </w:p>
    <w:p>
      <w:pPr>
        <w:pStyle w:val="FirstParagraph"/>
      </w:pPr>
      <w:r>
        <w:t xml:space="preserve">Retrieval-augmented generation (RAG) answers a question in two steps. A retriever selects passages from a corpus, and a language model, the reader, writes an answer from them</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w:t>
      </w:r>
      <w:hyperlink w:anchor="ref-ram2023incontext">
        <w:r>
          <w:rPr>
            <w:rStyle w:val="Hyperlink"/>
          </w:rPr>
          <w:t xml:space="preserve">Ram et al. 2023</w:t>
        </w:r>
      </w:hyperlink>
      <w:r>
        <w:t xml:space="preserve">)</w:t>
      </w:r>
      <w:r>
        <w:t xml:space="preserve">. Teams that build such systems must choose the retriever. For dense retrieval this means choosing a text embedding model, and the usual guide is a retrieval benchmark such as BEIR</w:t>
      </w:r>
      <w:r>
        <w:t xml:space="preserve"> </w:t>
      </w:r>
      <w:r>
        <w:t xml:space="preserve">(</w:t>
      </w:r>
      <w:hyperlink w:anchor="ref-thakur2021beir">
        <w:r>
          <w:rPr>
            <w:rStyle w:val="Hyperlink"/>
          </w:rPr>
          <w:t xml:space="preserve">Thakur et al. 2021</w:t>
        </w:r>
      </w:hyperlink>
      <w:r>
        <w:t xml:space="preserve">)</w:t>
      </w:r>
      <w:r>
        <w:t xml:space="preserve"> </w:t>
      </w:r>
      <w:r>
        <w:t xml:space="preserve">or MTEB</w:t>
      </w:r>
      <w:r>
        <w:t xml:space="preserve"> </w:t>
      </w:r>
      <w:r>
        <w:t xml:space="preserve">(</w:t>
      </w:r>
      <w:hyperlink w:anchor="ref-muennighoff2023mteb">
        <w:r>
          <w:rPr>
            <w:rStyle w:val="Hyperlink"/>
          </w:rPr>
          <w:t xml:space="preserve">Muennighoff et al. 2023</w:t>
        </w:r>
      </w:hyperlink>
      <w:r>
        <w:t xml:space="preserve">)</w:t>
      </w:r>
      <w:r>
        <w:t xml:space="preserve">. These benchmarks score ranked lists against relevance labels. They do not show how much of a retrieval gain survives the reader.</w:t>
      </w:r>
    </w:p>
    <w:p>
      <w:pPr>
        <w:pStyle w:val="BodyText"/>
      </w:pPr>
      <w:r>
        <w:t xml:space="preserve">This question matters most for teams with limited compute. A larger encoder costs more to run over a corpus and adds latency to every query. If a retrieval gain turns into a much smaller answer gain, a cheaper encoder may serve as well. Several studies report that retrieval improvements do not reliably improve answers</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ghosh2026evidence">
        <w:r>
          <w:rPr>
            <w:rStyle w:val="Hyperlink"/>
          </w:rPr>
          <w:t xml:space="preserve">Ghosh, Mukhopadhyay, and Chatterjee 2026</w:t>
        </w:r>
      </w:hyperlink>
      <w:r>
        <w:t xml:space="preserve">)</w:t>
      </w:r>
      <w:r>
        <w:t xml:space="preserve">. Others find that retrieval metrics correlate well with generation quality when the two are aligned</w:t>
      </w:r>
      <w:r>
        <w:t xml:space="preserve"> </w:t>
      </w:r>
      <w:r>
        <w:t xml:space="preserve">(</w:t>
      </w:r>
      <w:hyperlink w:anchor="ref-samuel2026beyond">
        <w:r>
          <w:rPr>
            <w:rStyle w:val="Hyperlink"/>
          </w:rPr>
          <w:t xml:space="preserve">Samuel et al. 2026</w:t>
        </w:r>
      </w:hyperlink>
      <w:r>
        <w:t xml:space="preserve">)</w:t>
      </w:r>
      <w:r>
        <w:t xml:space="preserve">. Readers are also sensitive to what else is in the context: passages that look relevant but lack the answer can lower accuracy</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shi2023distracted">
        <w:r>
          <w:rPr>
            <w:rStyle w:val="Hyperlink"/>
          </w:rPr>
          <w:t xml:space="preserve">Shi et al. 2023</w:t>
        </w:r>
      </w:hyperlink>
      <w:r>
        <w:t xml:space="preserve">)</w:t>
      </w:r>
      <w:r>
        <w:t xml:space="preserve">.</w:t>
      </w:r>
    </w:p>
    <w:p>
      <w:pPr>
        <w:pStyle w:val="BodyText"/>
      </w:pPr>
      <w:r>
        <w:t xml:space="preserve">Earlier studies relate retrieval quality to answer quality through correlations across systems or topics</w:t>
      </w:r>
      <w:r>
        <w:t xml:space="preserve"> </w:t>
      </w:r>
      <w:r>
        <w:t xml:space="preserve">(</w:t>
      </w:r>
      <w:hyperlink w:anchor="ref-salemi2024erag">
        <w:r>
          <w:rPr>
            <w:rStyle w:val="Hyperlink"/>
          </w:rPr>
          <w:t xml:space="preserve">Salemi and Zamani 2024</w:t>
        </w:r>
      </w:hyperlink>
      <w:r>
        <w:t xml:space="preserve">;</w:t>
      </w:r>
      <w:r>
        <w:t xml:space="preserve"> </w:t>
      </w:r>
      <w:hyperlink w:anchor="ref-samuel2026beyond">
        <w:r>
          <w:rPr>
            <w:rStyle w:val="Hyperlink"/>
          </w:rPr>
          <w:t xml:space="preserve">Samuel et al. 2026</w:t>
        </w:r>
      </w:hyperlink>
      <w:r>
        <w:t xml:space="preserve">;</w:t>
      </w:r>
      <w:r>
        <w:t xml:space="preserve"> </w:t>
      </w:r>
      <w:hyperlink w:anchor="ref-trappolini2025udcg">
        <w:r>
          <w:rPr>
            <w:rStyle w:val="Hyperlink"/>
          </w:rPr>
          <w:t xml:space="preserve">Trappolini et al. 2025</w:t>
        </w:r>
      </w:hyperlink>
      <w:r>
        <w:t xml:space="preserve">)</w:t>
      </w:r>
      <w:r>
        <w:t xml:space="preserve">, through a ratio of answer F1 to recall across RAG methods</w:t>
      </w:r>
      <w:r>
        <w:t xml:space="preserve"> </w:t>
      </w:r>
      <w:r>
        <w:t xml:space="preserve">(</w:t>
      </w:r>
      <w:hyperlink w:anchor="ref-peng2026neocorrag">
        <w:r>
          <w:rPr>
            <w:rStyle w:val="Hyperlink"/>
          </w:rPr>
          <w:t xml:space="preserve">Peng et al. 2026</w:t>
        </w:r>
      </w:hyperlink>
      <w:r>
        <w:t xml:space="preserve">)</w:t>
      </w:r>
      <w:r>
        <w:t xml:space="preserve">, or through manipulations of a single retriever</w:t>
      </w:r>
      <w:r>
        <w:t xml:space="preserve"> </w:t>
      </w:r>
      <w:r>
        <w:t xml:space="preserve">(</w:t>
      </w:r>
      <w:hyperlink w:anchor="ref-leto2024toward">
        <w:r>
          <w:rPr>
            <w:rStyle w:val="Hyperlink"/>
          </w:rPr>
          <w:t xml:space="preserve">Leto et al. 2024</w:t>
        </w:r>
      </w:hyperlink>
      <w:r>
        <w:t xml:space="preserve">)</w:t>
      </w:r>
      <w:r>
        <w:t xml:space="preserve">. They do not report, for a set of interchangeable open encoders, the paired ratio of answer gain to retrieval gain with its uncertainty, per reader and dataset, next to the measured cost of each encoder. This study provides such estimates for one well-defined setting.</w:t>
      </w:r>
    </w:p>
    <w:p>
      <w:pPr>
        <w:pStyle w:val="BodyText"/>
      </w:pPr>
      <w:r>
        <w:t xml:space="preserve">We define a transfer ratio</w:t>
      </w:r>
      <w:r>
        <w:t xml:space="preserve"> </w:t>
      </w:r>
      <m:oMath>
        <m:r>
          <m:t>T</m:t>
        </m:r>
        <m:d>
          <m:dPr>
            <m:begChr m:val="("/>
            <m:endChr m:val=")"/>
            <m:sepChr m:val=""/>
            <m:grow/>
          </m:dPr>
          <m:e>
            <m:r>
              <m:t>R</m:t>
            </m:r>
          </m:e>
        </m:d>
      </m:oMath>
      <w:r>
        <w:t xml:space="preserve">: the gain in exact match (EM) of retriever</w:t>
      </w:r>
      <w:r>
        <w:t xml:space="preserve"> </w:t>
      </w:r>
      <m:oMath>
        <m:r>
          <m:t>R</m:t>
        </m:r>
      </m:oMath>
      <w:r>
        <w:t xml:space="preserve"> </w:t>
      </w:r>
      <w:r>
        <w:t xml:space="preserve">over a small baseline encoder, divided by its gain in Hit@5, both measured on the same queries. A ratio of 1 means every extra question with a relevant passage in the top five also gains a correct answer. A ratio near 0 means the retrieval gain does not reach the answer. We estimate</w:t>
      </w:r>
      <w:r>
        <w:t xml:space="preserve"> </w:t>
      </w:r>
      <m:oMath>
        <m:r>
          <m:t>T</m:t>
        </m:r>
        <m:d>
          <m:dPr>
            <m:begChr m:val="("/>
            <m:endChr m:val=")"/>
            <m:sepChr m:val=""/>
            <m:grow/>
          </m:dPr>
          <m:e>
            <m:r>
              <m:t>R</m:t>
            </m:r>
          </m:e>
        </m:d>
      </m:oMath>
      <w:r>
        <w:t xml:space="preserve"> </w:t>
      </w:r>
      <w:r>
        <w:t xml:space="preserve">for BM25 and five dense encoders against MiniLM-L6, with two quantised 7–8B readers, on a single-hop dataset (Natural Questions) and a multi-hop dataset (HotpotQA). All runs used free Kaggle T4 GPUs.</w:t>
      </w:r>
    </w:p>
    <w:p>
      <w:pPr>
        <w:pStyle w:val="BodyText"/>
      </w:pPr>
      <w:r>
        <w:t xml:space="preserve">We ask four research questions.</w:t>
      </w:r>
    </w:p>
    <w:p>
      <w:pPr>
        <w:pStyle w:val="DefinitionTerm"/>
      </w:pPr>
      <w:r>
        <w:t xml:space="preserve">RQ1</w:t>
      </w:r>
    </w:p>
    <w:p>
      <w:pPr>
        <w:pStyle w:val="Definition"/>
      </w:pPr>
      <w:r>
        <w:t xml:space="preserve">How much of a Hit@5 gain over a small encoder reaches EM, and does this depend on the reader and the dataset?</w:t>
      </w:r>
    </w:p>
    <w:p>
      <w:pPr>
        <w:pStyle w:val="DefinitionTerm"/>
      </w:pPr>
      <w:r>
        <w:t xml:space="preserve">RQ2</w:t>
      </w:r>
    </w:p>
    <w:p>
      <w:pPr>
        <w:pStyle w:val="Definition"/>
      </w:pPr>
      <w:r>
        <w:t xml:space="preserve">Do larger or newer encoders give higher EM than a mid-size encoder (e5-base-v2)?</w:t>
      </w:r>
    </w:p>
    <w:p>
      <w:pPr>
        <w:pStyle w:val="DefinitionTerm"/>
      </w:pPr>
      <w:r>
        <w:t xml:space="preserve">RQ3</w:t>
      </w:r>
    </w:p>
    <w:p>
      <w:pPr>
        <w:pStyle w:val="Definition"/>
      </w:pPr>
      <w:r>
        <w:t xml:space="preserve">How do context choices change the answer: the number of passages, the kind of non-gold passages, the position of the gold passage, and reranking?</w:t>
      </w:r>
    </w:p>
    <w:p>
      <w:pPr>
        <w:pStyle w:val="DefinitionTerm"/>
      </w:pPr>
      <w:r>
        <w:t xml:space="preserve">RQ4</w:t>
      </w:r>
    </w:p>
    <w:p>
      <w:pPr>
        <w:pStyle w:val="Definition"/>
      </w:pPr>
      <w:r>
        <w:t xml:space="preserve">What does each encoder cost on free hardware, and do our sub-corpus and exact search distort the comparison?</w:t>
      </w:r>
    </w:p>
    <w:p>
      <w:pPr>
        <w:pStyle w:val="FirstParagraph"/>
      </w:pPr>
      <w:r>
        <w:t xml:space="preserve">The study ran in two phases. Phase 1 covered one reader on NQ. Before Phase 2, we registered six predictions (P1–P6) in a dated design document and then ran the new cells and experiments. We report each prediction as it came out, including the three that failed in at least one condition.</w:t>
      </w:r>
    </w:p>
    <w:p>
      <w:pPr>
        <w:pStyle w:val="BodyText"/>
      </w:pPr>
      <w:r>
        <w:t xml:space="preserve">The study makes four contributions.</w:t>
      </w:r>
    </w:p>
    <w:p>
      <w:pPr>
        <w:numPr>
          <w:ilvl w:val="0"/>
          <w:numId w:val="1001"/>
        </w:numPr>
      </w:pPr>
      <w:r>
        <w:t xml:space="preserve">A paired estimate of retrieval-to-answer transfer for six retrievers, two readers and two datasets, with bootstrap intervals and a reporting rule fixed in advance (Section </w:t>
      </w:r>
      <w:hyperlink w:anchor="sec:res-transfer">
        <w:r>
          <w:rPr>
            <w:rStyle w:val="Hyperlink"/>
          </w:rPr>
          <w:t xml:space="preserve">5.2</w:t>
        </w:r>
      </w:hyperlink>
      <w:r>
        <w:t xml:space="preserve">).</w:t>
      </w:r>
    </w:p>
    <w:p>
      <w:pPr>
        <w:numPr>
          <w:ilvl w:val="0"/>
          <w:numId w:val="1001"/>
        </w:numPr>
      </w:pPr>
      <w:r>
        <w:t xml:space="preserve">An exact decomposition of the ratio into the hit–miss gap of the baseline and the change in EM given a hit or a miss. It separates the NQ pattern (low transfer) from the HotpotQA pattern (larger transfer driven by the second supporting passage) (Section </w:t>
      </w:r>
      <w:hyperlink w:anchor="sec:res-decomp">
        <w:r>
          <w:rPr>
            <w:rStyle w:val="Hyperlink"/>
          </w:rPr>
          <w:t xml:space="preserve">5.3</w:t>
        </w:r>
      </w:hyperlink>
      <w:r>
        <w:t xml:space="preserve">).</w:t>
      </w:r>
    </w:p>
    <w:p>
      <w:pPr>
        <w:numPr>
          <w:ilvl w:val="0"/>
          <w:numId w:val="1001"/>
        </w:numPr>
      </w:pPr>
      <w:r>
        <w:t xml:space="preserve">Controlled tests of context composition and position, a reranker, top-</w:t>
      </w:r>
      <m:oMath>
        <m:r>
          <m:t>k</m:t>
        </m:r>
      </m:oMath>
      <w:r>
        <w:t xml:space="preserve">, approximate search and a full-corpus check, all run in the same pipeline (Sections </w:t>
      </w:r>
      <w:hyperlink w:anchor="sec:res-context">
        <w:r>
          <w:rPr>
            <w:rStyle w:val="Hyperlink"/>
          </w:rPr>
          <w:t xml:space="preserve">5.5</w:t>
        </w:r>
      </w:hyperlink>
      <w:r>
        <w:t xml:space="preserve">–</w:t>
      </w:r>
      <w:hyperlink w:anchor="sec:res-cost">
        <w:r>
          <w:rPr>
            <w:rStyle w:val="Hyperlink"/>
          </w:rPr>
          <w:t xml:space="preserve">5.6</w:t>
        </w:r>
      </w:hyperlink>
      <w:r>
        <w:t xml:space="preserve">).</w:t>
      </w:r>
    </w:p>
    <w:p>
      <w:pPr>
        <w:numPr>
          <w:ilvl w:val="0"/>
          <w:numId w:val="1001"/>
        </w:numPr>
      </w:pPr>
      <w:r>
        <w:t xml:space="preserve">Measured encoding cost of each encoder on a free GPU, with five repetitions, and a full record of every deviation and failed run (Sections </w:t>
      </w:r>
      <w:hyperlink w:anchor="sec:res-cost">
        <w:r>
          <w:rPr>
            <w:rStyle w:val="Hyperlink"/>
          </w:rPr>
          <w:t xml:space="preserve">5.6</w:t>
        </w:r>
      </w:hyperlink>
      <w:r>
        <w:t xml:space="preserve"> </w:t>
      </w:r>
      <w:r>
        <w:t xml:space="preserve">and </w:t>
      </w:r>
      <w:hyperlink w:anchor="sec:deviations">
        <w:r>
          <w:rPr>
            <w:rStyle w:val="Hyperlink"/>
          </w:rPr>
          <w:t xml:space="preserve">4.1</w:t>
        </w:r>
      </w:hyperlink>
      <w:r>
        <w:t xml:space="preserve">).</w:t>
      </w:r>
    </w:p>
    <w:p>
      <w:pPr>
        <w:pStyle w:val="FirstParagraph"/>
      </w:pPr>
      <w:r>
        <w:t xml:space="preserve">Section </w:t>
      </w:r>
      <w:hyperlink w:anchor="sec:related">
        <w:r>
          <w:rPr>
            <w:rStyle w:val="Hyperlink"/>
          </w:rPr>
          <w:t xml:space="preserve">2</w:t>
        </w:r>
      </w:hyperlink>
      <w:r>
        <w:t xml:space="preserve"> </w:t>
      </w:r>
      <w:r>
        <w:t xml:space="preserve">reviews related work. Sections </w:t>
      </w:r>
      <w:hyperlink w:anchor="sec:method">
        <w:r>
          <w:rPr>
            <w:rStyle w:val="Hyperlink"/>
          </w:rPr>
          <w:t xml:space="preserve">3</w:t>
        </w:r>
      </w:hyperlink>
      <w:r>
        <w:t xml:space="preserve"> </w:t>
      </w:r>
      <w:r>
        <w:t xml:space="preserve">and </w:t>
      </w:r>
      <w:hyperlink w:anchor="sec:setup">
        <w:r>
          <w:rPr>
            <w:rStyle w:val="Hyperlink"/>
          </w:rPr>
          <w:t xml:space="preserve">4</w:t>
        </w:r>
      </w:hyperlink>
      <w:r>
        <w:t xml:space="preserve"> </w:t>
      </w:r>
      <w:r>
        <w:t xml:space="preserve">describe the method and setup. Section </w:t>
      </w:r>
      <w:hyperlink w:anchor="sec:results">
        <w:r>
          <w:rPr>
            <w:rStyle w:val="Hyperlink"/>
          </w:rPr>
          <w:t xml:space="preserve">5</w:t>
        </w:r>
      </w:hyperlink>
      <w:r>
        <w:t xml:space="preserve"> </w:t>
      </w:r>
      <w:r>
        <w:t xml:space="preserve">reports the results, Section </w:t>
      </w:r>
      <w:hyperlink w:anchor="sec:discussion">
        <w:r>
          <w:rPr>
            <w:rStyle w:val="Hyperlink"/>
          </w:rPr>
          <w:t xml:space="preserve">6</w:t>
        </w:r>
      </w:hyperlink>
      <w:r>
        <w:t xml:space="preserve"> </w:t>
      </w:r>
      <w:r>
        <w:t xml:space="preserve">discusses them, and Section </w:t>
      </w:r>
      <w:hyperlink w:anchor="sec:limits">
        <w:r>
          <w:rPr>
            <w:rStyle w:val="Hyperlink"/>
          </w:rPr>
          <w:t xml:space="preserve">7</w:t>
        </w:r>
      </w:hyperlink>
      <w:r>
        <w:t xml:space="preserve"> </w:t>
      </w:r>
      <w:r>
        <w:t xml:space="preserve">lists the limits of the study.</w:t>
      </w:r>
    </w:p>
    <w:bookmarkEnd w:id="21"/>
    <w:bookmarkStart w:id="26" w:name="sec:related"/>
    <w:p>
      <w:pPr>
        <w:pStyle w:val="Heading1"/>
      </w:pPr>
      <w:r>
        <w:t xml:space="preserve">Related work</w:t>
      </w:r>
    </w:p>
    <w:bookmarkStart w:id="22" w:name="retrieval-quality-and-answer-quality"/>
    <w:p>
      <w:pPr>
        <w:pStyle w:val="Heading2"/>
      </w:pPr>
      <w:r>
        <w:t xml:space="preserve">Retrieval quality and answer quality</w:t>
      </w:r>
    </w:p>
    <w:p>
      <w:pPr>
        <w:pStyle w:val="FirstParagraph"/>
      </w:pPr>
      <w:r>
        <w:t xml:space="preserve">Dense passage retrieval replaced sparse retrieval as the default initial stage for open-domain question answering</w:t>
      </w:r>
      <w:r>
        <w:t xml:space="preserve"> </w:t>
      </w:r>
      <w:r>
        <w:t xml:space="preserve">(</w:t>
      </w:r>
      <w:hyperlink w:anchor="ref-karpukhin2020dpr">
        <w:r>
          <w:rPr>
            <w:rStyle w:val="Hyperlink"/>
          </w:rPr>
          <w:t xml:space="preserve">Karpukhin et al. 2020</w:t>
        </w:r>
      </w:hyperlink>
      <w:r>
        <w:t xml:space="preserve">;</w:t>
      </w:r>
      <w:r>
        <w:t xml:space="preserve"> </w:t>
      </w:r>
      <w:hyperlink w:anchor="ref-lee2019orqa">
        <w:r>
          <w:rPr>
            <w:rStyle w:val="Hyperlink"/>
          </w:rPr>
          <w:t xml:space="preserve">Lee, Chang, and Toutanova 2019</w:t>
        </w:r>
      </w:hyperlink>
      <w:r>
        <w:t xml:space="preserve">)</w:t>
      </w:r>
      <w:r>
        <w:t xml:space="preserve">, and retrieval-augmented readers turned retrieved passages into answers</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Sentence encoders and general-purpose embedding models made dense retrieval cheap to adopt</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2e5">
        <w:r>
          <w:rPr>
            <w:rStyle w:val="Hyperlink"/>
          </w:rPr>
          <w:t xml:space="preserve">L. Wang et al. 2022</w:t>
        </w:r>
      </w:hyperlink>
      <w:r>
        <w:t xml:space="preserve">;</w:t>
      </w:r>
      <w:r>
        <w:t xml:space="preserve"> </w:t>
      </w:r>
      <w:hyperlink w:anchor="ref-xiao2024cpack">
        <w:r>
          <w:rPr>
            <w:rStyle w:val="Hyperlink"/>
          </w:rPr>
          <w:t xml:space="preserve">Xiao et al. 2024</w:t>
        </w:r>
      </w:hyperlink>
      <w:r>
        <w:t xml:space="preserve">;</w:t>
      </w:r>
      <w:r>
        <w:t xml:space="preserve"> </w:t>
      </w:r>
      <w:hyperlink w:anchor="ref-zhang2025qwen3emb">
        <w:r>
          <w:rPr>
            <w:rStyle w:val="Hyperlink"/>
          </w:rPr>
          <w:t xml:space="preserve">Zhang et al. 2025</w:t>
        </w:r>
      </w:hyperlink>
      <w:r>
        <w:t xml:space="preserve">)</w:t>
      </w:r>
      <w:r>
        <w:t xml:space="preserve">. Their quality is usually judged on retrieval benchmarks</w:t>
      </w:r>
      <w:r>
        <w:t xml:space="preserve"> </w:t>
      </w:r>
      <w:r>
        <w:t xml:space="preserve">(</w:t>
      </w:r>
      <w:hyperlink w:anchor="ref-thakur2021beir">
        <w:r>
          <w:rPr>
            <w:rStyle w:val="Hyperlink"/>
          </w:rPr>
          <w:t xml:space="preserve">Thakur et al. 2021</w:t>
        </w:r>
      </w:hyperlink>
      <w:r>
        <w:t xml:space="preserve">;</w:t>
      </w:r>
      <w:r>
        <w:t xml:space="preserve"> </w:t>
      </w:r>
      <w:hyperlink w:anchor="ref-muennighoff2023mteb">
        <w:r>
          <w:rPr>
            <w:rStyle w:val="Hyperlink"/>
          </w:rPr>
          <w:t xml:space="preserve">Muennighoff et al. 2023</w:t>
        </w:r>
      </w:hyperlink>
      <w:r>
        <w:t xml:space="preserve">)</w:t>
      </w:r>
      <w:r>
        <w:t xml:space="preserve">.</w:t>
      </w:r>
    </w:p>
    <w:p>
      <w:pPr>
        <w:pStyle w:val="BodyText"/>
      </w:pPr>
      <w:r>
        <w:t xml:space="preserve">Earlier work relates retrieval scores to answer scores in three ways. One line of work correlates retrieval metrics with downstream metrics.</w:t>
      </w:r>
      <w:r>
        <w:t xml:space="preserve"> </w:t>
      </w:r>
      <w:r>
        <w:t xml:space="preserve">Salemi and Zamani (</w:t>
      </w:r>
      <w:hyperlink w:anchor="ref-salemi2024erag">
        <w:r>
          <w:rPr>
            <w:rStyle w:val="Hyperlink"/>
          </w:rPr>
          <w:t xml:space="preserve">2024</w:t>
        </w:r>
      </w:hyperlink>
      <w:r>
        <w:t xml:space="preserve">)</w:t>
      </w:r>
      <w:r>
        <w:t xml:space="preserve"> </w:t>
      </w:r>
      <w:r>
        <w:t xml:space="preserve">report that relevance-label metrics correlate weakly with downstream RAG performance and propose labels derived from the reader itself.</w:t>
      </w:r>
      <w:r>
        <w:t xml:space="preserve"> </w:t>
      </w:r>
      <w:r>
        <w:t xml:space="preserve">Trappolini et al. (</w:t>
      </w:r>
      <w:hyperlink w:anchor="ref-trappolini2025udcg">
        <w:r>
          <w:rPr>
            <w:rStyle w:val="Hyperlink"/>
          </w:rPr>
          <w:t xml:space="preserve">2025</w:t>
        </w:r>
      </w:hyperlink>
      <w:r>
        <w:t xml:space="preserve">)</w:t>
      </w:r>
      <w:r>
        <w:t xml:space="preserve"> </w:t>
      </w:r>
      <w:r>
        <w:t xml:space="preserve">argue that rank-discounted metrics fit a human reader, not a language model, and propose a utility- and distraction-aware gain.</w:t>
      </w:r>
      <w:r>
        <w:t xml:space="preserve"> </w:t>
      </w:r>
      <w:r>
        <w:t xml:space="preserve">Samuel et al. (</w:t>
      </w:r>
      <w:hyperlink w:anchor="ref-samuel2026beyond">
        <w:r>
          <w:rPr>
            <w:rStyle w:val="Hyperlink"/>
          </w:rPr>
          <w:t xml:space="preserve">2026</w:t>
        </w:r>
      </w:hyperlink>
      <w:r>
        <w:t xml:space="preserve">)</w:t>
      </w:r>
      <w:r>
        <w:t xml:space="preserve"> </w:t>
      </w:r>
      <w:r>
        <w:t xml:space="preserve">find positive topic- and system-level correlations between coverage-based retrieval metrics and the coverage of generated reports, with weaker links for relevance-based nDCG. A second line builds ratios.</w:t>
      </w:r>
      <w:r>
        <w:t xml:space="preserve"> </w:t>
      </w:r>
      <w:r>
        <w:t xml:space="preserve">Peng et al. (</w:t>
      </w:r>
      <w:hyperlink w:anchor="ref-peng2026neocorrag">
        <w:r>
          <w:rPr>
            <w:rStyle w:val="Hyperlink"/>
          </w:rPr>
          <w:t xml:space="preserve">2026</w:t>
        </w:r>
      </w:hyperlink>
      <w:r>
        <w:t xml:space="preserve">)</w:t>
      </w:r>
      <w:r>
        <w:t xml:space="preserve"> </w:t>
      </w:r>
      <w:r>
        <w:t xml:space="preserve">define a recall conversion rate as answer F1 divided by Recall@5 and report that it falls as recall rises across RAG methods. Their ratio compares levels across different pipelines. Our ratio compares paired gains of interchangeable encoders against one baseline. A third line manipulates retrieval directly.</w:t>
      </w:r>
      <w:r>
        <w:t xml:space="preserve"> </w:t>
      </w:r>
      <w:r>
        <w:t xml:space="preserve">Leto et al. (</w:t>
      </w:r>
      <w:hyperlink w:anchor="ref-leto2024toward">
        <w:r>
          <w:rPr>
            <w:rStyle w:val="Hyperlink"/>
          </w:rPr>
          <w:t xml:space="preserve">2024</w:t>
        </w:r>
      </w:hyperlink>
      <w:r>
        <w:t xml:space="preserve">)</w:t>
      </w:r>
      <w:r>
        <w:t xml:space="preserve"> </w:t>
      </w:r>
      <w:r>
        <w:t xml:space="preserve">vary the share of gold passages and the accuracy of approximate search for one dense retriever and find that gold-document recall matters far more than search recall. Domain studies report retrieval gains that did not improve answers</w:t>
      </w:r>
      <w:r>
        <w:t xml:space="preserve"> </w:t>
      </w:r>
      <w:r>
        <w:t xml:space="preserve">(</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muthyam2026systems">
        <w:r>
          <w:rPr>
            <w:rStyle w:val="Hyperlink"/>
          </w:rPr>
          <w:t xml:space="preserve">Muthyam 2026</w:t>
        </w:r>
      </w:hyperlink>
      <w:r>
        <w:t xml:space="preserve">;</w:t>
      </w:r>
      <w:r>
        <w:t xml:space="preserve"> </w:t>
      </w:r>
      <w:hyperlink w:anchor="ref-ghosh2026evidence">
        <w:r>
          <w:rPr>
            <w:rStyle w:val="Hyperlink"/>
          </w:rPr>
          <w:t xml:space="preserve">Ghosh, Mukhopadhyay, and Chatterjee 2026</w:t>
        </w:r>
      </w:hyperlink>
      <w:r>
        <w:t xml:space="preserve">)</w:t>
      </w:r>
      <w:r>
        <w:t xml:space="preserve">.</w:t>
      </w:r>
      <w:r>
        <w:t xml:space="preserve"> </w:t>
      </w:r>
      <w:r>
        <w:t xml:space="preserve">Bala (</w:t>
      </w:r>
      <w:hyperlink w:anchor="ref-bala2026recall">
        <w:r>
          <w:rPr>
            <w:rStyle w:val="Hyperlink"/>
          </w:rPr>
          <w:t xml:space="preserve">2026</w:t>
        </w:r>
      </w:hyperlink>
      <w:r>
        <w:t xml:space="preserve">)</w:t>
      </w:r>
      <w:r>
        <w:t xml:space="preserve"> </w:t>
      </w:r>
      <w:r>
        <w:t xml:space="preserve">show that recall of the retrieved set can differ from what reaches the reader once a context budget forces truncation.</w:t>
      </w:r>
    </w:p>
    <w:bookmarkEnd w:id="22"/>
    <w:bookmarkStart w:id="23" w:name="context-composition"/>
    <w:p>
      <w:pPr>
        <w:pStyle w:val="Heading2"/>
      </w:pPr>
      <w:r>
        <w:t xml:space="preserve">Context composition</w:t>
      </w:r>
    </w:p>
    <w:p>
      <w:pPr>
        <w:pStyle w:val="FirstParagraph"/>
      </w:pPr>
      <w:r>
        <w:t xml:space="preserve">Readers are sensitive to the passages placed next to the gold passage.</w:t>
      </w:r>
      <w:r>
        <w:t xml:space="preserve"> </w:t>
      </w:r>
      <w:r>
        <w:t xml:space="preserve">Shi et al. (</w:t>
      </w:r>
      <w:hyperlink w:anchor="ref-shi2023distracted">
        <w:r>
          <w:rPr>
            <w:rStyle w:val="Hyperlink"/>
          </w:rPr>
          <w:t xml:space="preserve">2023</w:t>
        </w:r>
      </w:hyperlink>
      <w:r>
        <w:t xml:space="preserve">)</w:t>
      </w:r>
      <w:r>
        <w:t xml:space="preserve"> </w:t>
      </w:r>
      <w:r>
        <w:t xml:space="preserve">show that irrelevant context distracts language models.</w:t>
      </w:r>
      <w:r>
        <w:t xml:space="preserve"> </w:t>
      </w:r>
      <w:r>
        <w:t xml:space="preserve">Cuconasu et al. (</w:t>
      </w:r>
      <w:hyperlink w:anchor="ref-cuconasu2024power">
        <w:r>
          <w:rPr>
            <w:rStyle w:val="Hyperlink"/>
          </w:rPr>
          <w:t xml:space="preserve">2024</w:t>
        </w:r>
      </w:hyperlink>
      <w:r>
        <w:t xml:space="preserve">)</w:t>
      </w:r>
      <w:r>
        <w:t xml:space="preserve"> </w:t>
      </w:r>
      <w:r>
        <w:t xml:space="preserve">find that high-scoring passages without the answer lower accuracy, while random passages placed before the gold passage can raise it.</w:t>
      </w:r>
      <w:r>
        <w:t xml:space="preserve"> </w:t>
      </w:r>
      <w:r>
        <w:t xml:space="preserve">Amiraz et al. (</w:t>
      </w:r>
      <w:hyperlink w:anchor="ref-amiraz2025distracting">
        <w:r>
          <w:rPr>
            <w:rStyle w:val="Hyperlink"/>
          </w:rPr>
          <w:t xml:space="preserve">2025</w:t>
        </w:r>
      </w:hyperlink>
      <w:r>
        <w:t xml:space="preserve">)</w:t>
      </w:r>
      <w:r>
        <w:t xml:space="preserve"> </w:t>
      </w:r>
      <w:r>
        <w:t xml:space="preserve">quantify a distracting effect per passage.</w:t>
      </w:r>
      <w:r>
        <w:t xml:space="preserve"> </w:t>
      </w:r>
      <w:r>
        <w:t xml:space="preserve">Jin et al. (</w:t>
      </w:r>
      <w:hyperlink w:anchor="ref-jin2024longcontext">
        <w:r>
          <w:rPr>
            <w:rStyle w:val="Hyperlink"/>
          </w:rPr>
          <w:t xml:space="preserve">2024</w:t>
        </w:r>
      </w:hyperlink>
      <w:r>
        <w:t xml:space="preserve">)</w:t>
      </w:r>
      <w:r>
        <w:t xml:space="preserve"> </w:t>
      </w:r>
      <w:r>
        <w:t xml:space="preserve">attribute the drop in quality at large retrieval depth to hard negatives, and</w:t>
      </w:r>
      <w:r>
        <w:t xml:space="preserve"> </w:t>
      </w:r>
      <w:r>
        <w:t xml:space="preserve">Repantis et al. (</w:t>
      </w:r>
      <w:hyperlink w:anchor="ref-repantis2026competition">
        <w:r>
          <w:rPr>
            <w:rStyle w:val="Hyperlink"/>
          </w:rPr>
          <w:t xml:space="preserve">2026</w:t>
        </w:r>
      </w:hyperlink>
      <w:r>
        <w:t xml:space="preserve">)</w:t>
      </w:r>
      <w:r>
        <w:t xml:space="preserve"> </w:t>
      </w:r>
      <w:r>
        <w:t xml:space="preserve">isolate competition between passages from context length. Position effects were reported for long contexts</w:t>
      </w:r>
      <w:r>
        <w:t xml:space="preserve"> </w:t>
      </w:r>
      <w:r>
        <w:t xml:space="preserve">(</w:t>
      </w:r>
      <w:hyperlink w:anchor="ref-liu2024lost">
        <w:r>
          <w:rPr>
            <w:rStyle w:val="Hyperlink"/>
          </w:rPr>
          <w:t xml:space="preserve">Liu et al. 2024</w:t>
        </w:r>
      </w:hyperlink>
      <w:r>
        <w:t xml:space="preserve">)</w:t>
      </w:r>
      <w:r>
        <w:t xml:space="preserve">, but</w:t>
      </w:r>
      <w:r>
        <w:t xml:space="preserve"> </w:t>
      </w:r>
      <w:r>
        <w:t xml:space="preserve">Cuconasu et al. (</w:t>
      </w:r>
      <w:hyperlink w:anchor="ref-cuconasu2025positional">
        <w:r>
          <w:rPr>
            <w:rStyle w:val="Hyperlink"/>
          </w:rPr>
          <w:t xml:space="preserve">2025</w:t>
        </w:r>
      </w:hyperlink>
      <w:r>
        <w:t xml:space="preserve">)</w:t>
      </w:r>
      <w:r>
        <w:t xml:space="preserve"> </w:t>
      </w:r>
      <w:r>
        <w:t xml:space="preserve">find them marginal in realistic retrieval settings.</w:t>
      </w:r>
      <w:r>
        <w:t xml:space="preserve"> </w:t>
      </w:r>
      <w:r>
        <w:t xml:space="preserve">Hsia et al. (</w:t>
      </w:r>
      <w:hyperlink w:anchor="ref-hsia2025ragged">
        <w:r>
          <w:rPr>
            <w:rStyle w:val="Hyperlink"/>
          </w:rPr>
          <w:t xml:space="preserve">2025</w:t>
        </w:r>
      </w:hyperlink>
      <w:r>
        <w:t xml:space="preserve">)</w:t>
      </w:r>
      <w:r>
        <w:t xml:space="preserve"> </w:t>
      </w:r>
      <w:r>
        <w:t xml:space="preserve">report that the reader’s tolerance of noise shapes how a RAG system scales with retrieval depth, and</w:t>
      </w:r>
      <w:r>
        <w:t xml:space="preserve"> </w:t>
      </w:r>
      <w:r>
        <w:t xml:space="preserve">Zhao et al. (</w:t>
      </w:r>
      <w:hyperlink w:anchor="ref-zhao2026design">
        <w:r>
          <w:rPr>
            <w:rStyle w:val="Hyperlink"/>
          </w:rPr>
          <w:t xml:space="preserve">2026</w:t>
        </w:r>
      </w:hyperlink>
      <w:r>
        <w:t xml:space="preserve">)</w:t>
      </w:r>
      <w:r>
        <w:t xml:space="preserve"> </w:t>
      </w:r>
      <w:r>
        <w:t xml:space="preserve">find that 5–10 documents work best for question answering across several models.</w:t>
      </w:r>
    </w:p>
    <w:bookmarkEnd w:id="23"/>
    <w:bookmarkStart w:id="24" w:name="encoder-cost"/>
    <w:p>
      <w:pPr>
        <w:pStyle w:val="Heading2"/>
      </w:pPr>
      <w:r>
        <w:t xml:space="preserve">Encoder cost</w:t>
      </w:r>
    </w:p>
    <w:p>
      <w:pPr>
        <w:pStyle w:val="FirstParagraph"/>
      </w:pPr>
      <w:r>
        <w:t xml:space="preserve">Embedding benchmarks report quality; cost is rarely measured in the same study.</w:t>
      </w:r>
      <w:r>
        <w:t xml:space="preserve"> </w:t>
      </w:r>
      <w:r>
        <w:t xml:space="preserve">Assadi, Muennighoff, and Lee (</w:t>
      </w:r>
      <w:hyperlink w:anchor="ref-elassadi2026embedder">
        <w:r>
          <w:rPr>
            <w:rStyle w:val="Hyperlink"/>
          </w:rPr>
          <w:t xml:space="preserve">2026</w:t>
        </w:r>
      </w:hyperlink>
      <w:r>
        <w:t xml:space="preserve">)</w:t>
      </w:r>
      <w:r>
        <w:t xml:space="preserve"> </w:t>
      </w:r>
      <w:r>
        <w:t xml:space="preserve">compare the cost of embedding models and language models on embedding tasks, without a reader. Approximate nearest-neighbour search reduces query cost</w:t>
      </w:r>
      <w:r>
        <w:t xml:space="preserve"> </w:t>
      </w:r>
      <w:r>
        <w:t xml:space="preserve">(</w:t>
      </w:r>
      <w:hyperlink w:anchor="ref-malkov2020hnsw">
        <w:r>
          <w:rPr>
            <w:rStyle w:val="Hyperlink"/>
          </w:rPr>
          <w:t xml:space="preserve">Malkov and Yashunin 2020</w:t>
        </w:r>
      </w:hyperlink>
      <w:r>
        <w:t xml:space="preserve">;</w:t>
      </w:r>
      <w:r>
        <w:t xml:space="preserve"> </w:t>
      </w:r>
      <w:hyperlink w:anchor="ref-johnson2021faiss">
        <w:r>
          <w:rPr>
            <w:rStyle w:val="Hyperlink"/>
          </w:rPr>
          <w:t xml:space="preserve">Johnson, Douze, and Jegou 2021</w:t>
        </w:r>
      </w:hyperlink>
      <w:r>
        <w:t xml:space="preserve">)</w:t>
      </w:r>
      <w:r>
        <w:t xml:space="preserve">;</w:t>
      </w:r>
      <w:r>
        <w:t xml:space="preserve"> </w:t>
      </w:r>
      <w:r>
        <w:t xml:space="preserve">Leto et al. (</w:t>
      </w:r>
      <w:hyperlink w:anchor="ref-leto2024toward">
        <w:r>
          <w:rPr>
            <w:rStyle w:val="Hyperlink"/>
          </w:rPr>
          <w:t xml:space="preserve">2024</w:t>
        </w:r>
      </w:hyperlink>
      <w:r>
        <w:t xml:space="preserve">)</w:t>
      </w:r>
      <w:r>
        <w:t xml:space="preserve"> </w:t>
      </w:r>
      <w:r>
        <w:t xml:space="preserve">find that it changes answer quality little. Efficient serving</w:t>
      </w:r>
      <w:r>
        <w:t xml:space="preserve"> </w:t>
      </w:r>
      <w:r>
        <w:t xml:space="preserve">(</w:t>
      </w:r>
      <w:hyperlink w:anchor="ref-kwon2023vllm">
        <w:r>
          <w:rPr>
            <w:rStyle w:val="Hyperlink"/>
          </w:rPr>
          <w:t xml:space="preserve">Kwon et al. 2023</w:t>
        </w:r>
      </w:hyperlink>
      <w:r>
        <w:t xml:space="preserve">)</w:t>
      </w:r>
      <w:r>
        <w:t xml:space="preserve"> </w:t>
      </w:r>
      <w:r>
        <w:t xml:space="preserve">and weight quantisation</w:t>
      </w:r>
      <w:r>
        <w:t xml:space="preserve"> </w:t>
      </w:r>
      <w:r>
        <w:t xml:space="preserve">(</w:t>
      </w:r>
      <w:hyperlink w:anchor="ref-lin2024awq">
        <w:r>
          <w:rPr>
            <w:rStyle w:val="Hyperlink"/>
          </w:rPr>
          <w:t xml:space="preserve">Lin et al. 2024</w:t>
        </w:r>
      </w:hyperlink>
      <w:r>
        <w:t xml:space="preserve">)</w:t>
      </w:r>
      <w:r>
        <w:t xml:space="preserve"> </w:t>
      </w:r>
      <w:r>
        <w:t xml:space="preserve">make 7–8B readers fit on one consumer-grade GPU.</w:t>
      </w:r>
    </w:p>
    <w:bookmarkEnd w:id="24"/>
    <w:bookmarkStart w:id="25" w:name="evaluation-practice"/>
    <w:p>
      <w:pPr>
        <w:pStyle w:val="Heading2"/>
      </w:pPr>
      <w:r>
        <w:t xml:space="preserve">Evaluation practice</w:t>
      </w:r>
    </w:p>
    <w:p>
      <w:pPr>
        <w:pStyle w:val="FirstParagraph"/>
      </w:pPr>
      <w:r>
        <w:t xml:space="preserve">RAG evaluation frameworks use language models as judges</w:t>
      </w:r>
      <w:r>
        <w:t xml:space="preserve"> </w:t>
      </w:r>
      <w:r>
        <w:t xml:space="preserve">(</w:t>
      </w:r>
      <w:hyperlink w:anchor="ref-es2024ragas">
        <w:r>
          <w:rPr>
            <w:rStyle w:val="Hyperlink"/>
          </w:rPr>
          <w:t xml:space="preserve">Es et al. 2024</w:t>
        </w:r>
      </w:hyperlink>
      <w:r>
        <w:t xml:space="preserve">;</w:t>
      </w:r>
      <w:r>
        <w:t xml:space="preserve"> </w:t>
      </w:r>
      <w:hyperlink w:anchor="ref-saadfalcon2024ares">
        <w:r>
          <w:rPr>
            <w:rStyle w:val="Hyperlink"/>
          </w:rPr>
          <w:t xml:space="preserve">Saad-Falcon et al. 2024</w:t>
        </w:r>
      </w:hyperlink>
      <w:r>
        <w:t xml:space="preserve">;</w:t>
      </w:r>
      <w:r>
        <w:t xml:space="preserve"> </w:t>
      </w:r>
      <w:hyperlink w:anchor="ref-zheng2023judge">
        <w:r>
          <w:rPr>
            <w:rStyle w:val="Hyperlink"/>
          </w:rPr>
          <w:t xml:space="preserve">Zheng et al. 2023</w:t>
        </w:r>
      </w:hyperlink>
      <w:r>
        <w:t xml:space="preserve">)</w:t>
      </w:r>
      <w:r>
        <w:t xml:space="preserve">, and benchmarks package many retrievers and readers</w:t>
      </w:r>
      <w:r>
        <w:t xml:space="preserve"> </w:t>
      </w:r>
      <w:r>
        <w:t xml:space="preserve">(</w:t>
      </w:r>
      <w:hyperlink w:anchor="ref-rau2024bergen">
        <w:r>
          <w:rPr>
            <w:rStyle w:val="Hyperlink"/>
          </w:rPr>
          <w:t xml:space="preserve">Rau et al. 2024</w:t>
        </w:r>
      </w:hyperlink>
      <w:r>
        <w:t xml:space="preserve">;</w:t>
      </w:r>
      <w:r>
        <w:t xml:space="preserve"> </w:t>
      </w:r>
      <w:hyperlink w:anchor="ref-petroni2021kilt">
        <w:r>
          <w:rPr>
            <w:rStyle w:val="Hyperlink"/>
          </w:rPr>
          <w:t xml:space="preserve">Petroni et al. 2021</w:t>
        </w:r>
      </w:hyperlink>
      <w:r>
        <w:t xml:space="preserve">;</w:t>
      </w:r>
      <w:r>
        <w:t xml:space="preserve"> </w:t>
      </w:r>
      <w:hyperlink w:anchor="ref-lyu2025crud">
        <w:r>
          <w:rPr>
            <w:rStyle w:val="Hyperlink"/>
          </w:rPr>
          <w:t xml:space="preserve">Lyu et al. 2025</w:t>
        </w:r>
      </w:hyperlink>
      <w:r>
        <w:t xml:space="preserve">)</w:t>
      </w:r>
      <w:r>
        <w:t xml:space="preserv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 we therefore also report token F1 and answer containment. For significance testing we follow advice from natural language processing and information retrieval: paired tests, multiplicity control and effect sizes with intervals</w:t>
      </w:r>
      <w:r>
        <w:t xml:space="preserve"> </w:t>
      </w:r>
      <w:r>
        <w:t xml:space="preserve">(</w:t>
      </w:r>
      <w:hyperlink w:anchor="ref-dror2018">
        <w:r>
          <w:rPr>
            <w:rStyle w:val="Hyperlink"/>
          </w:rPr>
          <w:t xml:space="preserve">Dror et al. 2018</w:t>
        </w:r>
      </w:hyperlink>
      <w:r>
        <w:t xml:space="preserve">;</w:t>
      </w:r>
      <w:r>
        <w:t xml:space="preserve"> </w:t>
      </w:r>
      <w:hyperlink w:anchor="ref-smucker2007">
        <w:r>
          <w:rPr>
            <w:rStyle w:val="Hyperlink"/>
          </w:rPr>
          <w:t xml:space="preserve">Smucker, Allan, and Carterette 2007</w:t>
        </w:r>
      </w:hyperlink>
      <w:r>
        <w:t xml:space="preserve">;</w:t>
      </w:r>
      <w:r>
        <w:t xml:space="preserve"> </w:t>
      </w:r>
      <w:hyperlink w:anchor="ref-sakai2014">
        <w:r>
          <w:rPr>
            <w:rStyle w:val="Hyperlink"/>
          </w:rPr>
          <w:t xml:space="preserve">Sakai 2014</w:t>
        </w:r>
      </w:hyperlink>
      <w:r>
        <w:t xml:space="preserve">)</w:t>
      </w:r>
      <w:r>
        <w:t xml:space="preserve">.</w:t>
      </w:r>
    </w:p>
    <w:bookmarkEnd w:id="25"/>
    <w:bookmarkEnd w:id="26"/>
    <w:bookmarkStart w:id="52" w:name="sec:method"/>
    <w:p>
      <w:pPr>
        <w:pStyle w:val="Heading1"/>
      </w:pPr>
      <w:r>
        <w:t xml:space="preserve">Method</w:t>
      </w:r>
    </w:p>
    <w:p>
      <w:pPr>
        <w:pStyle w:val="FirstParagraph"/>
      </w:pPr>
      <w:r>
        <w:t xml:space="preserve">Fig. </w:t>
      </w:r>
      <w:hyperlink w:anchor="fig:system">
        <w:r>
          <w:rPr>
            <w:rStyle w:val="Hyperlink"/>
          </w:rPr>
          <w:t xml:space="preserve">1</w:t>
        </w:r>
      </w:hyperlink>
      <w:r>
        <w:t xml:space="preserve"> </w:t>
      </w:r>
      <w:r>
        <w:t xml:space="preserve">shows the system under test. A question goes to one of seven retrievers, which searches a fixed corpus; the top</w:t>
      </w:r>
      <w:r>
        <w:t xml:space="preserve"> </w:t>
      </w:r>
      <m:oMath>
        <m:r>
          <m:t>k</m:t>
        </m:r>
      </m:oMath>
      <w:r>
        <w:t xml:space="preserve"> </w:t>
      </w:r>
      <w:r>
        <w:t xml:space="preserve">passages go to one of two readers; the answer is scored against reference answers. Only the retriever changes between conditions within a reader–dataset cell.</w:t>
      </w:r>
    </w:p>
    <w:p>
      <w:pPr>
        <w:pStyle w:val="CaptionedFigure"/>
      </w:pPr>
      <w:r>
        <w:drawing>
          <wp:inline>
            <wp:extent cx="5334000" cy="1936586"/>
            <wp:effectExtent b="0" l="0" r="0" t="0"/>
            <wp:docPr descr="" title="" id="28" name="Picture"/>
            <a:graphic>
              <a:graphicData uri="http://schemas.openxmlformats.org/drawingml/2006/picture">
                <pic:pic>
                  <pic:nvPicPr>
                    <pic:cNvPr descr="/home/claude/rag-embed-transfer/paper_figures/out/fig7_system.png" id="29" name="Picture"/>
                    <pic:cNvPicPr>
                      <a:picLocks noChangeArrowheads="1" noChangeAspect="1"/>
                    </pic:cNvPicPr>
                  </pic:nvPicPr>
                  <pic:blipFill>
                    <a:blip r:embed="rId27"/>
                    <a:stretch>
                      <a:fillRect/>
                    </a:stretch>
                  </pic:blipFill>
                  <pic:spPr bwMode="auto">
                    <a:xfrm>
                      <a:off x="0" y="0"/>
                      <a:ext cx="5334000" cy="1936586"/>
                    </a:xfrm>
                    <a:prstGeom prst="rect">
                      <a:avLst/>
                    </a:prstGeom>
                    <a:noFill/>
                    <a:ln w="9525">
                      <a:noFill/>
                      <a:headEnd/>
                      <a:tailEnd/>
                    </a:ln>
                  </pic:spPr>
                </pic:pic>
              </a:graphicData>
            </a:graphic>
          </wp:inline>
        </w:drawing>
      </w:r>
    </w:p>
    <w:p>
      <w:pPr>
        <w:pStyle w:val="ImageCaption"/>
      </w:pPr>
      <w:r>
        <w:t xml:space="preserve">System under test. Within a reader–dataset cell only the retriever changes. Cost is measured at the retrieval stage. The LLM judge was used only in Phase 1 and was later excluded (Section </w:t>
      </w:r>
      <w:hyperlink w:anchor="sec:res-judge">
        <w:r>
          <w:rPr>
            <w:rStyle w:val="Hyperlink"/>
          </w:rPr>
          <w:t xml:space="preserve">5.7</w:t>
        </w:r>
      </w:hyperlink>
      <w:r>
        <w:t xml:space="preserve">).</w:t>
      </w:r>
    </w:p>
    <w:bookmarkStart w:id="31" w:name="sec:ratio"/>
    <w:p>
      <w:pPr>
        <w:pStyle w:val="Heading2"/>
      </w:pPr>
      <w:r>
        <w:t xml:space="preserve">Transfer ratio</w:t>
      </w:r>
    </w:p>
    <w:p>
      <w:pPr>
        <w:pStyle w:val="FirstParagraph"/>
      </w:pPr>
      <w:r>
        <w:t xml:space="preserve">Let</w:t>
      </w:r>
      <w:r>
        <w:t xml:space="preserve"> </w:t>
      </w:r>
      <m:oMath>
        <m:r>
          <m:t>Q</m:t>
        </m:r>
      </m:oMath>
      <w:r>
        <w:t xml:space="preserve"> </w:t>
      </w:r>
      <w:r>
        <w:t xml:space="preserve">be a fixed set of generation queries. For retriever</w:t>
      </w:r>
      <w:r>
        <w:t xml:space="preserve"> </w:t>
      </w:r>
      <m:oMath>
        <m:r>
          <m:t>R</m:t>
        </m:r>
      </m:oMath>
      <w:r>
        <w:t xml:space="preserve"> </w:t>
      </w:r>
      <w:r>
        <w:t xml:space="preserve">and query</w:t>
      </w:r>
      <w:r>
        <w:t xml:space="preserve"> </w:t>
      </w:r>
      <m:oMath>
        <m:r>
          <m:t>q</m:t>
        </m:r>
      </m:oMath>
      <w:r>
        <w:t xml:space="preserve">, let</w:t>
      </w:r>
      <w:r>
        <w:t xml:space="preserve"> </w:t>
      </w:r>
      <m:oMath>
        <m:sSub>
          <m:e>
            <m:r>
              <m:t>h</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indicate that at least one gold passage of</w:t>
      </w:r>
      <w:r>
        <w:t xml:space="preserve"> </w:t>
      </w:r>
      <m:oMath>
        <m:r>
          <m:t>q</m:t>
        </m:r>
      </m:oMath>
      <w:r>
        <w:t xml:space="preserve"> </w:t>
      </w:r>
      <w:r>
        <w:t xml:space="preserve">is among the top five passages, and let</w:t>
      </w:r>
      <w:r>
        <w:t xml:space="preserve"> </w:t>
      </w:r>
      <m:oMath>
        <m:sSub>
          <m:e>
            <m:r>
              <m:t>e</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be the exact match of the reader’s answer given those five passages. Write</w:t>
      </w:r>
      <w:r>
        <w:t xml:space="preserve"> </w:t>
      </w:r>
      <m:oMath>
        <m:sSub>
          <m:e>
            <m:acc>
              <m:accPr>
                <m:chr m:val="‾"/>
              </m:accPr>
              <m:e>
                <m:r>
                  <m:t>h</m:t>
                </m:r>
              </m:e>
            </m:acc>
          </m:e>
          <m:sub>
            <m:r>
              <m:t>R</m:t>
            </m:r>
          </m:sub>
        </m:sSub>
      </m:oMath>
      <w:r>
        <w:t xml:space="preserve"> </w:t>
      </w:r>
      <w:r>
        <w:t xml:space="preserve">and</w:t>
      </w:r>
      <w:r>
        <w:t xml:space="preserve"> </w:t>
      </w:r>
      <m:oMath>
        <m:sSub>
          <m:e>
            <m:acc>
              <m:accPr>
                <m:chr m:val="‾"/>
              </m:accPr>
              <m:e>
                <m:r>
                  <m:t>e</m:t>
                </m:r>
              </m:e>
            </m:acc>
          </m:e>
          <m:sub>
            <m:r>
              <m:t>R</m:t>
            </m:r>
          </m:sub>
        </m:sSub>
      </m:oMath>
      <w:r>
        <w:t xml:space="preserve"> </w:t>
      </w:r>
      <w:r>
        <w:t xml:space="preserve">for the means over</w:t>
      </w:r>
      <w:r>
        <w:t xml:space="preserve"> </w:t>
      </w:r>
      <m:oMath>
        <m:r>
          <m:t>Q</m:t>
        </m:r>
      </m:oMath>
      <w:r>
        <w:t xml:space="preserve">. With MiniLM-L6 as the baseline</w:t>
      </w:r>
      <w:r>
        <w:t xml:space="preserve"> </w:t>
      </w:r>
      <m:oMath>
        <m:sSub>
          <m:e>
            <m:r>
              <m:t>R</m:t>
            </m:r>
          </m:e>
          <m:sub>
            <m:r>
              <m:t>1</m:t>
            </m:r>
          </m:sub>
        </m:sSub>
      </m:oMath>
      <w:r>
        <w:t xml:space="preserve">, the transfer ratio is</w:t>
      </w:r>
    </w:p>
    <w:p>
      <w:pPr>
        <w:pStyle w:val="BodyText"/>
      </w:pPr>
      <m:oMathPara>
        <m:oMathParaPr>
          <m:jc m:val="center"/>
        </m:oMathParaPr>
        <m:oMath>
          <m:r>
            <m:t>T</m:t>
          </m:r>
          <m:d>
            <m:dPr>
              <m:begChr m:val="("/>
              <m:endChr m:val=")"/>
              <m:sepChr m:val=""/>
              <m:grow/>
            </m:dPr>
            <m:e>
              <m:r>
                <m:t>R</m:t>
              </m:r>
            </m:e>
          </m:d>
          <m:r>
            <m:rPr>
              <m:sty m:val="p"/>
            </m:rPr>
            <m:t>=</m:t>
          </m:r>
          <m:f>
            <m:fPr>
              <m:type m:val="bar"/>
            </m:fPr>
            <m:num>
              <m:sSub>
                <m:e>
                  <m:acc>
                    <m:accPr>
                      <m:chr m:val="‾"/>
                    </m:accPr>
                    <m:e>
                      <m:r>
                        <m:t>e</m:t>
                      </m:r>
                    </m:e>
                  </m:acc>
                </m:e>
                <m:sub>
                  <m:r>
                    <m:t>R</m:t>
                  </m:r>
                </m:sub>
              </m:sSub>
              <m:r>
                <m:rPr>
                  <m:sty m:val="p"/>
                </m:rPr>
                <m:t>−</m:t>
              </m:r>
              <m:sSub>
                <m:e>
                  <m:acc>
                    <m:accPr>
                      <m:chr m:val="‾"/>
                    </m:accPr>
                    <m:e>
                      <m:r>
                        <m:t>e</m:t>
                      </m:r>
                    </m:e>
                  </m:acc>
                </m:e>
                <m:sub>
                  <m:sSub>
                    <m:e>
                      <m:r>
                        <m:t>R</m:t>
                      </m:r>
                    </m:e>
                    <m:sub>
                      <m:r>
                        <m:t>1</m:t>
                      </m:r>
                    </m:sub>
                  </m:sSub>
                </m:sub>
              </m:sSub>
            </m:num>
            <m:den>
              <m:sSub>
                <m:e>
                  <m:acc>
                    <m:accPr>
                      <m:chr m:val="‾"/>
                    </m:accPr>
                    <m:e>
                      <m:r>
                        <m:t>h</m:t>
                      </m:r>
                    </m:e>
                  </m:acc>
                </m:e>
                <m:sub>
                  <m:r>
                    <m:t>R</m:t>
                  </m:r>
                </m:sub>
              </m:sSub>
              <m:r>
                <m:rPr>
                  <m:sty m:val="p"/>
                </m:rPr>
                <m:t>−</m:t>
              </m:r>
              <m:sSub>
                <m:e>
                  <m:acc>
                    <m:accPr>
                      <m:chr m:val="‾"/>
                    </m:accPr>
                    <m:e>
                      <m:r>
                        <m:t>h</m:t>
                      </m:r>
                    </m:e>
                  </m:acc>
                </m:e>
                <m:sub>
                  <m:sSub>
                    <m:e>
                      <m:r>
                        <m:t>R</m:t>
                      </m:r>
                    </m:e>
                    <m:sub>
                      <m:r>
                        <m:t>1</m:t>
                      </m:r>
                    </m:sub>
                  </m:sSub>
                </m:sub>
              </m:sSub>
            </m:den>
          </m:f>
          <m:r>
            <m:rPr>
              <m:sty m:val="p"/>
            </m:rPr>
            <m:t>.</m:t>
          </m:r>
        </m:oMath>
      </m:oMathPara>
    </w:p>
    <w:p>
      <w:pPr>
        <w:pStyle w:val="FirstParagraph"/>
      </w:pPr>
      <w:r>
        <w:t xml:space="preserve">Both differences are paired: they use the same queries, the same reader, the same prompt and the same decoding.</w:t>
      </w:r>
      <w:r>
        <w:t xml:space="preserve"> </w:t>
      </w:r>
      <m:oMath>
        <m:r>
          <m:t>T</m:t>
        </m:r>
        <m:d>
          <m:dPr>
            <m:begChr m:val="("/>
            <m:endChr m:val=")"/>
            <m:sepChr m:val=""/>
            <m:grow/>
          </m:dPr>
          <m:e>
            <m:r>
              <m:t>R</m:t>
            </m:r>
          </m:e>
        </m:d>
      </m:oMath>
      <w:r>
        <w:t xml:space="preserve"> </w:t>
      </w:r>
      <w:r>
        <w:t xml:space="preserve">is a ratio of mean differences. It is not the probability that one extra hit produces one extra correct answer, because the queries that gain a hit need not be the queries that gain an answer. We report</w:t>
      </w:r>
      <w:r>
        <w:t xml:space="preserve"> </w:t>
      </w:r>
      <m:oMath>
        <m:r>
          <m:t>T</m:t>
        </m:r>
        <m:d>
          <m:dPr>
            <m:begChr m:val="("/>
            <m:endChr m:val=")"/>
            <m:sepChr m:val=""/>
            <m:grow/>
          </m:dPr>
          <m:e>
            <m:r>
              <m:t>R</m:t>
            </m:r>
          </m:e>
        </m:d>
      </m:oMath>
      <w:r>
        <w:t xml:space="preserve"> </w:t>
      </w:r>
      <w:r>
        <w:t xml:space="preserve">only if</w:t>
      </w:r>
      <w:r>
        <w:t xml:space="preserve"> </w:t>
      </w:r>
      <m:oMath>
        <m:d>
          <m:dPr>
            <m:begChr m:val="|"/>
            <m:endChr m:val="|"/>
            <m:sepChr m:val=""/>
            <m:grow/>
          </m:dPr>
          <m:e>
            <m:sSub>
              <m:e>
                <m:acc>
                  <m:accPr>
                    <m:chr m:val="‾"/>
                  </m:accPr>
                  <m:e>
                    <m:r>
                      <m:t>h</m:t>
                    </m:r>
                  </m:e>
                </m:acc>
              </m:e>
              <m:sub>
                <m:r>
                  <m:t>R</m:t>
                </m:r>
              </m:sub>
            </m:sSub>
            <m:r>
              <m:rPr>
                <m:sty m:val="p"/>
              </m:rPr>
              <m:t>−</m:t>
            </m:r>
            <m:sSub>
              <m:e>
                <m:acc>
                  <m:accPr>
                    <m:chr m:val="‾"/>
                  </m:accPr>
                  <m:e>
                    <m:r>
                      <m:t>h</m:t>
                    </m:r>
                  </m:e>
                </m:acc>
              </m:e>
              <m:sub>
                <m:sSub>
                  <m:e>
                    <m:r>
                      <m:t>R</m:t>
                    </m:r>
                  </m:e>
                  <m:sub>
                    <m:r>
                      <m:t>1</m:t>
                    </m:r>
                  </m:sub>
                </m:sSub>
              </m:sub>
            </m:sSub>
          </m:e>
        </m:d>
      </m:oMath>
      <w:r>
        <w:t xml:space="preserve"> </w:t>
      </w:r>
      <w:r>
        <w:t xml:space="preserve">exceeds 2 percentage points and the Hit@5 difference is significant after Holm correction; otherwise the ratio is marked as not estimable. This rule was fixed in the Phase 1 design to avoid ratios with near-zero denominators.</w:t>
      </w:r>
    </w:p>
    <w:bookmarkStart w:id="30" w:name="decomposition"/>
    <w:p>
      <w:pPr>
        <w:pStyle w:val="Heading4"/>
      </w:pPr>
      <w:r>
        <w:t xml:space="preserve">Decomposition</w:t>
      </w:r>
    </w:p>
    <w:p>
      <w:pPr>
        <w:pStyle w:val="FirstParagraph"/>
      </w:pPr>
      <w:r>
        <w:t xml:space="preserve">Let</w:t>
      </w:r>
      <w:r>
        <w:t xml:space="preserve"> </w:t>
      </w:r>
      <m:oMath>
        <m:sSub>
          <m:e>
            <m:r>
              <m:t>a</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1</m:t>
            </m:r>
          </m:e>
        </m:d>
      </m:oMath>
      <w:r>
        <w:t xml:space="preserve"> </w:t>
      </w:r>
      <w:r>
        <w:t xml:space="preserve">and</w:t>
      </w:r>
      <w:r>
        <w:t xml:space="preserve"> </w:t>
      </w:r>
      <m:oMath>
        <m:sSub>
          <m:e>
            <m:r>
              <m:t>b</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0</m:t>
            </m:r>
          </m:e>
        </m:d>
      </m:oMath>
      <w:r>
        <w:t xml:space="preserve"> </w:t>
      </w:r>
      <w:r>
        <w:t xml:space="preserve">be the EM rates among hits and misses. Then</w:t>
      </w:r>
      <w:r>
        <w:t xml:space="preserve"> </w:t>
      </w:r>
      <m:oMath>
        <m:sSub>
          <m:e>
            <m:acc>
              <m:accPr>
                <m:chr m:val="‾"/>
              </m:accPr>
              <m:e>
                <m:r>
                  <m:t>e</m:t>
                </m:r>
              </m:e>
            </m:acc>
          </m:e>
          <m:sub>
            <m:r>
              <m:t>R</m:t>
            </m:r>
          </m:sub>
        </m:sSub>
        <m:r>
          <m:rPr>
            <m:sty m:val="p"/>
          </m:rPr>
          <m:t>=</m:t>
        </m:r>
        <m:sSub>
          <m:e>
            <m:acc>
              <m:accPr>
                <m:chr m:val="‾"/>
              </m:accPr>
              <m:e>
                <m:r>
                  <m:t>h</m:t>
                </m:r>
              </m:e>
            </m:acc>
          </m:e>
          <m:sub>
            <m:r>
              <m:t>R</m:t>
            </m:r>
          </m:sub>
        </m:sSub>
        <m:sSub>
          <m:e>
            <m:r>
              <m:t>a</m:t>
            </m:r>
          </m:e>
          <m:sub>
            <m:r>
              <m:t>R</m:t>
            </m:r>
          </m:sub>
        </m:sSub>
        <m:r>
          <m:rPr>
            <m:sty m:val="p"/>
          </m:rPr>
          <m:t>+</m:t>
        </m:r>
        <m:d>
          <m:dPr>
            <m:begChr m:val="("/>
            <m:endChr m:val=")"/>
            <m:sepChr m:val=""/>
            <m:grow/>
          </m:dPr>
          <m:e>
            <m:r>
              <m:t>1</m:t>
            </m:r>
            <m:r>
              <m:rPr>
                <m:sty m:val="p"/>
              </m:rPr>
              <m:t>−</m:t>
            </m:r>
            <m:sSub>
              <m:e>
                <m:acc>
                  <m:accPr>
                    <m:chr m:val="‾"/>
                  </m:accPr>
                  <m:e>
                    <m:r>
                      <m:t>h</m:t>
                    </m:r>
                  </m:e>
                </m:acc>
              </m:e>
              <m:sub>
                <m:r>
                  <m:t>R</m:t>
                </m:r>
              </m:sub>
            </m:sSub>
          </m:e>
        </m:d>
        <m:sSub>
          <m:e>
            <m:r>
              <m:t>b</m:t>
            </m:r>
          </m:e>
          <m:sub>
            <m:r>
              <m:t>R</m:t>
            </m:r>
          </m:sub>
        </m:sSub>
      </m:oMath>
      <w:r>
        <w:t xml:space="preserve">, and Eq. </w:t>
      </w:r>
      <w:hyperlink w:anchor="eq:ratio">
        <w:r>
          <w:rPr>
            <w:rStyle w:val="Hyperlink"/>
          </w:rPr>
          <w:t xml:space="preserve">[eq:ratio]</w:t>
        </w:r>
      </w:hyperlink>
      <w:r>
        <w:t xml:space="preserve"> </w:t>
      </w:r>
      <w:r>
        <w:t xml:space="preserve">splits exactly into</w:t>
      </w:r>
    </w:p>
    <w:p>
      <w:pPr>
        <w:pStyle w:val="BodyText"/>
      </w:pPr>
      <m:oMathPara>
        <m:oMathParaPr>
          <m:jc m:val="center"/>
        </m:oMathParaPr>
        <m:oMath>
          <m:r>
            <m:t>T</m:t>
          </m:r>
          <m:d>
            <m:dPr>
              <m:begChr m:val="("/>
              <m:endChr m:val=")"/>
              <m:sepChr m:val=""/>
              <m:grow/>
            </m:dPr>
            <m:e>
              <m:r>
                <m:t>R</m:t>
              </m:r>
            </m:e>
          </m:d>
          <m:r>
            <m:rPr>
              <m:sty m:val="p"/>
            </m:rPr>
            <m:t>=</m:t>
          </m:r>
          <m:limLow>
            <m:e>
              <m:limLow>
                <m:e>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e>
                <m:lim>
                  <m:r>
                    <m:rPr>
                      <m:sty m:val="p"/>
                    </m:rPr>
                    <m:t>⏟</m:t>
                  </m:r>
                </m:lim>
              </m:limLow>
            </m:e>
            <m:lim>
              <m:r>
                <m:rPr>
                  <m:nor/>
                  <m:sty m:val="p"/>
                </m:rPr>
                <m:t>baseline hit–miss gap</m:t>
              </m:r>
            </m:lim>
          </m:limLow>
          <m:r>
            <m:rPr>
              <m:sty m:val="p"/>
            </m:rPr>
            <m:t>+</m:t>
          </m:r>
          <m:limLow>
            <m:e>
              <m:limLow>
                <m:e>
                  <m:f>
                    <m:fPr>
                      <m:type m:val="bar"/>
                    </m:fPr>
                    <m:num>
                      <m:sSub>
                        <m:e>
                          <m:acc>
                            <m:accPr>
                              <m:chr m:val="‾"/>
                            </m:accPr>
                            <m:e>
                              <m:r>
                                <m:t>h</m:t>
                              </m:r>
                            </m:e>
                          </m:acc>
                        </m:e>
                        <m:sub>
                          <m:r>
                            <m:t>R</m:t>
                          </m:r>
                        </m:sub>
                      </m:sSub>
                      <m:r>
                        <m:t> </m:t>
                      </m:r>
                      <m:d>
                        <m:dPr>
                          <m:begChr m:val="("/>
                          <m:endChr m:val=")"/>
                          <m:sepChr m:val=""/>
                          <m:grow/>
                        </m:dPr>
                        <m:e>
                          <m:sSub>
                            <m:e>
                              <m:r>
                                <m:t>a</m:t>
                              </m:r>
                            </m:e>
                            <m:sub>
                              <m:r>
                                <m:t>R</m:t>
                              </m:r>
                            </m:sub>
                          </m:sSub>
                          <m:r>
                            <m:rPr>
                              <m:sty m:val="p"/>
                            </m:rPr>
                            <m:t>−</m:t>
                          </m:r>
                          <m:sSub>
                            <m:e>
                              <m:r>
                                <m:t>a</m:t>
                              </m:r>
                            </m:e>
                            <m:sub>
                              <m:sSub>
                                <m:e>
                                  <m:r>
                                    <m:t>R</m:t>
                                  </m:r>
                                </m:e>
                                <m:sub>
                                  <m:r>
                                    <m:t>1</m:t>
                                  </m:r>
                                </m:sub>
                              </m:sSub>
                            </m:sub>
                          </m:sSub>
                        </m:e>
                      </m:d>
                      <m:r>
                        <m:rPr>
                          <m:sty m:val="p"/>
                        </m:rPr>
                        <m:t>+</m:t>
                      </m:r>
                      <m:d>
                        <m:dPr>
                          <m:begChr m:val="("/>
                          <m:endChr m:val=")"/>
                          <m:sepChr m:val=""/>
                          <m:grow/>
                        </m:dPr>
                        <m:e>
                          <m:r>
                            <m:t>1</m:t>
                          </m:r>
                          <m:r>
                            <m:rPr>
                              <m:sty m:val="p"/>
                            </m:rPr>
                            <m:t>−</m:t>
                          </m:r>
                          <m:sSub>
                            <m:e>
                              <m:acc>
                                <m:accPr>
                                  <m:chr m:val="‾"/>
                                </m:accPr>
                                <m:e>
                                  <m:r>
                                    <m:t>h</m:t>
                                  </m:r>
                                </m:e>
                              </m:acc>
                            </m:e>
                            <m:sub>
                              <m:r>
                                <m:t>R</m:t>
                              </m:r>
                            </m:sub>
                          </m:sSub>
                        </m:e>
                      </m:d>
                      <m:r>
                        <m:t> </m:t>
                      </m:r>
                      <m:d>
                        <m:dPr>
                          <m:begChr m:val="("/>
                          <m:endChr m:val=")"/>
                          <m:sepChr m:val=""/>
                          <m:grow/>
                        </m:dPr>
                        <m:e>
                          <m:sSub>
                            <m:e>
                              <m:r>
                                <m:t>b</m:t>
                              </m:r>
                            </m:e>
                            <m:sub>
                              <m:r>
                                <m:t>R</m:t>
                              </m:r>
                            </m:sub>
                          </m:sSub>
                          <m:r>
                            <m:rPr>
                              <m:sty m:val="p"/>
                            </m:rPr>
                            <m:t>−</m:t>
                          </m:r>
                          <m:sSub>
                            <m:e>
                              <m:r>
                                <m:t>b</m:t>
                              </m:r>
                            </m:e>
                            <m:sub>
                              <m:sSub>
                                <m:e>
                                  <m:r>
                                    <m:t>R</m:t>
                                  </m:r>
                                </m:e>
                                <m:sub>
                                  <m:r>
                                    <m:t>1</m:t>
                                  </m:r>
                                </m:sub>
                              </m:sSub>
                            </m:sub>
                          </m:sSub>
                        </m:e>
                      </m:d>
                    </m:num>
                    <m:den>
                      <m:sSub>
                        <m:e>
                          <m:acc>
                            <m:accPr>
                              <m:chr m:val="‾"/>
                            </m:accPr>
                            <m:e>
                              <m:r>
                                <m:t>h</m:t>
                              </m:r>
                            </m:e>
                          </m:acc>
                        </m:e>
                        <m:sub>
                          <m:r>
                            <m:t>R</m:t>
                          </m:r>
                        </m:sub>
                      </m:sSub>
                      <m:r>
                        <m:rPr>
                          <m:sty m:val="p"/>
                        </m:rPr>
                        <m:t>−</m:t>
                      </m:r>
                      <m:sSub>
                        <m:e>
                          <m:acc>
                            <m:accPr>
                              <m:chr m:val="‾"/>
                            </m:accPr>
                            <m:e>
                              <m:r>
                                <m:t>h</m:t>
                              </m:r>
                            </m:e>
                          </m:acc>
                        </m:e>
                        <m:sub>
                          <m:sSub>
                            <m:e>
                              <m:r>
                                <m:t>R</m:t>
                              </m:r>
                            </m:e>
                            <m:sub>
                              <m:r>
                                <m:t>1</m:t>
                              </m:r>
                            </m:sub>
                          </m:sSub>
                        </m:sub>
                      </m:sSub>
                    </m:den>
                  </m:f>
                </m:e>
                <m:lim>
                  <m:r>
                    <m:rPr>
                      <m:sty m:val="p"/>
                    </m:rPr>
                    <m:t>⏟</m:t>
                  </m:r>
                </m:lim>
              </m:limLow>
            </m:e>
            <m:lim>
              <m:r>
                <m:rPr>
                  <m:nor/>
                  <m:sty m:val="p"/>
                </m:rPr>
                <m:t>change in conditional EM</m:t>
              </m:r>
            </m:lim>
          </m:limLow>
          <m:r>
            <m:rPr>
              <m:sty m:val="p"/>
            </m:rPr>
            <m:t>.</m:t>
          </m:r>
        </m:oMath>
      </m:oMathPara>
    </w:p>
    <w:p>
      <w:pPr>
        <w:pStyle w:val="FirstParagraph"/>
      </w:pPr>
      <w:r>
        <w:t xml:space="preserve">If a better encoder only turned misses into hits and left</w:t>
      </w:r>
      <w:r>
        <w:t xml:space="preserve"> </w:t>
      </w:r>
      <m:oMath>
        <m:r>
          <m:t>a</m:t>
        </m:r>
      </m:oMath>
      <w:r>
        <w:t xml:space="preserve"> </w:t>
      </w:r>
      <w:r>
        <w:t xml:space="preserve">and</w:t>
      </w:r>
      <w:r>
        <w:t xml:space="preserve"> </w:t>
      </w:r>
      <m:oMath>
        <m:r>
          <m:t>b</m:t>
        </m:r>
      </m:oMath>
      <w:r>
        <w:t xml:space="preserve"> </w:t>
      </w:r>
      <w:r>
        <w:t xml:space="preserve">unchanged,</w:t>
      </w:r>
      <w:r>
        <w:t xml:space="preserve"> </w:t>
      </w:r>
      <m:oMath>
        <m:r>
          <m:t>T</m:t>
        </m:r>
        <m:d>
          <m:dPr>
            <m:begChr m:val="("/>
            <m:endChr m:val=")"/>
            <m:sepChr m:val=""/>
            <m:grow/>
          </m:dPr>
          <m:e>
            <m:r>
              <m:t>R</m:t>
            </m:r>
          </m:e>
        </m:d>
      </m:oMath>
      <w:r>
        <w:t xml:space="preserve"> </w:t>
      </w:r>
      <w:r>
        <w:t xml:space="preserve">would equal the baseline gap. The second term measures how far the encoder also changes the usefulness of its hits and misses. This decomposition was not part of the registered analysis; we report it as a post hoc description.</w:t>
      </w:r>
    </w:p>
    <w:bookmarkEnd w:id="30"/>
    <w:bookmarkEnd w:id="31"/>
    <w:bookmarkStart w:id="35" w:name="sec:data"/>
    <w:p>
      <w:pPr>
        <w:pStyle w:val="Heading2"/>
      </w:pPr>
      <w:r>
        <w:t xml:space="preserve">Data</w:t>
      </w:r>
    </w:p>
    <w:bookmarkStart w:id="32" w:name="natural-questions"/>
    <w:p>
      <w:pPr>
        <w:pStyle w:val="Heading4"/>
      </w:pPr>
      <w:r>
        <w:t xml:space="preserve">Natural Questions</w:t>
      </w:r>
    </w:p>
    <w:p>
      <w:pPr>
        <w:pStyle w:val="FirstParagraph"/>
      </w:pPr>
      <w:r>
        <w:t xml:space="preserve">We used the BEIR version of Natural Questions</w:t>
      </w:r>
      <w:r>
        <w:t xml:space="preserve"> </w:t>
      </w:r>
      <w:r>
        <w:t xml:space="preserve">(</w:t>
      </w:r>
      <w:hyperlink w:anchor="ref-kwiatkowski2019nq">
        <w:r>
          <w:rPr>
            <w:rStyle w:val="Hyperlink"/>
          </w:rPr>
          <w:t xml:space="preserve">Kwiatkowski et al. 2019</w:t>
        </w:r>
      </w:hyperlink>
      <w:r>
        <w:t xml:space="preserve">;</w:t>
      </w:r>
      <w:r>
        <w:t xml:space="preserve"> </w:t>
      </w:r>
      <w:hyperlink w:anchor="ref-thakur2021beir">
        <w:r>
          <w:rPr>
            <w:rStyle w:val="Hyperlink"/>
          </w:rPr>
          <w:t xml:space="preserve">Thakur et al. 2021</w:t>
        </w:r>
      </w:hyperlink>
      <w:r>
        <w:t xml:space="preserve">)</w:t>
      </w:r>
      <w:r>
        <w:t xml:space="preserve">: 3,452 judged test queries and a corpus of 2,681,468 Wikipedia passages. BEIR does not ship short answers, so we joined its queries to NQ-open</w:t>
      </w:r>
      <w:r>
        <w:t xml:space="preserve"> </w:t>
      </w:r>
      <w:r>
        <w:t xml:space="preserve">(</w:t>
      </w:r>
      <w:hyperlink w:anchor="ref-lee2019orqa">
        <w:r>
          <w:rPr>
            <w:rStyle w:val="Hyperlink"/>
          </w:rPr>
          <w:t xml:space="preserve">Lee, Chang, and Toutanova 2019</w:t>
        </w:r>
      </w:hyperlink>
      <w:r>
        <w:t xml:space="preserve">)</w:t>
      </w:r>
      <w:r>
        <w:t xml:space="preserve"> </w:t>
      </w:r>
      <w:r>
        <w:t xml:space="preserve">by normalised question text. The join matched 2,255 queries; 1,197 had no match and none had more than one. All 2,255 joined queries form the NQ generation set. Table </w:t>
      </w:r>
      <w:hyperlink w:anchor="tab:data">
        <w:r>
          <w:rPr>
            <w:rStyle w:val="Hyperlink"/>
          </w:rPr>
          <w:t xml:space="preserve">9</w:t>
        </w:r>
      </w:hyperlink>
      <w:r>
        <w:t xml:space="preserve"> </w:t>
      </w:r>
      <w:r>
        <w:t xml:space="preserve">in the appendix summarises both datasets and sub-corpora.</w:t>
      </w:r>
    </w:p>
    <w:bookmarkEnd w:id="32"/>
    <w:bookmarkStart w:id="33" w:name="hotpotqa"/>
    <w:p>
      <w:pPr>
        <w:pStyle w:val="Heading4"/>
      </w:pPr>
      <w:r>
        <w:t xml:space="preserve">HotpotQA</w:t>
      </w:r>
    </w:p>
    <w:p>
      <w:pPr>
        <w:pStyle w:val="FirstParagraph"/>
      </w:pPr>
      <w:r>
        <w:t xml:space="preserve">We used the BEIR version of HotpotQA</w:t>
      </w:r>
      <w:r>
        <w:t xml:space="preserve"> </w:t>
      </w:r>
      <w:r>
        <w:t xml:space="preserve">(</w:t>
      </w:r>
      <w:hyperlink w:anchor="ref-yang2018hotpotqa">
        <w:r>
          <w:rPr>
            <w:rStyle w:val="Hyperlink"/>
          </w:rPr>
          <w:t xml:space="preserve">Yang et al. 2018</w:t>
        </w:r>
      </w:hyperlink>
      <w:r>
        <w:t xml:space="preserve">;</w:t>
      </w:r>
      <w:r>
        <w:t xml:space="preserve"> </w:t>
      </w:r>
      <w:hyperlink w:anchor="ref-thakur2021beir">
        <w:r>
          <w:rPr>
            <w:rStyle w:val="Hyperlink"/>
          </w:rPr>
          <w:t xml:space="preserve">Thakur et al. 2021</w:t>
        </w:r>
      </w:hyperlink>
      <w:r>
        <w:t xml:space="preserve">)</w:t>
      </w:r>
      <w:r>
        <w:t xml:space="preserve">: 7,405 judged test queries, two gold passages per query, and a corpus of 5,233,329 passages. Answers come from the fullwiki validation release, joined by question id; all queries matched. The generation set is the leading 2,000 queries of a seeded order (1,616 bridge and 384 comparison questions).</w:t>
      </w:r>
    </w:p>
    <w:bookmarkEnd w:id="33"/>
    <w:bookmarkStart w:id="34" w:name="sub-corpus"/>
    <w:p>
      <w:pPr>
        <w:pStyle w:val="Heading4"/>
      </w:pPr>
      <w:r>
        <w:t xml:space="preserve">Sub-corpus</w:t>
      </w:r>
    </w:p>
    <w:p>
      <w:pPr>
        <w:pStyle w:val="FirstParagraph"/>
      </w:pPr>
      <w:r>
        <w:t xml:space="preserve">Encoding millions of passages with six encoders exceeds a free GPU budget, so each dataset uses a 300,000-passage sub-corpus. It contains the gold passages of all judged queries, BM25 top-</w:t>
      </w:r>
      <m:oMath>
        <m:r>
          <m:t>d</m:t>
        </m:r>
      </m:oMath>
      <w:r>
        <w:t xml:space="preserve"> </w:t>
      </w:r>
      <w:r>
        <w:t xml:space="preserve">non-gold passages for every judged query (</w:t>
      </w:r>
      <m:oMath>
        <m:r>
          <m:t>d</m:t>
        </m:r>
      </m:oMath>
      <w:r>
        <w:t xml:space="preserve"> </w:t>
      </w:r>
      <w:r>
        <w:t xml:space="preserve">= 42 for NQ and 19 for HotpotQA, set by a pre-registered formula), and a seeded random fill. The NQ sub-corpus has 4,201 gold, 127,791 BM25 and 168,008 random passages; the HotpotQA sub-corpus has 13,783, 118,726 and 167,491. Because every gold passage is present, absolute retrieval scores are higher than on the full corpus. Section </w:t>
      </w:r>
      <w:hyperlink w:anchor="sec:res-cost">
        <w:r>
          <w:rPr>
            <w:rStyle w:val="Hyperlink"/>
          </w:rPr>
          <w:t xml:space="preserve">5.6</w:t>
        </w:r>
      </w:hyperlink>
      <w:r>
        <w:t xml:space="preserve"> </w:t>
      </w:r>
      <w:r>
        <w:t xml:space="preserve">checks whether the ordering of retrievers changes.</w:t>
      </w:r>
    </w:p>
    <w:bookmarkEnd w:id="34"/>
    <w:bookmarkEnd w:id="35"/>
    <w:bookmarkStart w:id="36" w:name="sec:retrievers"/>
    <w:p>
      <w:pPr>
        <w:pStyle w:val="Heading2"/>
      </w:pPr>
      <w:r>
        <w:t xml:space="preserve">Retrievers</w:t>
      </w:r>
    </w:p>
    <w:p>
      <w:pPr>
        <w:pStyle w:val="FirstParagraph"/>
      </w:pPr>
      <w:r>
        <w:t xml:space="preserve">BM25 used the bm25s library</w:t>
      </w:r>
      <w:r>
        <w:t xml:space="preserve"> </w:t>
      </w:r>
      <w:r>
        <w:t xml:space="preserve">(</w:t>
      </w:r>
      <w:hyperlink w:anchor="ref-lu2024bm25s">
        <w:r>
          <w:rPr>
            <w:rStyle w:val="Hyperlink"/>
          </w:rPr>
          <w:t xml:space="preserve">Lù 2024</w:t>
        </w:r>
      </w:hyperlink>
      <w:r>
        <w:t xml:space="preserve">)</w:t>
      </w:r>
      <w:r>
        <w:t xml:space="preserve"> </w:t>
      </w:r>
      <w:r>
        <w:t xml:space="preserve">with the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r>
        <w:t xml:space="preserve">, lower-casing and no stemming or stop-word removal</w:t>
      </w:r>
      <w:r>
        <w:t xml:space="preserve"> </w:t>
      </w:r>
      <w:r>
        <w:t xml:space="preserve">(</w:t>
      </w:r>
      <w:hyperlink w:anchor="ref-robertson2009bm25">
        <w:r>
          <w:rPr>
            <w:rStyle w:val="Hyperlink"/>
          </w:rPr>
          <w:t xml:space="preserve">Robertson and Zaragoza 2009</w:t>
        </w:r>
      </w:hyperlink>
      <w:r>
        <w:t xml:space="preserve">)</w:t>
      </w:r>
      <w:r>
        <w:t xml:space="preserve">. The six dense encoders were all-MiniLM-L6-v2</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0minilm">
        <w:r>
          <w:rPr>
            <w:rStyle w:val="Hyperlink"/>
          </w:rPr>
          <w:t xml:space="preserve">W. Wang et al. 2020</w:t>
        </w:r>
      </w:hyperlink>
      <w:r>
        <w:t xml:space="preserve">)</w:t>
      </w:r>
      <w:r>
        <w:t xml:space="preserve">, bge-small, bge-base and bge-large v1.5</w:t>
      </w:r>
      <w:r>
        <w:t xml:space="preserve"> </w:t>
      </w:r>
      <w:r>
        <w:t xml:space="preserve">(</w:t>
      </w:r>
      <w:hyperlink w:anchor="ref-xiao2024cpack">
        <w:r>
          <w:rPr>
            <w:rStyle w:val="Hyperlink"/>
          </w:rPr>
          <w:t xml:space="preserve">Xiao et al. 2024</w:t>
        </w:r>
      </w:hyperlink>
      <w:r>
        <w:t xml:space="preserve">)</w:t>
      </w:r>
      <w:r>
        <w:t xml:space="preserve">, e5-base-v2</w:t>
      </w:r>
      <w:r>
        <w:t xml:space="preserve"> </w:t>
      </w:r>
      <w:r>
        <w:t xml:space="preserve">(</w:t>
      </w:r>
      <w:hyperlink w:anchor="ref-wang2022e5">
        <w:r>
          <w:rPr>
            <w:rStyle w:val="Hyperlink"/>
          </w:rPr>
          <w:t xml:space="preserve">L. Wang et al. 2022</w:t>
        </w:r>
      </w:hyperlink>
      <w:r>
        <w:t xml:space="preserve">)</w:t>
      </w:r>
      <w:r>
        <w:t xml:space="preserve"> </w:t>
      </w:r>
      <w:r>
        <w:t xml:space="preserve">and Qwen3-Embedding-0.6B</w:t>
      </w:r>
      <w:r>
        <w:t xml:space="preserve"> </w:t>
      </w:r>
      <w:r>
        <w:t xml:space="preserve">(</w:t>
      </w:r>
      <w:hyperlink w:anchor="ref-zhang2025qwen3emb">
        <w:r>
          <w:rPr>
            <w:rStyle w:val="Hyperlink"/>
          </w:rPr>
          <w:t xml:space="preserve">Zhang et al. 2025</w:t>
        </w:r>
      </w:hyperlink>
      <w:r>
        <w:t xml:space="preserve">)</w:t>
      </w:r>
      <w:r>
        <w:t xml:space="preserve">. Each model ran at a pinned revision in half precision with a maximum of 256 tokens and its documented query and passage prefixes. Dense search used exact inner-product search in FAISS</w:t>
      </w:r>
      <w:r>
        <w:t xml:space="preserve"> </w:t>
      </w:r>
      <w:r>
        <w:t xml:space="preserve">(</w:t>
      </w:r>
      <w:hyperlink w:anchor="ref-johnson2021faiss">
        <w:r>
          <w:rPr>
            <w:rStyle w:val="Hyperlink"/>
          </w:rPr>
          <w:t xml:space="preserve">Johnson, Douze, and Jegou 2021</w:t>
        </w:r>
      </w:hyperlink>
      <w:r>
        <w:t xml:space="preserve">)</w:t>
      </w:r>
      <w:r>
        <w:t xml:space="preserve">. Table </w:t>
      </w:r>
      <w:hyperlink w:anchor="tab:models">
        <w:r>
          <w:rPr>
            <w:rStyle w:val="Hyperlink"/>
          </w:rPr>
          <w:t xml:space="preserve">[tab:models]</w:t>
        </w:r>
      </w:hyperlink>
      <w:r>
        <w:t xml:space="preserve"> </w:t>
      </w:r>
      <w:r>
        <w:t xml:space="preserve">in the appendix lists the models, revisions and prefixes.</w:t>
      </w:r>
    </w:p>
    <w:bookmarkEnd w:id="36"/>
    <w:bookmarkStart w:id="37" w:name="sec:readers"/>
    <w:p>
      <w:pPr>
        <w:pStyle w:val="Heading2"/>
      </w:pPr>
      <w:r>
        <w:t xml:space="preserve">Readers and prompts</w:t>
      </w:r>
    </w:p>
    <w:p>
      <w:pPr>
        <w:pStyle w:val="FirstParagraph"/>
      </w:pPr>
      <w:r>
        <w:t xml:space="preserve">The readers were Qwen2.5-7B-Instruct</w:t>
      </w:r>
      <w:r>
        <w:t xml:space="preserve"> </w:t>
      </w:r>
      <w:r>
        <w:t xml:space="preserve">(</w:t>
      </w:r>
      <w:hyperlink w:anchor="ref-qwen2025qwen25">
        <w:r>
          <w:rPr>
            <w:rStyle w:val="Hyperlink"/>
          </w:rPr>
          <w:t xml:space="preserve">Qwen et al. 2024</w:t>
        </w:r>
      </w:hyperlink>
      <w:r>
        <w:t xml:space="preserve">)</w:t>
      </w:r>
      <w:r>
        <w:t xml:space="preserve"> </w:t>
      </w:r>
      <w:r>
        <w:t xml:space="preserve">and Llama-3.1-8B-Instruct</w:t>
      </w:r>
      <w:r>
        <w:t xml:space="preserve"> </w:t>
      </w:r>
      <w:r>
        <w:t xml:space="preserve">(</w:t>
      </w:r>
      <w:hyperlink w:anchor="ref-grattafiori2024llama3">
        <w:r>
          <w:rPr>
            <w:rStyle w:val="Hyperlink"/>
          </w:rPr>
          <w:t xml:space="preserve">Grattafiori et al. 2024</w:t>
        </w:r>
      </w:hyperlink>
      <w:r>
        <w:t xml:space="preserve">)</w:t>
      </w:r>
      <w:r>
        <w:t xml:space="preserve">, both in 4-bit AWQ form</w:t>
      </w:r>
      <w:r>
        <w:t xml:space="preserve"> </w:t>
      </w:r>
      <w:r>
        <w:t xml:space="preserve">(</w:t>
      </w:r>
      <w:hyperlink w:anchor="ref-lin2024awq">
        <w:r>
          <w:rPr>
            <w:rStyle w:val="Hyperlink"/>
          </w:rPr>
          <w:t xml:space="preserve">Lin et al. 2024</w:t>
        </w:r>
      </w:hyperlink>
      <w:r>
        <w:t xml:space="preserve">)</w:t>
      </w:r>
      <w:r>
        <w:t xml:space="preserve">, served with vLLM</w:t>
      </w:r>
      <w:r>
        <w:t xml:space="preserve"> </w:t>
      </w:r>
      <w:r>
        <w:t xml:space="preserve">(</w:t>
      </w:r>
      <w:hyperlink w:anchor="ref-kwon2023vllm">
        <w:r>
          <w:rPr>
            <w:rStyle w:val="Hyperlink"/>
          </w:rPr>
          <w:t xml:space="preserve">Kwon et al. 2023</w:t>
        </w:r>
      </w:hyperlink>
      <w:r>
        <w:t xml:space="preserve">)</w:t>
      </w:r>
      <w:r>
        <w:t xml:space="preserve"> </w:t>
      </w:r>
      <w:r>
        <w:t xml:space="preserve">on one T4 each. Decoding was greedy with at most 32 new tokens and a stop at a newline. The main prompt (A1) gives the top</w:t>
      </w:r>
      <w:r>
        <w:t xml:space="preserve"> </w:t>
      </w:r>
      <m:oMath>
        <m:r>
          <m:t>k</m:t>
        </m:r>
        <m:r>
          <m:rPr>
            <m:sty m:val="p"/>
          </m:rPr>
          <m:t>=</m:t>
        </m:r>
        <m:r>
          <m:t>5</m:t>
        </m:r>
      </m:oMath>
      <w:r>
        <w:t xml:space="preserve"> </w:t>
      </w:r>
      <w:r>
        <w:t xml:space="preserve">passages in rank order, each as</w:t>
      </w:r>
      <w:r>
        <w:t xml:space="preserve"> </w:t>
      </w:r>
      <w:r>
        <w:t xml:space="preserve">“</w:t>
      </w:r>
      <w:r>
        <w:t xml:space="preserve">[i] title / text</w:t>
      </w:r>
      <w:r>
        <w:t xml:space="preserve">”</w:t>
      </w:r>
      <w:r>
        <w:t xml:space="preserve">, and asks for a short answer (Appendix </w:t>
      </w:r>
      <w:hyperlink w:anchor="app:prompts">
        <w:r>
          <w:rPr>
            <w:rStyle w:val="Hyperlink"/>
          </w:rPr>
          <w:t xml:space="preserve">9</w:t>
        </w:r>
      </w:hyperlink>
      <w:r>
        <w:t xml:space="preserve">). Two reference conditions bound each cell: closed book (no passages) and gold passages only.</w:t>
      </w:r>
    </w:p>
    <w:bookmarkEnd w:id="37"/>
    <w:bookmarkStart w:id="38" w:name="sec:metrics"/>
    <w:p>
      <w:pPr>
        <w:pStyle w:val="Heading2"/>
      </w:pPr>
      <w:r>
        <w:t xml:space="preserve">Metrics</w:t>
      </w:r>
    </w:p>
    <w:p>
      <w:pPr>
        <w:pStyle w:val="FirstParagraph"/>
      </w:pPr>
      <w:r>
        <w:t xml:space="preserve">Hit@5 is 1 if at least one gold passage is in the top five. For HotpotQA we also report Both@5, which requires both gold passages. nDCG@10 uses binary gains. EM is 1 if the normalised answer equals a normalised reference answer. Normalisation follows SQuAD (lower case, no punctuation or articles, single spaces) and also removes typographic quotes, en and em dashes and the ellipsis; a plain SQuAD normaliser would change the score of 91 of 131,855 answers (0.07%). Token F1 and answer containment (AC; a normalised reference occurs in the normalised output) are secondary metrics, because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w:t>
      </w:r>
    </w:p>
    <w:bookmarkEnd w:id="38"/>
    <w:bookmarkStart w:id="39" w:name="sec:stats"/>
    <w:p>
      <w:pPr>
        <w:pStyle w:val="Heading2"/>
      </w:pPr>
      <w:r>
        <w:t xml:space="preserve">Statistical analysis</w:t>
      </w:r>
    </w:p>
    <w:p>
      <w:pPr>
        <w:pStyle w:val="FirstParagraph"/>
      </w:pPr>
      <w:r>
        <w:t xml:space="preserve">All comparisons are paired by query. Binary outcomes use the exact McNemar test</w:t>
      </w:r>
      <w:r>
        <w:t xml:space="preserve"> </w:t>
      </w:r>
      <w:r>
        <w:t xml:space="preserve">(</w:t>
      </w:r>
      <w:hyperlink w:anchor="ref-mcnemar1947">
        <w:r>
          <w:rPr>
            <w:rStyle w:val="Hyperlink"/>
          </w:rPr>
          <w:t xml:space="preserve">McNemar 1947</w:t>
        </w:r>
      </w:hyperlink>
      <w:r>
        <w:t xml:space="preserve">)</w:t>
      </w:r>
      <w:r>
        <w:t xml:space="preserve">. Within each reader–dataset cell, the 21 pairwise retriever comparisons of a metric form one family with Holm correction</w:t>
      </w:r>
      <w:r>
        <w:t xml:space="preserve"> </w:t>
      </w:r>
      <w:r>
        <w:t xml:space="preserve">(</w:t>
      </w:r>
      <w:hyperlink w:anchor="ref-holm1979">
        <w:r>
          <w:rPr>
            <w:rStyle w:val="Hyperlink"/>
          </w:rPr>
          <w:t xml:space="preserve">Holm 1979</w:t>
        </w:r>
      </w:hyperlink>
      <w:r>
        <w:t xml:space="preserve">)</w:t>
      </w:r>
      <w:r>
        <w:t xml:space="preserve">. Intervals are 95% percentile bootstrap intervals over queries</w:t>
      </w:r>
      <w:r>
        <w:t xml:space="preserve"> </w:t>
      </w:r>
      <w:r>
        <w:t xml:space="preserve">(</w:t>
      </w:r>
      <w:hyperlink w:anchor="ref-efron1993bootstrap">
        <w:r>
          <w:rPr>
            <w:rStyle w:val="Hyperlink"/>
          </w:rPr>
          <w:t xml:space="preserve">Efron and Tibshirani 1993</w:t>
        </w:r>
      </w:hyperlink>
      <w:r>
        <w:t xml:space="preserve">)</w:t>
      </w:r>
      <w:r>
        <w:t xml:space="preserve"> </w:t>
      </w:r>
      <w:r>
        <w:t xml:space="preserve">with 10,000 resamples and seed 0; for</w:t>
      </w:r>
      <w:r>
        <w:t xml:space="preserve"> </w:t>
      </w:r>
      <m:oMath>
        <m:r>
          <m:t>T</m:t>
        </m:r>
        <m:d>
          <m:dPr>
            <m:begChr m:val="("/>
            <m:endChr m:val=")"/>
            <m:sepChr m:val=""/>
            <m:grow/>
          </m:dPr>
          <m:e>
            <m:r>
              <m:t>R</m:t>
            </m:r>
          </m:e>
        </m:d>
      </m:oMath>
      <w:r>
        <w:t xml:space="preserve"> </w:t>
      </w:r>
      <w:r>
        <w:t xml:space="preserve">the numerator and denominator are resampled together. A secondary model pools the four cells: a logistic generalised estimating equation</w:t>
      </w:r>
      <w:r>
        <w:t xml:space="preserve"> </w:t>
      </w:r>
      <w:r>
        <w:t xml:space="preserve">(</w:t>
      </w:r>
      <w:hyperlink w:anchor="ref-liang1986gee">
        <w:r>
          <w:rPr>
            <w:rStyle w:val="Hyperlink"/>
          </w:rPr>
          <w:t xml:space="preserve">Liang and Zeger 1986</w:t>
        </w:r>
      </w:hyperlink>
      <w:r>
        <w:t xml:space="preserve">)</w:t>
      </w:r>
      <w:r>
        <w:t xml:space="preserve"> </w:t>
      </w:r>
      <w:r>
        <w:t xml:space="preserve">for EM with retriever, dataset and reader as factors, an exchangeable working correlation within query, and empirical (sandwich) standard errors. Agreement between the LLM judge and human labels uses Cohen’s</w:t>
      </w:r>
      <w:r>
        <w:t xml:space="preserve"> </w:t>
      </w:r>
      <m:oMath>
        <m:r>
          <m:t>κ</m:t>
        </m:r>
      </m:oMath>
      <w:r>
        <w:t xml:space="preserve"> </w:t>
      </w:r>
      <w:r>
        <w:t xml:space="preserve">(</w:t>
      </w:r>
      <w:hyperlink w:anchor="ref-cohen1960kappa">
        <w:r>
          <w:rPr>
            <w:rStyle w:val="Hyperlink"/>
          </w:rPr>
          <w:t xml:space="preserve">Cohen 1960</w:t>
        </w:r>
      </w:hyperlink>
      <w:r>
        <w:t xml:space="preserve">;</w:t>
      </w:r>
      <w:r>
        <w:t xml:space="preserve"> </w:t>
      </w:r>
      <w:hyperlink w:anchor="ref-landis1977">
        <w:r>
          <w:rPr>
            <w:rStyle w:val="Hyperlink"/>
          </w:rPr>
          <w:t xml:space="preserve">Landis and Koch 1977</w:t>
        </w:r>
      </w:hyperlink>
      <w:r>
        <w:t xml:space="preserve">)</w:t>
      </w:r>
      <w:r>
        <w:t xml:space="preserve">. A non-significant test is reported as</w:t>
      </w:r>
      <w:r>
        <w:t xml:space="preserve"> </w:t>
      </w:r>
      <w:r>
        <w:t xml:space="preserve">“</w:t>
      </w:r>
      <w:r>
        <w:t xml:space="preserve">no difference detected</w:t>
      </w:r>
      <w:r>
        <w:t xml:space="preserve">”</w:t>
      </w:r>
      <w:r>
        <w:t xml:space="preserve">, not as equivalence.</w:t>
      </w:r>
    </w:p>
    <w:bookmarkEnd w:id="39"/>
    <w:bookmarkStart w:id="43" w:name="sec:prereg"/>
    <w:p>
      <w:pPr>
        <w:pStyle w:val="Heading2"/>
      </w:pPr>
      <w:r>
        <w:t xml:space="preserve">Pre-registered predictions</w:t>
      </w:r>
    </w:p>
    <w:p>
      <w:pPr>
        <w:pStyle w:val="FirstParagraph"/>
      </w:pPr>
      <w:r>
        <w:t xml:space="preserve">Phase 1 (Qwen reader, NQ) was designed and committed before any data were generated. Before Phase 2 we registered six predictions (Table </w:t>
      </w:r>
      <w:hyperlink w:anchor="tab:predictions">
        <w:r>
          <w:rPr>
            <w:rStyle w:val="Hyperlink"/>
          </w:rPr>
          <w:t xml:space="preserve">[tab:predictions]</w:t>
        </w:r>
      </w:hyperlink>
      <w:r>
        <w:t xml:space="preserve">):</w:t>
      </w:r>
    </w:p>
    <w:p>
      <w:pPr>
        <w:pStyle w:val="DefinitionTerm"/>
      </w:pPr>
      <w:r>
        <w:t xml:space="preserve">P1</w:t>
      </w:r>
    </w:p>
    <w:p>
      <w:pPr>
        <w:pStyle w:val="Definition"/>
      </w:pPr>
      <w:r>
        <w:t xml:space="preserve">In each new cell, every reportable</w:t>
      </w:r>
      <w:r>
        <w:t xml:space="preserve"> </w:t>
      </w:r>
      <m:oMath>
        <m:r>
          <m:t>T</m:t>
        </m:r>
        <m:d>
          <m:dPr>
            <m:begChr m:val="("/>
            <m:endChr m:val=")"/>
            <m:sepChr m:val=""/>
            <m:grow/>
          </m:dPr>
          <m:e>
            <m:r>
              <m:t>R</m:t>
            </m:r>
          </m:e>
        </m:d>
      </m:oMath>
      <w:r>
        <w:t xml:space="preserve"> </w:t>
      </w:r>
      <w:r>
        <w:t xml:space="preserve">of a dense encoder has an upper 95% bound below 1.</w:t>
      </w:r>
    </w:p>
    <w:p>
      <w:pPr>
        <w:pStyle w:val="DefinitionTerm"/>
      </w:pPr>
      <w:r>
        <w:t xml:space="preserve">P2</w:t>
      </w:r>
    </w:p>
    <w:p>
      <w:pPr>
        <w:pStyle w:val="Definition"/>
      </w:pPr>
      <w:r>
        <w:t xml:space="preserve">In each new cell, bge-large and Qwen3-Embedding-0.6B show no Holm-significant EM gain over e5-base-v2.</w:t>
      </w:r>
    </w:p>
    <w:p>
      <w:pPr>
        <w:pStyle w:val="DefinitionTerm"/>
      </w:pPr>
      <w:r>
        <w:t xml:space="preserve">P3</w:t>
      </w:r>
    </w:p>
    <w:p>
      <w:pPr>
        <w:pStyle w:val="Definition"/>
      </w:pPr>
      <w:r>
        <w:t xml:space="preserve">The nDCG@10 ordering of BM25, MiniLM-L6, bge-small and e5-base-v2 on the sub-corpus holds on the full corpus.</w:t>
      </w:r>
    </w:p>
    <w:p>
      <w:pPr>
        <w:pStyle w:val="DefinitionTerm"/>
      </w:pPr>
      <w:r>
        <w:t xml:space="preserve">P4</w:t>
      </w:r>
    </w:p>
    <w:p>
      <w:pPr>
        <w:pStyle w:val="Definition"/>
      </w:pPr>
      <w:r>
        <w:t xml:space="preserve">For every retriever, EM at</w:t>
      </w:r>
      <w:r>
        <w:t xml:space="preserve"> </w:t>
      </w:r>
      <m:oMath>
        <m:r>
          <m:t>k</m:t>
        </m:r>
        <m:r>
          <m:rPr>
            <m:sty m:val="p"/>
          </m:rPr>
          <m:t>=</m:t>
        </m:r>
        <m:r>
          <m:t>1</m:t>
        </m:r>
      </m:oMath>
      <w:r>
        <w:t xml:space="preserve"> </w:t>
      </w:r>
      <w:r>
        <w:t xml:space="preserve">is lower than at</w:t>
      </w:r>
      <w:r>
        <w:t xml:space="preserve"> </w:t>
      </w:r>
      <m:oMath>
        <m:r>
          <m:t>k</m:t>
        </m:r>
        <m:r>
          <m:rPr>
            <m:sty m:val="p"/>
          </m:rPr>
          <m:t>=</m:t>
        </m:r>
        <m:r>
          <m:t>5</m:t>
        </m:r>
      </m:oMath>
      <w:r>
        <w:t xml:space="preserve">.</w:t>
      </w:r>
    </w:p>
    <w:p>
      <w:pPr>
        <w:pStyle w:val="DefinitionTerm"/>
      </w:pPr>
      <w:r>
        <w:t xml:space="preserve">P5</w:t>
      </w:r>
    </w:p>
    <w:p>
      <w:pPr>
        <w:pStyle w:val="Definition"/>
      </w:pPr>
      <w:r>
        <w:t xml:space="preserve">Gold plus four hard negatives gives lower EM than gold plus four random passages.</w:t>
      </w:r>
    </w:p>
    <w:p>
      <w:pPr>
        <w:pStyle w:val="DefinitionTerm"/>
      </w:pPr>
      <w:r>
        <w:t xml:space="preserve">P6</w:t>
      </w:r>
    </w:p>
    <w:p>
      <w:pPr>
        <w:pStyle w:val="Definition"/>
      </w:pPr>
      <w:r>
        <w:t xml:space="preserve">The position of the gold passage (1, 3 or 5) changes EM.</w:t>
      </w:r>
    </w:p>
    <w:p>
      <w:pPr>
        <w:pStyle w:val="FirstParagraph"/>
      </w:pPr>
      <w:r>
        <w:t xml:space="preserve">Fig. </w:t>
      </w:r>
      <w:hyperlink w:anchor="fig:phases">
        <w:r>
          <w:rPr>
            <w:rStyle w:val="Hyperlink"/>
          </w:rPr>
          <w:t xml:space="preserve">2</w:t>
        </w:r>
      </w:hyperlink>
      <w:r>
        <w:t xml:space="preserve"> </w:t>
      </w:r>
      <w:r>
        <w:t xml:space="preserve">shows the sessions of both phases. The Qwen–NQ cell and the</w:t>
      </w:r>
      <w:r>
        <w:t xml:space="preserve"> </w:t>
      </w:r>
      <m:oMath>
        <m:r>
          <m:t>k</m:t>
        </m:r>
      </m:oMath>
      <w:r>
        <w:t xml:space="preserve"> </w:t>
      </w:r>
      <w:r>
        <w:t xml:space="preserve">ablation for BM25, MiniLM-L6 and bge-large existed before registration. Their P1, P2 and P4 verdicts are therefore not confirmatory, and Table </w:t>
      </w:r>
      <w:hyperlink w:anchor="tab:predictions">
        <w:r>
          <w:rPr>
            <w:rStyle w:val="Hyperlink"/>
          </w:rPr>
          <w:t xml:space="preserve">[tab:predictions]</w:t>
        </w:r>
      </w:hyperlink>
      <w:r>
        <w:t xml:space="preserve"> </w:t>
      </w:r>
      <w:r>
        <w:t xml:space="preserve">marks them. All other analyses are descriptive or secondary. Appendix </w:t>
      </w:r>
      <w:hyperlink w:anchor="app:prereg">
        <w:r>
          <w:rPr>
            <w:rStyle w:val="Hyperlink"/>
          </w:rPr>
          <w:t xml:space="preserve">12</w:t>
        </w:r>
      </w:hyperlink>
      <w:r>
        <w:t xml:space="preserve"> </w:t>
      </w:r>
      <w:r>
        <w:t xml:space="preserve">lists the design documents and their dates.</w:t>
      </w:r>
    </w:p>
    <w:p>
      <w:pPr>
        <w:pStyle w:val="CaptionedFigure"/>
      </w:pPr>
      <w:r>
        <w:drawing>
          <wp:inline>
            <wp:extent cx="5012379" cy="1660599"/>
            <wp:effectExtent b="0" l="0" r="0" t="0"/>
            <wp:docPr descr="" title="" id="41" name="Picture"/>
            <a:graphic>
              <a:graphicData uri="http://schemas.openxmlformats.org/drawingml/2006/picture">
                <pic:pic>
                  <pic:nvPicPr>
                    <pic:cNvPr descr="/home/claude/rag-embed-transfer/paper_figures/out/fig8_phases.png" id="42" name="Picture"/>
                    <pic:cNvPicPr>
                      <a:picLocks noChangeArrowheads="1" noChangeAspect="1"/>
                    </pic:cNvPicPr>
                  </pic:nvPicPr>
                  <pic:blipFill>
                    <a:blip r:embed="rId40"/>
                    <a:stretch>
                      <a:fillRect/>
                    </a:stretch>
                  </pic:blipFill>
                  <pic:spPr bwMode="auto">
                    <a:xfrm>
                      <a:off x="0" y="0"/>
                      <a:ext cx="5012379" cy="1660599"/>
                    </a:xfrm>
                    <a:prstGeom prst="rect">
                      <a:avLst/>
                    </a:prstGeom>
                    <a:noFill/>
                    <a:ln w="9525">
                      <a:noFill/>
                      <a:headEnd/>
                      <a:tailEnd/>
                    </a:ln>
                  </pic:spPr>
                </pic:pic>
              </a:graphicData>
            </a:graphic>
          </wp:inline>
        </w:drawing>
      </w:r>
    </w:p>
    <w:p>
      <w:pPr>
        <w:pStyle w:val="ImageCaption"/>
      </w:pPr>
      <w:r>
        <w:t xml:space="preserve">Study phases and Kaggle sessions. Each phase started with a dated design document; Phase 2 added the second dataset, the second reader and the additional experiments.</w:t>
      </w:r>
    </w:p>
    <w:bookmarkEnd w:id="43"/>
    <w:bookmarkStart w:id="51" w:name="sec:extra"/>
    <w:p>
      <w:pPr>
        <w:pStyle w:val="Heading2"/>
      </w:pPr>
      <w:r>
        <w:t xml:space="preserve">Additional experiments</w:t>
      </w:r>
    </w:p>
    <w:bookmarkStart w:id="44" w:name="top-k-e4"/>
    <w:p>
      <w:pPr>
        <w:pStyle w:val="Heading4"/>
      </w:pPr>
      <w:r>
        <w:t xml:space="preserve">Top-</w:t>
      </w:r>
      <m:oMath>
        <m:r>
          <m:t>k</m:t>
        </m:r>
      </m:oMath>
      <w:r>
        <w:t xml:space="preserve"> </w:t>
      </w:r>
      <w:r>
        <w:t xml:space="preserve">(E4)</w:t>
      </w:r>
    </w:p>
    <w:p>
      <w:pPr>
        <w:pStyle w:val="FirstParagraph"/>
      </w:pPr>
      <w:r>
        <w:t xml:space="preserve">The Qwen reader answered all NQ queries with</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for all seven retrievers.</w:t>
      </w:r>
    </w:p>
    <w:bookmarkEnd w:id="44"/>
    <w:bookmarkStart w:id="45" w:name="context-composition-e12"/>
    <w:p>
      <w:pPr>
        <w:pStyle w:val="Heading4"/>
      </w:pPr>
      <w:r>
        <w:t xml:space="preserve">Context composition (E12)</w:t>
      </w:r>
    </w:p>
    <w:p>
      <w:pPr>
        <w:pStyle w:val="FirstParagraph"/>
      </w:pPr>
      <w:r>
        <w:t xml:space="preserve">On the leading 500 NQ generation queries of the seeded order, the Qwen reader always saw five passages: gold at position 1 plus four hard negatives (M1); gold at position 3 or 5 among the same negatives (M3, M5); gold at position 1 plus four random passages (MR); and the gold passage alone (MG). Hard negatives are the top-ranked BM25 passages that are not labelled gold.</w:t>
      </w:r>
    </w:p>
    <w:bookmarkEnd w:id="45"/>
    <w:bookmarkStart w:id="46" w:name="reranking-e5"/>
    <w:p>
      <w:pPr>
        <w:pStyle w:val="Heading4"/>
      </w:pPr>
      <w:r>
        <w:t xml:space="preserve">Reranking (E5)</w:t>
      </w:r>
    </w:p>
    <w:p>
      <w:pPr>
        <w:pStyle w:val="FirstParagraph"/>
      </w:pPr>
      <w:r>
        <w:t xml:space="preserve">A cross-encoder, bge-reranker-base, reranked the top 50 passages of BM25 and of e5-base-v2</w:t>
      </w:r>
      <w:r>
        <w:t xml:space="preserve"> </w:t>
      </w:r>
      <w:r>
        <w:t xml:space="preserve">(</w:t>
      </w:r>
      <w:hyperlink w:anchor="ref-nogueira2019passage">
        <w:r>
          <w:rPr>
            <w:rStyle w:val="Hyperlink"/>
          </w:rPr>
          <w:t xml:space="preserve">Nogueira and Cho 2019</w:t>
        </w:r>
      </w:hyperlink>
      <w:r>
        <w:t xml:space="preserve">;</w:t>
      </w:r>
      <w:r>
        <w:t xml:space="preserve"> </w:t>
      </w:r>
      <w:hyperlink w:anchor="ref-xiao2024cpack">
        <w:r>
          <w:rPr>
            <w:rStyle w:val="Hyperlink"/>
          </w:rPr>
          <w:t xml:space="preserve">Xiao et al. 2024</w:t>
        </w:r>
      </w:hyperlink>
      <w:r>
        <w:t xml:space="preserve">)</w:t>
      </w:r>
      <w:r>
        <w:t xml:space="preserve">; the Qwen reader then answered NQ from the reranked top five.</w:t>
      </w:r>
    </w:p>
    <w:bookmarkEnd w:id="46"/>
    <w:bookmarkStart w:id="47" w:name="approximate-search-e6"/>
    <w:p>
      <w:pPr>
        <w:pStyle w:val="Heading4"/>
      </w:pPr>
      <w:r>
        <w:t xml:space="preserve">Approximate search (E6)</w:t>
      </w:r>
    </w:p>
    <w:p>
      <w:pPr>
        <w:pStyle w:val="FirstParagraph"/>
      </w:pPr>
      <w:r>
        <w:t xml:space="preserve">HNSW indexes</w:t>
      </w:r>
      <w:r>
        <w:t xml:space="preserve"> </w:t>
      </w:r>
      <w:r>
        <w:t xml:space="preserve">(</w:t>
      </w:r>
      <w:hyperlink w:anchor="ref-malkov2020hnsw">
        <w:r>
          <w:rPr>
            <w:rStyle w:val="Hyperlink"/>
          </w:rPr>
          <w:t xml:space="preserve">Malkov and Yashunin 2020</w:t>
        </w:r>
      </w:hyperlink>
      <w:r>
        <w:t xml:space="preserve">)</w:t>
      </w:r>
      <w:r>
        <w:t xml:space="preserve"> </w:t>
      </w:r>
      <w:r>
        <w:t xml:space="preserve">(</w:t>
      </w:r>
      <m:oMath>
        <m:r>
          <m:t>M</m:t>
        </m:r>
        <m:r>
          <m:rPr>
            <m:sty m:val="p"/>
          </m:rPr>
          <m:t>=</m:t>
        </m:r>
        <m:r>
          <m:t>32</m:t>
        </m:r>
      </m:oMath>
      <w:r>
        <w:t xml:space="preserve">, efConstruction 200, efSearch 64 and 128) replaced exact search for MiniLM-L6, bge-small and e5-base-v2 on the NQ sub-corpus.</w:t>
      </w:r>
    </w:p>
    <w:bookmarkEnd w:id="47"/>
    <w:bookmarkStart w:id="48" w:name="full-corpus-e9"/>
    <w:p>
      <w:pPr>
        <w:pStyle w:val="Heading4"/>
      </w:pPr>
      <w:r>
        <w:t xml:space="preserve">Full corpus (E9)</w:t>
      </w:r>
    </w:p>
    <w:p>
      <w:pPr>
        <w:pStyle w:val="FirstParagraph"/>
      </w:pPr>
      <w:r>
        <w:t xml:space="preserve">BM25, MiniLM-L6, bge-small and e5-base-v2 retrieved from the full NQ corpus for all judged queries.</w:t>
      </w:r>
    </w:p>
    <w:bookmarkEnd w:id="48"/>
    <w:bookmarkStart w:id="49" w:name="cost-e7"/>
    <w:p>
      <w:pPr>
        <w:pStyle w:val="Heading4"/>
      </w:pPr>
      <w:r>
        <w:t xml:space="preserve">Cost (E7)</w:t>
      </w:r>
    </w:p>
    <w:p>
      <w:pPr>
        <w:pStyle w:val="FirstParagraph"/>
      </w:pPr>
      <w:r>
        <w:t xml:space="preserve">For each encoder we measured passage-encoding throughput on 20,000 passages (batch 128, after warm-up, with GPU synchronisation) and batch-1 query-encoding latency on 500 queries, five times in one session.</w:t>
      </w:r>
    </w:p>
    <w:bookmarkEnd w:id="49"/>
    <w:bookmarkStart w:id="50" w:name="judge-validation-e3"/>
    <w:p>
      <w:pPr>
        <w:pStyle w:val="Heading4"/>
      </w:pPr>
      <w:r>
        <w:t xml:space="preserve">Judge validation (E3)</w:t>
      </w:r>
    </w:p>
    <w:p>
      <w:pPr>
        <w:pStyle w:val="FirstParagraph"/>
      </w:pPr>
      <w:r>
        <w:t xml:space="preserve">In Phase 1, an LLM judge (Mistral-7B-Instruct-v0.3;</w:t>
      </w:r>
      <w:r>
        <w:t xml:space="preserve"> </w:t>
      </w:r>
      <w:r>
        <w:t xml:space="preserve">(</w:t>
      </w:r>
      <w:hyperlink w:anchor="ref-jiang2023mistral">
        <w:r>
          <w:rPr>
            <w:rStyle w:val="Hyperlink"/>
          </w:rPr>
          <w:t xml:space="preserve">Jiang et al. 2023</w:t>
        </w:r>
      </w:hyperlink>
      <w:r>
        <w:t xml:space="preserve">)</w:t>
      </w:r>
      <w:r>
        <w:t xml:space="preserve">) labelled whether each answer was supported by its passages, for 500 NQ queries per retriever. The author labelled a stratified sample of 200 items without seeing the judge’s verdicts. The registered rule was: use the judge if</w:t>
      </w:r>
      <w:r>
        <w:t xml:space="preserve"> </w:t>
      </w:r>
      <m:oMath>
        <m:r>
          <m:t>κ</m:t>
        </m:r>
        <m:r>
          <m:rPr>
            <m:sty m:val="p"/>
          </m:rPr>
          <m:t>≥</m:t>
        </m:r>
        <m:r>
          <m:t>0.4</m:t>
        </m:r>
      </m:oMath>
      <w:r>
        <w:t xml:space="preserve">, use it only with a sensitivity analysis if</w:t>
      </w:r>
      <w:r>
        <w:t xml:space="preserve"> </w:t>
      </w:r>
      <m:oMath>
        <m:r>
          <m:t>0.2</m:t>
        </m:r>
        <m:r>
          <m:rPr>
            <m:sty m:val="p"/>
          </m:rPr>
          <m:t>≤</m:t>
        </m:r>
        <m:r>
          <m:t>κ</m:t>
        </m:r>
        <m:r>
          <m:rPr>
            <m:sty m:val="p"/>
          </m:rPr>
          <m:t>&lt;</m:t>
        </m:r>
        <m:r>
          <m:t>0.4</m:t>
        </m:r>
      </m:oMath>
      <w:r>
        <w:t xml:space="preserve">, and exclude it if</w:t>
      </w:r>
      <w:r>
        <w:t xml:space="preserve"> </w:t>
      </w:r>
      <m:oMath>
        <m:r>
          <m:t>κ</m:t>
        </m:r>
        <m:r>
          <m:rPr>
            <m:sty m:val="p"/>
          </m:rPr>
          <m:t>&lt;</m:t>
        </m:r>
        <m:r>
          <m:t>0.2</m:t>
        </m:r>
      </m:oMath>
      <w:r>
        <w:t xml:space="preserve">.</w:t>
      </w:r>
    </w:p>
    <w:bookmarkEnd w:id="50"/>
    <w:bookmarkEnd w:id="51"/>
    <w:bookmarkEnd w:id="52"/>
    <w:bookmarkStart w:id="58" w:name="sec:setup"/>
    <w:p>
      <w:pPr>
        <w:pStyle w:val="Heading1"/>
      </w:pPr>
      <w:r>
        <w:t xml:space="preserve">Experimental setup</w:t>
      </w:r>
    </w:p>
    <w:bookmarkStart w:id="53" w:name="hardware-and-software"/>
    <w:p>
      <w:pPr>
        <w:pStyle w:val="Heading4"/>
      </w:pPr>
      <w:r>
        <w:t xml:space="preserve">Hardware and software</w:t>
      </w:r>
    </w:p>
    <w:p>
      <w:pPr>
        <w:pStyle w:val="FirstParagraph"/>
      </w:pPr>
      <w:r>
        <w:t xml:space="preserve">All runs used free Kaggle notebook sessions with two NVIDIA Tesla T4 GPUs (15 GB each), four virtual CPUs and 31 GB of memory. Each process used one GPU; two processes could run in parallel. The code of every session was embedded in its notebook and checked against a fixed version-control tree hash before it ran. Every session recorded its Python version, package versions and model revisions. The readers ran with the same stack in every session (PyTorch 2.13.0 with CUDA 13.0, vLLM 0.30.0, Transformers 5.17.0). Between the two phases the Kaggle image changed from Python 3.12.13 to 3.13.15, and NumPy from 2.0.2 to 2.1.3.</w:t>
      </w:r>
    </w:p>
    <w:bookmarkEnd w:id="53"/>
    <w:bookmarkStart w:id="54" w:name="determinism-across-phases"/>
    <w:p>
      <w:pPr>
        <w:pStyle w:val="Heading4"/>
      </w:pPr>
      <w:r>
        <w:t xml:space="preserve">Determinism across phases</w:t>
      </w:r>
    </w:p>
    <w:p>
      <w:pPr>
        <w:pStyle w:val="FirstParagraph"/>
      </w:pPr>
      <w:r>
        <w:t xml:space="preserve">Some comparisons cross the two phases: the Qwen–NQ cell against the new cells in the pooled model,</w:t>
      </w:r>
      <w:r>
        <w:t xml:space="preserve"> </w:t>
      </w:r>
      <m:oMath>
        <m:r>
          <m:t>k</m:t>
        </m:r>
        <m:r>
          <m:rPr>
            <m:sty m:val="p"/>
          </m:rPr>
          <m:t>=</m:t>
        </m:r>
        <m:r>
          <m:t>5</m:t>
        </m:r>
      </m:oMath>
      <w:r>
        <w:t xml:space="preserve"> </w:t>
      </w:r>
      <w:r>
        <w:t xml:space="preserve">against the new</w:t>
      </w:r>
      <w:r>
        <w:t xml:space="preserve"> </w:t>
      </w:r>
      <m:oMath>
        <m:r>
          <m:t>k</m:t>
        </m:r>
      </m:oMath>
      <w:r>
        <w:t xml:space="preserve"> </w:t>
      </w:r>
      <w:r>
        <w:t xml:space="preserve">values, and the reranker runs against the Phase 1 runs. To check that the software change does not alter the reader, we compared the two phases on inputs that were identical by construction: the gold-only context of Phase 1 and the gold-only condition of the context experiment. Of 397 identical prompts, 396 produced identical outputs; the one difference was a shorter answer to the same question. A rerun of 100 prompts within one session gave 100/100 identical outputs.</w:t>
      </w:r>
    </w:p>
    <w:bookmarkEnd w:id="54"/>
    <w:bookmarkStart w:id="55" w:name="seeds-and-repetitions"/>
    <w:p>
      <w:pPr>
        <w:pStyle w:val="Heading4"/>
      </w:pPr>
      <w:r>
        <w:t xml:space="preserve">Seeds and repetitions</w:t>
      </w:r>
    </w:p>
    <w:p>
      <w:pPr>
        <w:pStyle w:val="FirstParagraph"/>
      </w:pPr>
      <w:r>
        <w:t xml:space="preserve">The query order (seed 20260926), bootstrap (seed 0), decoding (greedy, seed 0) and the random passages of the context experiment were fixed. Retrieval and greedy decoding are deterministic within a session, so we ran each answer condition once. The cost measurements were repeated five times.</w:t>
      </w:r>
    </w:p>
    <w:bookmarkEnd w:id="55"/>
    <w:bookmarkStart w:id="56" w:name="analysis-and-verification"/>
    <w:p>
      <w:pPr>
        <w:pStyle w:val="Heading4"/>
      </w:pPr>
      <w:r>
        <w:t xml:space="preserve">Analysis and verification</w:t>
      </w:r>
    </w:p>
    <w:p>
      <w:pPr>
        <w:pStyle w:val="FirstParagraph"/>
      </w:pPr>
      <w:r>
        <w:t xml:space="preserve">One analysis script reads only the committed raw outputs and writes all statistics, tables and figures. The author reran it on a second computer and obtained identical output. A separate script, written without the project code and using only the Python standard library, re-scored all 131,855 answers from the raw reader outputs, recomputed every Hit@5 and EM mean, every transfer ratio point estimate, all 84 pairwise EM tests with their Holm adjustment, and Cohen’s</w:t>
      </w:r>
      <w:r>
        <w:t xml:space="preserve"> </w:t>
      </w:r>
      <m:oMath>
        <m:r>
          <m:t>κ</m:t>
        </m:r>
      </m:oMath>
      <w:r>
        <w:t xml:space="preserve">. It found no disagreement. Bootstrap intervals, F1, answer containment and the pooled model were not re-implemented independently.</w:t>
      </w:r>
    </w:p>
    <w:bookmarkEnd w:id="56"/>
    <w:bookmarkStart w:id="57" w:name="sec:deviations"/>
    <w:p>
      <w:pPr>
        <w:pStyle w:val="Heading2"/>
      </w:pPr>
      <w:r>
        <w:t xml:space="preserve">Deviations and failed runs</w:t>
      </w:r>
    </w:p>
    <w:p>
      <w:pPr>
        <w:pStyle w:val="FirstParagraph"/>
      </w:pPr>
      <w:r>
        <w:t xml:space="preserve">We list every departure from the registered design.</w:t>
      </w:r>
    </w:p>
    <w:p>
      <w:pPr>
        <w:numPr>
          <w:ilvl w:val="0"/>
          <w:numId w:val="1002"/>
        </w:numPr>
      </w:pPr>
      <w:r>
        <w:rPr>
          <w:bCs/>
          <w:b/>
        </w:rPr>
        <w:t xml:space="preserve">NQ join gate.</w:t>
      </w:r>
      <w:r>
        <w:t xml:space="preserve"> </w:t>
      </w:r>
      <w:r>
        <w:t xml:space="preserve">The original design required a join rate of at least 0.70 between BEIR-NQ and NQ-open; the observed rate was 0.653. Before any outcome was observed, we replaced the gate with a minimum of 1,000 joined queries, because the two resources are independently filtered subsets of Natural Questions. Retrieval results on all 3,452 judged queries are reported where they matter (Table </w:t>
      </w:r>
      <w:hyperlink w:anchor="tab:fullcorpus">
        <w:r>
          <w:rPr>
            <w:rStyle w:val="Hyperlink"/>
          </w:rPr>
          <w:t xml:space="preserve">6</w:t>
        </w:r>
      </w:hyperlink>
      <w:r>
        <w:t xml:space="preserve">).</w:t>
      </w:r>
    </w:p>
    <w:p>
      <w:pPr>
        <w:numPr>
          <w:ilvl w:val="0"/>
          <w:numId w:val="1002"/>
        </w:numPr>
      </w:pPr>
      <w:r>
        <w:rPr>
          <w:bCs/>
          <w:b/>
        </w:rPr>
        <w:t xml:space="preserve">Software image.</w:t>
      </w:r>
      <w:r>
        <w:t xml:space="preserve"> </w:t>
      </w:r>
      <w:r>
        <w:t xml:space="preserve">The initial Phase 2 session stopped at the environment check because the Kaggle image had moved to Python 3.13, for which the pinned NumPy had no wheel. We unpinned NumPy and recorded all version differences; no data were produced by the stopped run.</w:t>
      </w:r>
    </w:p>
    <w:p>
      <w:pPr>
        <w:numPr>
          <w:ilvl w:val="0"/>
          <w:numId w:val="1002"/>
        </w:numPr>
      </w:pPr>
      <w:r>
        <w:rPr>
          <w:bCs/>
          <w:b/>
        </w:rPr>
        <w:t xml:space="preserve">Failed reader start.</w:t>
      </w:r>
      <w:r>
        <w:t xml:space="preserve"> </w:t>
      </w:r>
      <w:r>
        <w:t xml:space="preserve">The initial HotpotQA reader session stopped before generating anything because the image’s torchaudio build did not match the CUDA version of PyTorch. Later sessions reinstalled the matching build and checked the stack before any other step.</w:t>
      </w:r>
    </w:p>
    <w:p>
      <w:pPr>
        <w:numPr>
          <w:ilvl w:val="0"/>
          <w:numId w:val="1002"/>
        </w:numPr>
      </w:pPr>
      <w:r>
        <w:rPr>
          <w:bCs/>
          <w:b/>
        </w:rPr>
        <w:t xml:space="preserve">Reduced scope of E6.</w:t>
      </w:r>
      <w:r>
        <w:t xml:space="preserve"> </w:t>
      </w:r>
      <w:r>
        <w:t xml:space="preserve">Approximate search was planned for all six encoders. To stay within the GPU quota it ran for MiniLM-L6, bge-small and e5-base-v2, using the sub-corpus rows of the full-corpus embeddings.</w:t>
      </w:r>
    </w:p>
    <w:p>
      <w:pPr>
        <w:numPr>
          <w:ilvl w:val="0"/>
          <w:numId w:val="1002"/>
        </w:numPr>
      </w:pPr>
      <w:r>
        <w:rPr>
          <w:bCs/>
          <w:b/>
        </w:rPr>
        <w:t xml:space="preserve">E7 scope.</w:t>
      </w:r>
      <w:r>
        <w:t xml:space="preserve"> </w:t>
      </w:r>
      <w:r>
        <w:t xml:space="preserve">The repeated cost measurement covered encoding throughput and query-encoding latency; search latency was measured separately in E6 and is not repeated.</w:t>
      </w:r>
    </w:p>
    <w:p>
      <w:pPr>
        <w:numPr>
          <w:ilvl w:val="0"/>
          <w:numId w:val="1002"/>
        </w:numPr>
      </w:pPr>
      <w:r>
        <w:rPr>
          <w:bCs/>
          <w:b/>
        </w:rPr>
        <w:t xml:space="preserve">Phase 1 deviations.</w:t>
      </w:r>
      <w:r>
        <w:t xml:space="preserve"> </w:t>
      </w:r>
      <w:r>
        <w:t xml:space="preserve">We dropped the planned RAGAS cross-check, because its local deployment needed infrastructure that was untested on our hardware. We did not run the planned Matryoshka dimension ablation for Qwen3-Embedding-0.6B, so dimension and model are confounded in our cost comparison. The design planned two annotators for the judge validation; one took part. One gold-passage output reached the token limit, so the judge scored 499 instead of 500 gold items. The initial Phase 1 reading session stopped before generating because a notebook cell ran before the restore step; it was rerun with unchanged code. We estimated the Phase 1 CPU benchmark at one hour; it took eight hours and 24 minutes. This used free quota but changed no data.</w:t>
      </w:r>
    </w:p>
    <w:p>
      <w:pPr>
        <w:numPr>
          <w:ilvl w:val="0"/>
          <w:numId w:val="1002"/>
        </w:numPr>
      </w:pPr>
      <w:r>
        <w:rPr>
          <w:bCs/>
          <w:b/>
        </w:rPr>
        <w:t xml:space="preserve">Failure log.</w:t>
      </w:r>
      <w:r>
        <w:t xml:space="preserve"> </w:t>
      </w:r>
      <w:r>
        <w:t xml:space="preserve">The design promised one machine-readable failure log. Failures were recorded instead in two dated design addenda and in the session logs.</w:t>
      </w:r>
    </w:p>
    <w:p>
      <w:pPr>
        <w:pStyle w:val="FirstParagraph"/>
      </w:pPr>
      <w:r>
        <w:t xml:space="preserve">No run was repeated to obtain a different result, and no result was discarded.</w:t>
      </w:r>
    </w:p>
    <w:bookmarkEnd w:id="57"/>
    <w:bookmarkEnd w:id="58"/>
    <w:bookmarkStart w:id="109" w:name="sec:results"/>
    <w:p>
      <w:pPr>
        <w:pStyle w:val="Heading1"/>
      </w:pPr>
      <w:r>
        <w:t xml:space="preserve">Results</w:t>
      </w:r>
    </w:p>
    <w:bookmarkStart w:id="62" w:name="sec:res-retrieval"/>
    <w:p>
      <w:pPr>
        <w:pStyle w:val="Heading2"/>
      </w:pPr>
      <w:r>
        <w:t xml:space="preserve">Retrieval</w:t>
      </w:r>
    </w:p>
    <w:p>
      <w:pPr>
        <w:pStyle w:val="FirstParagraph"/>
      </w:pPr>
      <w:r>
        <w:t xml:space="preserve">Table </w:t>
      </w:r>
      <w:hyperlink w:anchor="tab:retrieval">
        <w:r>
          <w:rPr>
            <w:rStyle w:val="Hyperlink"/>
          </w:rPr>
          <w:t xml:space="preserve">[tab:retrieval]</w:t>
        </w:r>
      </w:hyperlink>
      <w:r>
        <w:t xml:space="preserve"> </w:t>
      </w:r>
      <w:r>
        <w:t xml:space="preserve">gives retrieval quality on the generation queries, and Table </w:t>
      </w:r>
      <w:hyperlink w:anchor="tab:ci">
        <w:r>
          <w:rPr>
            <w:rStyle w:val="Hyperlink"/>
          </w:rPr>
          <w:t xml:space="preserve">[tab:ci]</w:t>
        </w:r>
      </w:hyperlink>
      <w:r>
        <w:t xml:space="preserve"> </w:t>
      </w:r>
      <w:r>
        <w:t xml:space="preserve">gives the intervals. On NQ, the dense encoders differed widely. MiniLM-L6 reached 0.664 and e5-base-v2 0.816; bge-large (0.796) came second. Qwen3-Embedding-0.6B (0.744) placed between bge-small and bge-base. BM25 reached 0.363. On HotpotQA, Hit@5 nearly saturated: all dense encoders except MiniLM-L6 scored between 0.945 and 0.961, against 0.817 for MiniLM-L6 and 0.833 for BM25. The stricter Both@5 separated them more clearly: bge-large found both supporting passages for 0.621 of the questions, e5-base-v2 for 0.544, Qwen3-Embedding-0.6B for 0.444 and MiniLM-L6 for 0.230. Table </w:t>
      </w:r>
      <w:hyperlink w:anchor="tab:retrieval">
        <w:r>
          <w:rPr>
            <w:rStyle w:val="Hyperlink"/>
          </w:rPr>
          <w:t xml:space="preserve">[tab:retrieval]</w:t>
        </w:r>
      </w:hyperlink>
      <w:r>
        <w:t xml:space="preserve"> </w:t>
      </w:r>
      <w:r>
        <w:t xml:space="preserve">also gives Hit@1, Hit@10, nDCG@10 and MRR@10, and Fig. </w:t>
      </w:r>
      <w:hyperlink w:anchor="fig:retrieval">
        <w:r>
          <w:rPr>
            <w:rStyle w:val="Hyperlink"/>
          </w:rPr>
          <w:t xml:space="preserve">3</w:t>
        </w:r>
      </w:hyperlink>
      <w:r>
        <w:t xml:space="preserve"> </w:t>
      </w:r>
      <w:r>
        <w:t xml:space="preserve">shows the main metrics with their intervals. On NQ, nDCG@10 ordered the retrievers as Hit@5 did, from 0.277 for BM25 and 0.520 for MiniLM-L6 to 0.667 for e5-base-v2. On HotpotQA, nDCG@10 ranged from 0.549 (MiniLM-L6) to 0.797 (bge-large).</w:t>
      </w:r>
    </w:p>
    <w:p>
      <w:pPr>
        <w:pStyle w:val="CaptionedFigure"/>
      </w:pPr>
      <w:r>
        <w:drawing>
          <wp:inline>
            <wp:extent cx="5334000" cy="1559894"/>
            <wp:effectExtent b="0" l="0" r="0" t="0"/>
            <wp:docPr descr="" title="" id="60" name="Picture"/>
            <a:graphic>
              <a:graphicData uri="http://schemas.openxmlformats.org/drawingml/2006/picture">
                <pic:pic>
                  <pic:nvPicPr>
                    <pic:cNvPr descr="/home/claude/rag-embed-transfer/paper_figures/out/fig9_retrieval.png" id="61" name="Picture"/>
                    <pic:cNvPicPr>
                      <a:picLocks noChangeArrowheads="1" noChangeAspect="1"/>
                    </pic:cNvPicPr>
                  </pic:nvPicPr>
                  <pic:blipFill>
                    <a:blip r:embed="rId59"/>
                    <a:stretch>
                      <a:fillRect/>
                    </a:stretch>
                  </pic:blipFill>
                  <pic:spPr bwMode="auto">
                    <a:xfrm>
                      <a:off x="0" y="0"/>
                      <a:ext cx="5334000" cy="1559894"/>
                    </a:xfrm>
                    <a:prstGeom prst="rect">
                      <a:avLst/>
                    </a:prstGeom>
                    <a:noFill/>
                    <a:ln w="9525">
                      <a:noFill/>
                      <a:headEnd/>
                      <a:tailEnd/>
                    </a:ln>
                  </pic:spPr>
                </pic:pic>
              </a:graphicData>
            </a:graphic>
          </wp:inline>
        </w:drawing>
      </w:r>
    </w:p>
    <w:p>
      <w:pPr>
        <w:pStyle w:val="ImageCaption"/>
      </w:pPr>
      <w:r>
        <w:t xml:space="preserve">Retrieval quality on the generation queries with 95% bootstrap intervals: NQ Hit@5 and nDCG@10 (2,255 queries), HotpotQA Hit@5 and Both@5 (2,000 queries).</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pPr>
          </w:p>
        </w:tc>
        <w:tc>
          <w:tcPr>
            <w:gridSpan w:val="5"/>
          </w:tcPr>
          <w:p>
            <w:pPr>
              <w:pStyle w:val="Compact"/>
              <w:jc w:val="center"/>
            </w:pPr>
            <w:r>
              <w:t xml:space="preserve">NQ (2,255 queries)</w:t>
            </w:r>
          </w:p>
        </w:tc>
        <w:tc>
          <w:tcPr>
            <w:gridSpan w:val="5"/>
          </w:tcPr>
          <w:p>
            <w:pPr>
              <w:pStyle w:val="Compact"/>
              <w:jc w:val="center"/>
            </w:pPr>
            <w:r>
              <w:t xml:space="preserve">HotpotQA (2,000 queries)</w:t>
            </w:r>
          </w:p>
        </w:tc>
      </w:tr>
      <w:tr>
        <w:tc>
          <w:tcPr/>
          <w:p>
            <w:pPr>
              <w:pStyle w:val="Compact"/>
              <w:jc w:val="left"/>
            </w:pPr>
            <w:r>
              <w:t xml:space="preserve">2-6</w:t>
            </w:r>
            <w:r>
              <w:t xml:space="preserve">(lr)</w:t>
            </w:r>
            <w:r>
              <w:t xml:space="preserve">7-11</w:t>
            </w:r>
            <w:r>
              <w:t xml:space="preserve"> </w:t>
            </w:r>
            <w:r>
              <w:t xml:space="preserve">Retriever</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Hit@10</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Both@5</w:t>
            </w:r>
          </w:p>
        </w:tc>
        <w:tc>
          <w:tcPr/>
          <w:p>
            <w:pPr>
              <w:pStyle w:val="Compact"/>
              <w:jc w:val="center"/>
            </w:pPr>
            <w:r>
              <w:t xml:space="preserve">nDCG@10</w:t>
            </w:r>
          </w:p>
        </w:tc>
        <w:tc>
          <w:tcPr/>
          <w:p>
            <w:pPr>
              <w:pStyle w:val="Compact"/>
              <w:jc w:val="center"/>
            </w:pPr>
            <w:r>
              <w:t xml:space="preserve">MRR@10</w:t>
            </w:r>
          </w:p>
        </w:tc>
      </w:tr>
      <w:tr>
        <w:tc>
          <w:tcPr/>
          <w:p>
            <w:pPr>
              <w:pStyle w:val="Compact"/>
              <w:jc w:val="left"/>
            </w:pPr>
            <w:r>
              <w:t xml:space="preserve">BM25</w:t>
            </w:r>
          </w:p>
        </w:tc>
        <w:tc>
          <w:tcPr/>
          <w:p>
            <w:pPr>
              <w:pStyle w:val="Compact"/>
              <w:jc w:val="center"/>
            </w:pPr>
            <w:r>
              <w:t xml:space="preserve">0.150</w:t>
            </w:r>
          </w:p>
        </w:tc>
        <w:tc>
          <w:tcPr/>
          <w:p>
            <w:pPr>
              <w:pStyle w:val="Compact"/>
              <w:jc w:val="center"/>
            </w:pPr>
            <w:r>
              <w:t xml:space="preserve">0.363</w:t>
            </w:r>
          </w:p>
        </w:tc>
        <w:tc>
          <w:tcPr/>
          <w:p>
            <w:pPr>
              <w:pStyle w:val="Compact"/>
              <w:jc w:val="center"/>
            </w:pPr>
            <w:r>
              <w:t xml:space="preserve">0.472</w:t>
            </w:r>
          </w:p>
        </w:tc>
        <w:tc>
          <w:tcPr/>
          <w:p>
            <w:pPr>
              <w:pStyle w:val="Compact"/>
              <w:jc w:val="center"/>
            </w:pPr>
            <w:r>
              <w:t xml:space="preserve">0.277</w:t>
            </w:r>
          </w:p>
        </w:tc>
        <w:tc>
          <w:tcPr/>
          <w:p>
            <w:pPr>
              <w:pStyle w:val="Compact"/>
              <w:jc w:val="center"/>
            </w:pPr>
            <w:r>
              <w:t xml:space="preserve">0.243</w:t>
            </w:r>
          </w:p>
        </w:tc>
        <w:tc>
          <w:tcPr/>
          <w:p>
            <w:pPr>
              <w:pStyle w:val="Compact"/>
              <w:jc w:val="center"/>
            </w:pPr>
            <w:r>
              <w:t xml:space="preserve">0.666</w:t>
            </w:r>
          </w:p>
        </w:tc>
        <w:tc>
          <w:tcPr/>
          <w:p>
            <w:pPr>
              <w:pStyle w:val="Compact"/>
              <w:jc w:val="center"/>
            </w:pPr>
            <w:r>
              <w:t xml:space="preserve">0.833</w:t>
            </w:r>
          </w:p>
        </w:tc>
        <w:tc>
          <w:tcPr/>
          <w:p>
            <w:pPr>
              <w:pStyle w:val="Compact"/>
              <w:jc w:val="center"/>
            </w:pPr>
            <w:r>
              <w:t xml:space="preserve">0.264</w:t>
            </w:r>
          </w:p>
        </w:tc>
        <w:tc>
          <w:tcPr/>
          <w:p>
            <w:pPr>
              <w:pStyle w:val="Compact"/>
              <w:jc w:val="center"/>
            </w:pPr>
            <w:r>
              <w:t xml:space="preserve">0.578</w:t>
            </w:r>
          </w:p>
        </w:tc>
        <w:tc>
          <w:tcPr/>
          <w:p>
            <w:pPr>
              <w:pStyle w:val="Compact"/>
              <w:jc w:val="center"/>
            </w:pPr>
            <w:r>
              <w:t xml:space="preserve">0.740</w:t>
            </w:r>
          </w:p>
        </w:tc>
      </w:tr>
      <w:tr>
        <w:tc>
          <w:tcPr/>
          <w:p>
            <w:pPr>
              <w:pStyle w:val="Compact"/>
              <w:jc w:val="left"/>
            </w:pPr>
            <w:r>
              <w:t xml:space="preserve">MiniLM-L6</w:t>
            </w:r>
          </w:p>
        </w:tc>
        <w:tc>
          <w:tcPr/>
          <w:p>
            <w:pPr>
              <w:pStyle w:val="Compact"/>
              <w:jc w:val="center"/>
            </w:pPr>
            <w:r>
              <w:t xml:space="preserve">0.316</w:t>
            </w:r>
          </w:p>
        </w:tc>
        <w:tc>
          <w:tcPr/>
          <w:p>
            <w:pPr>
              <w:pStyle w:val="Compact"/>
              <w:jc w:val="center"/>
            </w:pPr>
            <w:r>
              <w:t xml:space="preserve">0.664</w:t>
            </w:r>
          </w:p>
        </w:tc>
        <w:tc>
          <w:tcPr/>
          <w:p>
            <w:pPr>
              <w:pStyle w:val="Compact"/>
              <w:jc w:val="center"/>
            </w:pPr>
            <w:r>
              <w:t xml:space="preserve">0.792</w:t>
            </w:r>
          </w:p>
        </w:tc>
        <w:tc>
          <w:tcPr/>
          <w:p>
            <w:pPr>
              <w:pStyle w:val="Compact"/>
              <w:jc w:val="center"/>
            </w:pPr>
            <w:r>
              <w:t xml:space="preserve">0.520</w:t>
            </w:r>
          </w:p>
        </w:tc>
        <w:tc>
          <w:tcPr/>
          <w:p>
            <w:pPr>
              <w:pStyle w:val="Compact"/>
              <w:jc w:val="center"/>
            </w:pPr>
            <w:r>
              <w:t xml:space="preserve">0.462</w:t>
            </w:r>
          </w:p>
        </w:tc>
        <w:tc>
          <w:tcPr/>
          <w:p>
            <w:pPr>
              <w:pStyle w:val="Compact"/>
              <w:jc w:val="center"/>
            </w:pPr>
            <w:r>
              <w:t xml:space="preserve">0.623</w:t>
            </w:r>
          </w:p>
        </w:tc>
        <w:tc>
          <w:tcPr/>
          <w:p>
            <w:pPr>
              <w:pStyle w:val="Compact"/>
              <w:jc w:val="center"/>
            </w:pPr>
            <w:r>
              <w:t xml:space="preserve">0.817</w:t>
            </w:r>
          </w:p>
        </w:tc>
        <w:tc>
          <w:tcPr/>
          <w:p>
            <w:pPr>
              <w:pStyle w:val="Compact"/>
              <w:jc w:val="center"/>
            </w:pPr>
            <w:r>
              <w:t xml:space="preserve">0.230</w:t>
            </w:r>
          </w:p>
        </w:tc>
        <w:tc>
          <w:tcPr/>
          <w:p>
            <w:pPr>
              <w:pStyle w:val="Compact"/>
              <w:jc w:val="center"/>
            </w:pPr>
            <w:r>
              <w:t xml:space="preserve">0.549</w:t>
            </w:r>
          </w:p>
        </w:tc>
        <w:tc>
          <w:tcPr/>
          <w:p>
            <w:pPr>
              <w:pStyle w:val="Compact"/>
              <w:jc w:val="center"/>
            </w:pPr>
            <w:r>
              <w:t xml:space="preserve">0.708</w:t>
            </w:r>
          </w:p>
        </w:tc>
      </w:tr>
      <w:tr>
        <w:tc>
          <w:tcPr/>
          <w:p>
            <w:pPr>
              <w:pStyle w:val="Compact"/>
              <w:jc w:val="left"/>
            </w:pPr>
            <w:r>
              <w:t xml:space="preserve">bge-small</w:t>
            </w:r>
          </w:p>
        </w:tc>
        <w:tc>
          <w:tcPr/>
          <w:p>
            <w:pPr>
              <w:pStyle w:val="Compact"/>
              <w:jc w:val="center"/>
            </w:pPr>
            <w:r>
              <w:t xml:space="preserve">0.375</w:t>
            </w:r>
          </w:p>
        </w:tc>
        <w:tc>
          <w:tcPr/>
          <w:p>
            <w:pPr>
              <w:pStyle w:val="Compact"/>
              <w:jc w:val="center"/>
            </w:pPr>
            <w:r>
              <w:t xml:space="preserve">0.729</w:t>
            </w:r>
          </w:p>
        </w:tc>
        <w:tc>
          <w:tcPr/>
          <w:p>
            <w:pPr>
              <w:pStyle w:val="Compact"/>
              <w:jc w:val="center"/>
            </w:pPr>
            <w:r>
              <w:t xml:space="preserve">0.843</w:t>
            </w:r>
          </w:p>
        </w:tc>
        <w:tc>
          <w:tcPr/>
          <w:p>
            <w:pPr>
              <w:pStyle w:val="Compact"/>
              <w:jc w:val="center"/>
            </w:pPr>
            <w:r>
              <w:t xml:space="preserve">0.580</w:t>
            </w:r>
          </w:p>
        </w:tc>
        <w:tc>
          <w:tcPr/>
          <w:p>
            <w:pPr>
              <w:pStyle w:val="Compact"/>
              <w:jc w:val="center"/>
            </w:pPr>
            <w:r>
              <w:t xml:space="preserve">0.526</w:t>
            </w:r>
          </w:p>
        </w:tc>
        <w:tc>
          <w:tcPr/>
          <w:p>
            <w:pPr>
              <w:pStyle w:val="Compact"/>
              <w:jc w:val="center"/>
            </w:pPr>
            <w:r>
              <w:t xml:space="preserve">0.812</w:t>
            </w:r>
          </w:p>
        </w:tc>
        <w:tc>
          <w:tcPr/>
          <w:p>
            <w:pPr>
              <w:pStyle w:val="Compact"/>
              <w:jc w:val="center"/>
            </w:pPr>
            <w:r>
              <w:t xml:space="preserve">0.954</w:t>
            </w:r>
          </w:p>
        </w:tc>
        <w:tc>
          <w:tcPr/>
          <w:p>
            <w:pPr>
              <w:pStyle w:val="Compact"/>
              <w:jc w:val="center"/>
            </w:pPr>
            <w:r>
              <w:t xml:space="preserve">0.541</w:t>
            </w:r>
          </w:p>
        </w:tc>
        <w:tc>
          <w:tcPr/>
          <w:p>
            <w:pPr>
              <w:pStyle w:val="Compact"/>
              <w:jc w:val="center"/>
            </w:pPr>
            <w:r>
              <w:t xml:space="preserve">0.756</w:t>
            </w:r>
          </w:p>
        </w:tc>
        <w:tc>
          <w:tcPr/>
          <w:p>
            <w:pPr>
              <w:pStyle w:val="Compact"/>
              <w:jc w:val="center"/>
            </w:pPr>
            <w:r>
              <w:t xml:space="preserve">0.874</w:t>
            </w:r>
          </w:p>
        </w:tc>
      </w:tr>
      <w:tr>
        <w:tc>
          <w:tcPr/>
          <w:p>
            <w:pPr>
              <w:pStyle w:val="Compact"/>
              <w:jc w:val="left"/>
            </w:pPr>
            <w:r>
              <w:t xml:space="preserve">bge-base</w:t>
            </w:r>
          </w:p>
        </w:tc>
        <w:tc>
          <w:tcPr/>
          <w:p>
            <w:pPr>
              <w:pStyle w:val="Compact"/>
              <w:jc w:val="center"/>
            </w:pPr>
            <w:r>
              <w:t xml:space="preserve">0.421</w:t>
            </w:r>
          </w:p>
        </w:tc>
        <w:tc>
          <w:tcPr/>
          <w:p>
            <w:pPr>
              <w:pStyle w:val="Compact"/>
              <w:jc w:val="center"/>
            </w:pPr>
            <w:r>
              <w:t xml:space="preserve">0.770</w:t>
            </w:r>
          </w:p>
        </w:tc>
        <w:tc>
          <w:tcPr/>
          <w:p>
            <w:pPr>
              <w:pStyle w:val="Compact"/>
              <w:jc w:val="center"/>
            </w:pPr>
            <w:r>
              <w:t xml:space="preserve">0.882</w:t>
            </w:r>
          </w:p>
        </w:tc>
        <w:tc>
          <w:tcPr/>
          <w:p>
            <w:pPr>
              <w:pStyle w:val="Compact"/>
              <w:jc w:val="center"/>
            </w:pPr>
            <w:r>
              <w:t xml:space="preserve">0.626</w:t>
            </w:r>
          </w:p>
        </w:tc>
        <w:tc>
          <w:tcPr/>
          <w:p>
            <w:pPr>
              <w:pStyle w:val="Compact"/>
              <w:jc w:val="center"/>
            </w:pPr>
            <w:r>
              <w:t xml:space="preserve">0.570</w:t>
            </w:r>
          </w:p>
        </w:tc>
        <w:tc>
          <w:tcPr/>
          <w:p>
            <w:pPr>
              <w:pStyle w:val="Compact"/>
              <w:jc w:val="center"/>
            </w:pPr>
            <w:r>
              <w:t xml:space="preserve">0.836</w:t>
            </w:r>
          </w:p>
        </w:tc>
        <w:tc>
          <w:tcPr/>
          <w:p>
            <w:pPr>
              <w:pStyle w:val="Compact"/>
              <w:jc w:val="center"/>
            </w:pPr>
            <w:r>
              <w:t xml:space="preserve">0.958</w:t>
            </w:r>
          </w:p>
        </w:tc>
        <w:tc>
          <w:tcPr/>
          <w:p>
            <w:pPr>
              <w:pStyle w:val="Compact"/>
              <w:jc w:val="center"/>
            </w:pPr>
            <w:r>
              <w:t xml:space="preserve">0.572</w:t>
            </w:r>
          </w:p>
        </w:tc>
        <w:tc>
          <w:tcPr/>
          <w:p>
            <w:pPr>
              <w:pStyle w:val="Compact"/>
              <w:jc w:val="center"/>
            </w:pPr>
            <w:r>
              <w:t xml:space="preserve">0.777</w:t>
            </w:r>
          </w:p>
        </w:tc>
        <w:tc>
          <w:tcPr/>
          <w:p>
            <w:pPr>
              <w:pStyle w:val="Compact"/>
              <w:jc w:val="center"/>
            </w:pPr>
            <w:r>
              <w:t xml:space="preserve">0.888</w:t>
            </w:r>
          </w:p>
        </w:tc>
      </w:tr>
      <w:tr>
        <w:tc>
          <w:tcPr/>
          <w:p>
            <w:pPr>
              <w:pStyle w:val="Compact"/>
              <w:jc w:val="left"/>
            </w:pPr>
            <w:r>
              <w:t xml:space="preserve">bge-large</w:t>
            </w:r>
          </w:p>
        </w:tc>
        <w:tc>
          <w:tcPr/>
          <w:p>
            <w:pPr>
              <w:pStyle w:val="Compact"/>
              <w:jc w:val="center"/>
            </w:pPr>
            <w:r>
              <w:t xml:space="preserve">0.430</w:t>
            </w:r>
          </w:p>
        </w:tc>
        <w:tc>
          <w:tcPr/>
          <w:p>
            <w:pPr>
              <w:pStyle w:val="Compact"/>
              <w:jc w:val="center"/>
            </w:pPr>
            <w:r>
              <w:t xml:space="preserve">0.796</w:t>
            </w:r>
          </w:p>
        </w:tc>
        <w:tc>
          <w:tcPr/>
          <w:p>
            <w:pPr>
              <w:pStyle w:val="Compact"/>
              <w:jc w:val="center"/>
            </w:pPr>
            <w:r>
              <w:t xml:space="preserve">0.888</w:t>
            </w:r>
          </w:p>
        </w:tc>
        <w:tc>
          <w:tcPr/>
          <w:p>
            <w:pPr>
              <w:pStyle w:val="Compact"/>
              <w:jc w:val="center"/>
            </w:pPr>
            <w:r>
              <w:t xml:space="preserve">0.640</w:t>
            </w:r>
          </w:p>
        </w:tc>
        <w:tc>
          <w:tcPr/>
          <w:p>
            <w:pPr>
              <w:pStyle w:val="Compact"/>
              <w:jc w:val="center"/>
            </w:pPr>
            <w:r>
              <w:t xml:space="preserve">0.584</w:t>
            </w:r>
          </w:p>
        </w:tc>
        <w:tc>
          <w:tcPr/>
          <w:p>
            <w:pPr>
              <w:pStyle w:val="Compact"/>
              <w:jc w:val="center"/>
            </w:pPr>
            <w:r>
              <w:t xml:space="preserve">0.846</w:t>
            </w:r>
          </w:p>
        </w:tc>
        <w:tc>
          <w:tcPr/>
          <w:p>
            <w:pPr>
              <w:pStyle w:val="Compact"/>
              <w:jc w:val="center"/>
            </w:pPr>
            <w:r>
              <w:t xml:space="preserve">0.961</w:t>
            </w:r>
          </w:p>
        </w:tc>
        <w:tc>
          <w:tcPr/>
          <w:p>
            <w:pPr>
              <w:pStyle w:val="Compact"/>
              <w:jc w:val="center"/>
            </w:pPr>
            <w:r>
              <w:t xml:space="preserve">0.621</w:t>
            </w:r>
          </w:p>
        </w:tc>
        <w:tc>
          <w:tcPr/>
          <w:p>
            <w:pPr>
              <w:pStyle w:val="Compact"/>
              <w:jc w:val="center"/>
            </w:pPr>
            <w:r>
              <w:t xml:space="preserve">0.797</w:t>
            </w:r>
          </w:p>
        </w:tc>
        <w:tc>
          <w:tcPr/>
          <w:p>
            <w:pPr>
              <w:pStyle w:val="Compact"/>
              <w:jc w:val="center"/>
            </w:pPr>
            <w:r>
              <w:t xml:space="preserve">0.897</w:t>
            </w:r>
          </w:p>
        </w:tc>
      </w:tr>
      <w:tr>
        <w:tc>
          <w:tcPr/>
          <w:p>
            <w:pPr>
              <w:pStyle w:val="Compact"/>
              <w:jc w:val="left"/>
            </w:pPr>
            <w:r>
              <w:t xml:space="preserve">e5-base-v2</w:t>
            </w:r>
          </w:p>
        </w:tc>
        <w:tc>
          <w:tcPr/>
          <w:p>
            <w:pPr>
              <w:pStyle w:val="Compact"/>
              <w:jc w:val="center"/>
            </w:pPr>
            <w:r>
              <w:t xml:space="preserve">0.458</w:t>
            </w:r>
          </w:p>
        </w:tc>
        <w:tc>
          <w:tcPr/>
          <w:p>
            <w:pPr>
              <w:pStyle w:val="Compact"/>
              <w:jc w:val="center"/>
            </w:pPr>
            <w:r>
              <w:t xml:space="preserve">0.816</w:t>
            </w:r>
          </w:p>
        </w:tc>
        <w:tc>
          <w:tcPr/>
          <w:p>
            <w:pPr>
              <w:pStyle w:val="Compact"/>
              <w:jc w:val="center"/>
            </w:pPr>
            <w:r>
              <w:t xml:space="preserve">0.906</w:t>
            </w:r>
          </w:p>
        </w:tc>
        <w:tc>
          <w:tcPr/>
          <w:p>
            <w:pPr>
              <w:pStyle w:val="Compact"/>
              <w:jc w:val="center"/>
            </w:pPr>
            <w:r>
              <w:t xml:space="preserve">0.667</w:t>
            </w:r>
          </w:p>
        </w:tc>
        <w:tc>
          <w:tcPr/>
          <w:p>
            <w:pPr>
              <w:pStyle w:val="Compact"/>
              <w:jc w:val="center"/>
            </w:pPr>
            <w:r>
              <w:t xml:space="preserve">0.612</w:t>
            </w:r>
          </w:p>
        </w:tc>
        <w:tc>
          <w:tcPr/>
          <w:p>
            <w:pPr>
              <w:pStyle w:val="Compact"/>
              <w:jc w:val="center"/>
            </w:pPr>
            <w:r>
              <w:t xml:space="preserve">0.799</w:t>
            </w:r>
          </w:p>
        </w:tc>
        <w:tc>
          <w:tcPr/>
          <w:p>
            <w:pPr>
              <w:pStyle w:val="Compact"/>
              <w:jc w:val="center"/>
            </w:pPr>
            <w:r>
              <w:t xml:space="preserve">0.951</w:t>
            </w:r>
          </w:p>
        </w:tc>
        <w:tc>
          <w:tcPr/>
          <w:p>
            <w:pPr>
              <w:pStyle w:val="Compact"/>
              <w:jc w:val="center"/>
            </w:pPr>
            <w:r>
              <w:t xml:space="preserve">0.544</w:t>
            </w:r>
          </w:p>
        </w:tc>
        <w:tc>
          <w:tcPr/>
          <w:p>
            <w:pPr>
              <w:pStyle w:val="Compact"/>
              <w:jc w:val="center"/>
            </w:pPr>
            <w:r>
              <w:t xml:space="preserve">0.751</w:t>
            </w:r>
          </w:p>
        </w:tc>
        <w:tc>
          <w:tcPr/>
          <w:p>
            <w:pPr>
              <w:pStyle w:val="Compact"/>
              <w:jc w:val="center"/>
            </w:pPr>
            <w:r>
              <w:t xml:space="preserve">0.864</w:t>
            </w:r>
          </w:p>
        </w:tc>
      </w:tr>
      <w:tr>
        <w:tc>
          <w:tcPr/>
          <w:p>
            <w:pPr>
              <w:pStyle w:val="Compact"/>
              <w:jc w:val="left"/>
            </w:pPr>
            <w:r>
              <w:t xml:space="preserve">Qwen3-Emb-0.6B</w:t>
            </w:r>
          </w:p>
        </w:tc>
        <w:tc>
          <w:tcPr/>
          <w:p>
            <w:pPr>
              <w:pStyle w:val="Compact"/>
              <w:jc w:val="center"/>
            </w:pPr>
            <w:r>
              <w:t xml:space="preserve">0.400</w:t>
            </w:r>
          </w:p>
        </w:tc>
        <w:tc>
          <w:tcPr/>
          <w:p>
            <w:pPr>
              <w:pStyle w:val="Compact"/>
              <w:jc w:val="center"/>
            </w:pPr>
            <w:r>
              <w:t xml:space="preserve">0.744</w:t>
            </w:r>
          </w:p>
        </w:tc>
        <w:tc>
          <w:tcPr/>
          <w:p>
            <w:pPr>
              <w:pStyle w:val="Compact"/>
              <w:jc w:val="center"/>
            </w:pPr>
            <w:r>
              <w:t xml:space="preserve">0.843</w:t>
            </w:r>
          </w:p>
        </w:tc>
        <w:tc>
          <w:tcPr/>
          <w:p>
            <w:pPr>
              <w:pStyle w:val="Compact"/>
              <w:jc w:val="center"/>
            </w:pPr>
            <w:r>
              <w:t xml:space="preserve">0.600</w:t>
            </w:r>
          </w:p>
        </w:tc>
        <w:tc>
          <w:tcPr/>
          <w:p>
            <w:pPr>
              <w:pStyle w:val="Compact"/>
              <w:jc w:val="center"/>
            </w:pPr>
            <w:r>
              <w:t xml:space="preserve">0.547</w:t>
            </w:r>
          </w:p>
        </w:tc>
        <w:tc>
          <w:tcPr/>
          <w:p>
            <w:pPr>
              <w:pStyle w:val="Compact"/>
              <w:jc w:val="center"/>
            </w:pPr>
            <w:r>
              <w:t xml:space="preserve">0.810</w:t>
            </w:r>
          </w:p>
        </w:tc>
        <w:tc>
          <w:tcPr/>
          <w:p>
            <w:pPr>
              <w:pStyle w:val="Compact"/>
              <w:jc w:val="center"/>
            </w:pPr>
            <w:r>
              <w:t xml:space="preserve">0.945</w:t>
            </w:r>
          </w:p>
        </w:tc>
        <w:tc>
          <w:tcPr/>
          <w:p>
            <w:pPr>
              <w:pStyle w:val="Compact"/>
              <w:jc w:val="center"/>
            </w:pPr>
            <w:r>
              <w:t xml:space="preserve">0.444</w:t>
            </w:r>
          </w:p>
        </w:tc>
        <w:tc>
          <w:tcPr/>
          <w:p>
            <w:pPr>
              <w:pStyle w:val="Compact"/>
              <w:jc w:val="center"/>
            </w:pPr>
            <w:r>
              <w:t xml:space="preserve">0.717</w:t>
            </w:r>
          </w:p>
        </w:tc>
        <w:tc>
          <w:tcPr/>
          <w:p>
            <w:pPr>
              <w:pStyle w:val="Compact"/>
              <w:jc w:val="center"/>
            </w:pPr>
            <w:r>
              <w:t xml:space="preserve">0.868</w:t>
            </w:r>
          </w:p>
        </w:tc>
      </w:tr>
    </w:tbl>
    <w:p>
      <w:pPr>
        <w:pStyle w:val="BodyText"/>
      </w:pPr>
      <w:r>
        <w:rPr>
          <w:iCs/>
          <w:i/>
        </w:rPr>
        <w:t xml:space="preserve">NQ intervals for Hit@5 and nDCG@10 are in Table </w:t>
      </w:r>
      <w:hyperlink w:anchor="tab:ci">
        <w:r>
          <w:rPr>
            <w:rStyle w:val="Hyperlink"/>
            <w:iCs/>
            <w:i/>
          </w:rPr>
          <w:t xml:space="preserve">[tab:ci]</w:t>
        </w:r>
      </w:hyperlink>
      <w:r>
        <w:rPr>
          <w:iCs/>
          <w:i/>
        </w:rPr>
        <w:t xml:space="preserve"> </w:t>
      </w:r>
      <w:r>
        <w:rPr>
          <w:iCs/>
          <w:i/>
        </w:rPr>
        <w:t xml:space="preserve">and Fig. </w:t>
      </w:r>
      <w:hyperlink w:anchor="fig:retrieval">
        <w:r>
          <w:rPr>
            <w:rStyle w:val="Hyperlink"/>
            <w:iCs/>
            <w:i/>
          </w:rPr>
          <w:t xml:space="preserve">3</w:t>
        </w:r>
      </w:hyperlink>
      <w:r>
        <w:rPr>
          <w:iCs/>
          <w:i/>
        </w:rPr>
        <w:t xml:space="preserve">. Both@5: both gold passages in the top five.</w:t>
      </w:r>
    </w:p>
    <w:bookmarkEnd w:id="62"/>
    <w:bookmarkStart w:id="69" w:name="sec:res-transfer"/>
    <w:p>
      <w:pPr>
        <w:pStyle w:val="Heading2"/>
      </w:pPr>
      <w:r>
        <w:t xml:space="preserve">Answers and transfer (RQ1)</w:t>
      </w:r>
    </w:p>
    <w:p>
      <w:pPr>
        <w:pStyle w:val="FirstParagraph"/>
      </w:pPr>
      <w:r>
        <w:t xml:space="preserve">Table </w:t>
      </w:r>
      <w:hyperlink w:anchor="tab:main">
        <w:r>
          <w:rPr>
            <w:rStyle w:val="Hyperlink"/>
          </w:rPr>
          <w:t xml:space="preserve">[tab:main]</w:t>
        </w:r>
      </w:hyperlink>
      <w:r>
        <w:t xml:space="preserve"> </w:t>
      </w:r>
      <w:r>
        <w:t xml:space="preserve">gives EM for every cell with its two bounds, and Fig. </w:t>
      </w:r>
      <w:hyperlink w:anchor="fig:hitem">
        <w:r>
          <w:rPr>
            <w:rStyle w:val="Hyperlink"/>
          </w:rPr>
          <w:t xml:space="preserve">4</w:t>
        </w:r>
      </w:hyperlink>
      <w:r>
        <w:t xml:space="preserve"> </w:t>
      </w:r>
      <w:r>
        <w:t xml:space="preserve">plots EM against Hit@5. Retrieval closed only part of the gap between the closed-book and gold-passage conditions. With Qwen on NQ, closed-book EM was 0.149, gold passages gave 0.653, and the best retriever, e5-base-v2, gave 0.510. With Llama on NQ the best retriever was bge-base (0.477) against a gold bound of 0.613. On HotpotQA, bge-large gave the highest EM for both readers (0.424 and 0.430), against gold bounds of 0.628 and 0.624.</w:t>
      </w:r>
    </w:p>
    <w:p>
      <w:pPr>
        <w:pStyle w:val="CaptionedFigure"/>
      </w:pPr>
      <w:r>
        <w:drawing>
          <wp:inline>
            <wp:extent cx="5334000" cy="3547267"/>
            <wp:effectExtent b="0" l="0" r="0" t="0"/>
            <wp:docPr descr="" title="" id="64" name="Picture"/>
            <a:graphic>
              <a:graphicData uri="http://schemas.openxmlformats.org/drawingml/2006/picture">
                <pic:pic>
                  <pic:nvPicPr>
                    <pic:cNvPr descr="/home/claude/rag-embed-transfer/paper_figures/out/fig2_hit_vs_em.png" id="65" name="Picture"/>
                    <pic:cNvPicPr>
                      <a:picLocks noChangeArrowheads="1" noChangeAspect="1"/>
                    </pic:cNvPicPr>
                  </pic:nvPicPr>
                  <pic:blipFill>
                    <a:blip r:embed="rId63"/>
                    <a:stretch>
                      <a:fillRect/>
                    </a:stretch>
                  </pic:blipFill>
                  <pic:spPr bwMode="auto">
                    <a:xfrm>
                      <a:off x="0" y="0"/>
                      <a:ext cx="5334000" cy="3547267"/>
                    </a:xfrm>
                    <a:prstGeom prst="rect">
                      <a:avLst/>
                    </a:prstGeom>
                    <a:noFill/>
                    <a:ln w="9525">
                      <a:noFill/>
                      <a:headEnd/>
                      <a:tailEnd/>
                    </a:ln>
                  </pic:spPr>
                </pic:pic>
              </a:graphicData>
            </a:graphic>
          </wp:inline>
        </w:drawing>
      </w:r>
    </w:p>
    <w:p>
      <w:pPr>
        <w:pStyle w:val="ImageCaption"/>
      </w:pPr>
      <w:r>
        <w:t xml:space="preserve">Exact match against Hit@5 for each retriever in the four reader–dataset cells. Vertical bars are 95% bootstrap intervals for EM. Dashed lines mark the closed-book and gold-passage conditions. Note the different Hit@5 ranges of the two datasets.</w:t>
      </w:r>
    </w:p>
    <w:p>
      <w:pPr>
        <w:pStyle w:val="BodyText"/>
      </w:pPr>
      <w:r>
        <w:t xml:space="preserve">Table </w:t>
      </w:r>
      <w:hyperlink w:anchor="tab:transfer">
        <w:r>
          <w:rPr>
            <w:rStyle w:val="Hyperlink"/>
          </w:rPr>
          <w:t xml:space="preserve">[tab:transfer]</w:t>
        </w:r>
      </w:hyperlink>
      <w:r>
        <w:t xml:space="preserve"> </w:t>
      </w:r>
      <w:r>
        <w:t xml:space="preserve">and Fig. </w:t>
      </w:r>
      <w:hyperlink w:anchor="fig:transfer">
        <w:r>
          <w:rPr>
            <w:rStyle w:val="Hyperlink"/>
          </w:rPr>
          <w:t xml:space="preserve">5</w:t>
        </w:r>
      </w:hyperlink>
      <w:r>
        <w:t xml:space="preserve"> </w:t>
      </w:r>
      <w:r>
        <w:t xml:space="preserve">give the transfer ratios. On NQ, the dense encoders had ratios between 0.16 (bge-large and e5-base-v2 with Llama) and 0.27 (bge-base with Llama). With Qwen, e5-base-v2 gained +0.153 in Hit@5 over MiniLM-L6 but only +0.038 in EM, a ratio of 0.25 [0.15, 0.36]. The intervals for bge-small included zero in both NQ cells (Qwen [−0.07, 0.44], Llama [−0.08, 0.43]), so its NQ ratio is uncertain in sign. No upper bound on NQ exceeded 0.45. BM25 retrieved worse than MiniLM-L6 on NQ, so its ratio (0.37 with Qwen) describes how much of the retrieval loss reached the answer.</w:t>
      </w:r>
    </w:p>
    <w:p>
      <w:pPr>
        <w:pStyle w:val="BodyText"/>
      </w:pPr>
      <w:r>
        <w:t xml:space="preserve">On HotpotQA the ratios were larger for every encoder and reader. They ranged from 0.49 (Qwen3-Embedding-0.6B with Qwen) to 0.93 (bge-large with Llama). With Qwen, every upper bound stayed below 1, the largest being 0.996 for bge-large. With Llama, the bounds were 1.000 for bge-base, 1.000 for e5-base-v2 and 1.096 for bge-large; three of five bounds reached or exceeded 1. Prediction P1 therefore held in the two new NQ and Qwen–HotpotQA cells and failed in the Llama–HotpotQA cell (Table </w:t>
      </w:r>
      <w:hyperlink w:anchor="tab:predictions">
        <w:r>
          <w:rPr>
            <w:rStyle w:val="Hyperlink"/>
          </w:rPr>
          <w:t xml:space="preserve">[tab:predictions]</w:t>
        </w:r>
      </w:hyperlink>
      <w:r>
        <w:t xml:space="preserve">). The BM25 ratio was not estimable on HotpotQA, because BM25 and MiniLM-L6 differed by only +0.016 in Hit@5.</w:t>
      </w:r>
    </w:p>
    <w:p>
      <w:pPr>
        <w:pStyle w:val="CaptionedFigure"/>
      </w:pPr>
      <w:r>
        <w:drawing>
          <wp:inline>
            <wp:extent cx="5334000" cy="1897522"/>
            <wp:effectExtent b="0" l="0" r="0" t="0"/>
            <wp:docPr descr="" title="" id="67" name="Picture"/>
            <a:graphic>
              <a:graphicData uri="http://schemas.openxmlformats.org/drawingml/2006/picture">
                <pic:pic>
                  <pic:nvPicPr>
                    <pic:cNvPr descr="/home/claude/rag-embed-transfer/paper_figures/out/fig1_transfer_ratios.png" id="68" name="Picture"/>
                    <pic:cNvPicPr>
                      <a:picLocks noChangeArrowheads="1" noChangeAspect="1"/>
                    </pic:cNvPicPr>
                  </pic:nvPicPr>
                  <pic:blipFill>
                    <a:blip r:embed="rId66"/>
                    <a:stretch>
                      <a:fillRect/>
                    </a:stretch>
                  </pic:blipFill>
                  <pic:spPr bwMode="auto">
                    <a:xfrm>
                      <a:off x="0" y="0"/>
                      <a:ext cx="5334000" cy="1897522"/>
                    </a:xfrm>
                    <a:prstGeom prst="rect">
                      <a:avLst/>
                    </a:prstGeom>
                    <a:noFill/>
                    <a:ln w="9525">
                      <a:noFill/>
                      <a:headEnd/>
                      <a:tailEnd/>
                    </a:ln>
                  </pic:spPr>
                </pic:pic>
              </a:graphicData>
            </a:graphic>
          </wp:inline>
        </w:drawing>
      </w:r>
    </w:p>
    <w:p>
      <w:pPr>
        <w:pStyle w:val="ImageCaption"/>
      </w:pPr>
      <w:r>
        <w:t xml:space="preserve">Transfer ratio</w:t>
      </w:r>
      <w:r>
        <w:t xml:space="preserve"> </w:t>
      </w:r>
      <m:oMath>
        <m:r>
          <m:t>T</m:t>
        </m:r>
        <m:d>
          <m:dPr>
            <m:begChr m:val="("/>
            <m:endChr m:val=")"/>
            <m:sepChr m:val=""/>
            <m:grow/>
          </m:dPr>
          <m:e>
            <m:r>
              <m:t>R</m:t>
            </m:r>
          </m:e>
        </m:d>
        <m:r>
          <m:rPr>
            <m:sty m:val="p"/>
          </m:rPr>
          <m:t>=</m:t>
        </m:r>
        <m:r>
          <m:t>Δ</m:t>
        </m:r>
        <m:r>
          <m:rPr>
            <m:sty m:val="p"/>
          </m:rPr>
          <m:t>E</m:t>
        </m:r>
        <m:r>
          <m:rPr>
            <m:sty m:val="p"/>
          </m:rPr>
          <m:t>M</m:t>
        </m:r>
        <m:r>
          <m:rPr>
            <m:sty m:val="p"/>
          </m:rPr>
          <m:t>/</m:t>
        </m:r>
        <m:r>
          <m:t>Δ</m:t>
        </m:r>
        <m:r>
          <m:rPr>
            <m:sty m:val="p"/>
          </m:rPr>
          <m:t>H</m:t>
        </m:r>
        <m:r>
          <m:rPr>
            <m:sty m:val="p"/>
          </m:rPr>
          <m:t>i</m:t>
        </m:r>
        <m:r>
          <m:rPr>
            <m:sty m:val="p"/>
          </m:rPr>
          <m:t>t</m:t>
        </m:r>
        <m:r>
          <m:rPr>
            <m:sty m:val="p"/>
          </m:rPr>
          <m:t>@</m:t>
        </m:r>
        <m:r>
          <m:rPr>
            <m:sty m:val="p"/>
          </m:rPr>
          <m:t>5</m:t>
        </m:r>
      </m:oMath>
      <w:r>
        <w:t xml:space="preserve"> </w:t>
      </w:r>
      <w:r>
        <w:t xml:space="preserve">against MiniLM-L6 with 95% bootstrap intervals. The dashed line marks</w:t>
      </w:r>
      <w:r>
        <w:t xml:space="preserve"> </w:t>
      </w:r>
      <m:oMath>
        <m:r>
          <m:t>T</m:t>
        </m:r>
        <m:r>
          <m:rPr>
            <m:sty m:val="p"/>
          </m:rPr>
          <m:t>=</m:t>
        </m:r>
        <m:r>
          <m:t>1</m:t>
        </m:r>
      </m:oMath>
      <w:r>
        <w:t xml:space="preserve">. n.e.: not estimable under the reporting rule.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gridSpan w:val="4"/>
          </w:tcPr>
          <w:p>
            <w:pPr>
              <w:pStyle w:val="Compact"/>
              <w:jc w:val="center"/>
            </w:pPr>
            <w:r>
              <w:t xml:space="preserve">NQ (2,255 queries)</w:t>
            </w:r>
          </w:p>
        </w:tc>
        <w:tc>
          <w:tcPr>
            <w:gridSpan w:val="4"/>
          </w:tcPr>
          <w:p>
            <w:pPr>
              <w:pStyle w:val="Compact"/>
              <w:jc w:val="center"/>
            </w:pPr>
            <w:r>
              <w:t xml:space="preserve">HotpotQA (2,000 queries)</w:t>
            </w:r>
          </w:p>
        </w:tc>
      </w:tr>
      <w:tr>
        <w:tc>
          <w:tcPr/>
          <w:p>
            <w:pPr>
              <w:pStyle w:val="Compact"/>
              <w:jc w:val="left"/>
            </w:pPr>
            <w:r>
              <w:t xml:space="preserve">2-5</w:t>
            </w:r>
            <w:r>
              <w:t xml:space="preserve">(lr)</w:t>
            </w:r>
            <w:r>
              <w:t xml:space="preserve">6-9</w:t>
            </w:r>
          </w:p>
        </w:tc>
        <w:tc>
          <w:tcPr>
            <w:gridSpan w:val="2"/>
          </w:tcPr>
          <w:p>
            <w:pPr>
              <w:pStyle w:val="Compact"/>
              <w:jc w:val="center"/>
            </w:pPr>
            <w:r>
              <w:t xml:space="preserve">Qwen</w:t>
            </w:r>
          </w:p>
        </w:tc>
        <w:tc>
          <w:tcPr>
            <w:gridSpan w:val="2"/>
          </w:tcPr>
          <w:p>
            <w:pPr>
              <w:pStyle w:val="Compact"/>
              <w:jc w:val="center"/>
            </w:pPr>
            <w:r>
              <w:t xml:space="preserve">Llama</w:t>
            </w:r>
          </w:p>
        </w:tc>
        <w:tc>
          <w:tcPr>
            <w:gridSpan w:val="2"/>
          </w:tcPr>
          <w:p>
            <w:pPr>
              <w:pStyle w:val="Compact"/>
              <w:jc w:val="center"/>
            </w:pPr>
            <w:r>
              <w:t xml:space="preserve">Qwen</w:t>
            </w:r>
          </w:p>
        </w:tc>
        <w:tc>
          <w:tcPr>
            <w:gridSpan w:val="2"/>
          </w:tcPr>
          <w:p>
            <w:pPr>
              <w:pStyle w:val="Compact"/>
              <w:jc w:val="center"/>
            </w:pPr>
            <w:r>
              <w:t xml:space="preserve">Llama</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r>
              <w:t xml:space="preserve"> </w:t>
            </w:r>
            <w:r>
              <w:t xml:space="preserve">Retriever</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r>
      <w:tr>
        <w:tc>
          <w:tcPr/>
          <w:p>
            <w:pPr>
              <w:pStyle w:val="Compact"/>
              <w:jc w:val="left"/>
            </w:pPr>
            <w:r>
              <w:t xml:space="preserve">BM25</w:t>
            </w:r>
          </w:p>
        </w:tc>
        <w:tc>
          <w:tcPr/>
          <w:p>
            <w:pPr>
              <w:pStyle w:val="Compact"/>
              <w:jc w:val="right"/>
            </w:pPr>
            <w:r>
              <w:t xml:space="preserve">0.363</w:t>
            </w:r>
          </w:p>
        </w:tc>
        <w:tc>
          <w:tcPr/>
          <w:p>
            <w:pPr>
              <w:pStyle w:val="Compact"/>
              <w:jc w:val="right"/>
            </w:pPr>
            <w:r>
              <w:t xml:space="preserve">0.360</w:t>
            </w:r>
          </w:p>
        </w:tc>
        <w:tc>
          <w:tcPr/>
          <w:p>
            <w:pPr>
              <w:pStyle w:val="Compact"/>
              <w:jc w:val="right"/>
            </w:pPr>
            <w:r>
              <w:t xml:space="preserve">0.363</w:t>
            </w:r>
          </w:p>
        </w:tc>
        <w:tc>
          <w:tcPr/>
          <w:p>
            <w:pPr>
              <w:pStyle w:val="Compact"/>
              <w:jc w:val="right"/>
            </w:pPr>
            <w:r>
              <w:t xml:space="preserve">0.340</w:t>
            </w:r>
          </w:p>
        </w:tc>
        <w:tc>
          <w:tcPr/>
          <w:p>
            <w:pPr>
              <w:pStyle w:val="Compact"/>
              <w:jc w:val="right"/>
            </w:pPr>
            <w:r>
              <w:t xml:space="preserve">0.833</w:t>
            </w:r>
          </w:p>
        </w:tc>
        <w:tc>
          <w:tcPr/>
          <w:p>
            <w:pPr>
              <w:pStyle w:val="Compact"/>
              <w:jc w:val="right"/>
            </w:pPr>
            <w:r>
              <w:t xml:space="preserve">0.339</w:t>
            </w:r>
          </w:p>
        </w:tc>
        <w:tc>
          <w:tcPr/>
          <w:p>
            <w:pPr>
              <w:pStyle w:val="Compact"/>
              <w:jc w:val="right"/>
            </w:pPr>
            <w:r>
              <w:t xml:space="preserve">0.833</w:t>
            </w:r>
          </w:p>
        </w:tc>
        <w:tc>
          <w:tcPr/>
          <w:p>
            <w:pPr>
              <w:pStyle w:val="Compact"/>
              <w:jc w:val="right"/>
            </w:pPr>
            <w:r>
              <w:t xml:space="preserve">0.336</w:t>
            </w:r>
          </w:p>
        </w:tc>
      </w:tr>
      <w:tr>
        <w:tc>
          <w:tcPr/>
          <w:p>
            <w:pPr>
              <w:pStyle w:val="Compact"/>
              <w:jc w:val="left"/>
            </w:pPr>
            <w:r>
              <w:t xml:space="preserve">MiniLM-L6</w:t>
            </w:r>
          </w:p>
        </w:tc>
        <w:tc>
          <w:tcPr/>
          <w:p>
            <w:pPr>
              <w:pStyle w:val="Compact"/>
              <w:jc w:val="right"/>
            </w:pPr>
            <w:r>
              <w:t xml:space="preserve">0.664</w:t>
            </w:r>
          </w:p>
        </w:tc>
        <w:tc>
          <w:tcPr/>
          <w:p>
            <w:pPr>
              <w:pStyle w:val="Compact"/>
              <w:jc w:val="right"/>
            </w:pPr>
            <w:r>
              <w:t xml:space="preserve">0.471</w:t>
            </w:r>
          </w:p>
        </w:tc>
        <w:tc>
          <w:tcPr/>
          <w:p>
            <w:pPr>
              <w:pStyle w:val="Compact"/>
              <w:jc w:val="right"/>
            </w:pPr>
            <w:r>
              <w:t xml:space="preserve">0.664</w:t>
            </w:r>
          </w:p>
        </w:tc>
        <w:tc>
          <w:tcPr/>
          <w:p>
            <w:pPr>
              <w:pStyle w:val="Compact"/>
              <w:jc w:val="right"/>
            </w:pPr>
            <w:r>
              <w:t xml:space="preserve">0.448</w:t>
            </w:r>
          </w:p>
        </w:tc>
        <w:tc>
          <w:tcPr/>
          <w:p>
            <w:pPr>
              <w:pStyle w:val="Compact"/>
              <w:jc w:val="right"/>
            </w:pPr>
            <w:r>
              <w:t xml:space="preserve">0.817</w:t>
            </w:r>
          </w:p>
        </w:tc>
        <w:tc>
          <w:tcPr/>
          <w:p>
            <w:pPr>
              <w:pStyle w:val="Compact"/>
              <w:jc w:val="right"/>
            </w:pPr>
            <w:r>
              <w:t xml:space="preserve">0.304</w:t>
            </w:r>
          </w:p>
        </w:tc>
        <w:tc>
          <w:tcPr/>
          <w:p>
            <w:pPr>
              <w:pStyle w:val="Compact"/>
              <w:jc w:val="right"/>
            </w:pPr>
            <w:r>
              <w:t xml:space="preserve">0.817</w:t>
            </w:r>
          </w:p>
        </w:tc>
        <w:tc>
          <w:tcPr/>
          <w:p>
            <w:pPr>
              <w:pStyle w:val="Compact"/>
              <w:jc w:val="right"/>
            </w:pPr>
            <w:r>
              <w:t xml:space="preserve">0.297</w:t>
            </w:r>
          </w:p>
        </w:tc>
      </w:tr>
      <w:tr>
        <w:tc>
          <w:tcPr/>
          <w:p>
            <w:pPr>
              <w:pStyle w:val="Compact"/>
              <w:jc w:val="left"/>
            </w:pPr>
            <w:r>
              <w:t xml:space="preserve">bge-small</w:t>
            </w:r>
          </w:p>
        </w:tc>
        <w:tc>
          <w:tcPr/>
          <w:p>
            <w:pPr>
              <w:pStyle w:val="Compact"/>
              <w:jc w:val="right"/>
            </w:pPr>
            <w:r>
              <w:t xml:space="preserve">0.729</w:t>
            </w:r>
          </w:p>
        </w:tc>
        <w:tc>
          <w:tcPr/>
          <w:p>
            <w:pPr>
              <w:pStyle w:val="Compact"/>
              <w:jc w:val="right"/>
            </w:pPr>
            <w:r>
              <w:t xml:space="preserve">0.484</w:t>
            </w:r>
          </w:p>
        </w:tc>
        <w:tc>
          <w:tcPr/>
          <w:p>
            <w:pPr>
              <w:pStyle w:val="Compact"/>
              <w:jc w:val="right"/>
            </w:pPr>
            <w:r>
              <w:t xml:space="preserve">0.729</w:t>
            </w:r>
          </w:p>
        </w:tc>
        <w:tc>
          <w:tcPr/>
          <w:p>
            <w:pPr>
              <w:pStyle w:val="Compact"/>
              <w:jc w:val="right"/>
            </w:pPr>
            <w:r>
              <w:t xml:space="preserve">0.460</w:t>
            </w:r>
          </w:p>
        </w:tc>
        <w:tc>
          <w:tcPr/>
          <w:p>
            <w:pPr>
              <w:pStyle w:val="Compact"/>
              <w:jc w:val="right"/>
            </w:pPr>
            <w:r>
              <w:t xml:space="preserve">0.954</w:t>
            </w:r>
          </w:p>
        </w:tc>
        <w:tc>
          <w:tcPr/>
          <w:p>
            <w:pPr>
              <w:pStyle w:val="Compact"/>
              <w:jc w:val="right"/>
            </w:pPr>
            <w:r>
              <w:t xml:space="preserve">0.394</w:t>
            </w:r>
          </w:p>
        </w:tc>
        <w:tc>
          <w:tcPr/>
          <w:p>
            <w:pPr>
              <w:pStyle w:val="Compact"/>
              <w:jc w:val="right"/>
            </w:pPr>
            <w:r>
              <w:t xml:space="preserve">0.954</w:t>
            </w:r>
          </w:p>
        </w:tc>
        <w:tc>
          <w:tcPr/>
          <w:p>
            <w:pPr>
              <w:pStyle w:val="Compact"/>
              <w:jc w:val="right"/>
            </w:pPr>
            <w:r>
              <w:t xml:space="preserve">0.392</w:t>
            </w:r>
          </w:p>
        </w:tc>
      </w:tr>
      <w:tr>
        <w:tc>
          <w:tcPr/>
          <w:p>
            <w:pPr>
              <w:pStyle w:val="Compact"/>
              <w:jc w:val="left"/>
            </w:pPr>
            <w:r>
              <w:t xml:space="preserve">bge-base</w:t>
            </w:r>
          </w:p>
        </w:tc>
        <w:tc>
          <w:tcPr/>
          <w:p>
            <w:pPr>
              <w:pStyle w:val="Compact"/>
              <w:jc w:val="right"/>
            </w:pPr>
            <w:r>
              <w:t xml:space="preserve">0.770</w:t>
            </w:r>
          </w:p>
        </w:tc>
        <w:tc>
          <w:tcPr/>
          <w:p>
            <w:pPr>
              <w:pStyle w:val="Compact"/>
              <w:jc w:val="right"/>
            </w:pPr>
            <w:r>
              <w:t xml:space="preserve">0.493</w:t>
            </w:r>
          </w:p>
        </w:tc>
        <w:tc>
          <w:tcPr/>
          <w:p>
            <w:pPr>
              <w:pStyle w:val="Compact"/>
              <w:jc w:val="right"/>
            </w:pPr>
            <w:r>
              <w:t xml:space="preserve">0.770</w:t>
            </w:r>
          </w:p>
        </w:tc>
        <w:tc>
          <w:tcPr/>
          <w:p>
            <w:pPr>
              <w:pStyle w:val="Compact"/>
              <w:jc w:val="right"/>
            </w:pPr>
            <w:r>
              <w:t xml:space="preserve">0.477</w:t>
            </w:r>
          </w:p>
        </w:tc>
        <w:tc>
          <w:tcPr/>
          <w:p>
            <w:pPr>
              <w:pStyle w:val="Compact"/>
              <w:jc w:val="right"/>
            </w:pPr>
            <w:r>
              <w:t xml:space="preserve">0.958</w:t>
            </w:r>
          </w:p>
        </w:tc>
        <w:tc>
          <w:tcPr/>
          <w:p>
            <w:pPr>
              <w:pStyle w:val="Compact"/>
              <w:jc w:val="right"/>
            </w:pPr>
            <w:r>
              <w:t xml:space="preserve">0.404</w:t>
            </w:r>
          </w:p>
        </w:tc>
        <w:tc>
          <w:tcPr/>
          <w:p>
            <w:pPr>
              <w:pStyle w:val="Compact"/>
              <w:jc w:val="right"/>
            </w:pPr>
            <w:r>
              <w:t xml:space="preserve">0.958</w:t>
            </w:r>
          </w:p>
        </w:tc>
        <w:tc>
          <w:tcPr/>
          <w:p>
            <w:pPr>
              <w:pStyle w:val="Compact"/>
              <w:jc w:val="right"/>
            </w:pPr>
            <w:r>
              <w:t xml:space="preserve">0.415</w:t>
            </w:r>
          </w:p>
        </w:tc>
      </w:tr>
      <w:tr>
        <w:tc>
          <w:tcPr/>
          <w:p>
            <w:pPr>
              <w:pStyle w:val="Compact"/>
              <w:jc w:val="left"/>
            </w:pPr>
            <w:r>
              <w:t xml:space="preserve">bge-large</w:t>
            </w:r>
          </w:p>
        </w:tc>
        <w:tc>
          <w:tcPr/>
          <w:p>
            <w:pPr>
              <w:pStyle w:val="Compact"/>
              <w:jc w:val="right"/>
            </w:pPr>
            <w:r>
              <w:t xml:space="preserve">0.796</w:t>
            </w:r>
          </w:p>
        </w:tc>
        <w:tc>
          <w:tcPr/>
          <w:p>
            <w:pPr>
              <w:pStyle w:val="Compact"/>
              <w:jc w:val="right"/>
            </w:pPr>
            <w:r>
              <w:t xml:space="preserve">0.503</w:t>
            </w:r>
          </w:p>
        </w:tc>
        <w:tc>
          <w:tcPr/>
          <w:p>
            <w:pPr>
              <w:pStyle w:val="Compact"/>
              <w:jc w:val="right"/>
            </w:pPr>
            <w:r>
              <w:t xml:space="preserve">0.796</w:t>
            </w:r>
          </w:p>
        </w:tc>
        <w:tc>
          <w:tcPr/>
          <w:p>
            <w:pPr>
              <w:pStyle w:val="Compact"/>
              <w:jc w:val="right"/>
            </w:pPr>
            <w:r>
              <w:t xml:space="preserve">0.469</w:t>
            </w:r>
          </w:p>
        </w:tc>
        <w:tc>
          <w:tcPr/>
          <w:p>
            <w:pPr>
              <w:pStyle w:val="Compact"/>
              <w:jc w:val="right"/>
            </w:pPr>
            <w:r>
              <w:t xml:space="preserve">0.961</w:t>
            </w:r>
          </w:p>
        </w:tc>
        <w:tc>
          <w:tcPr/>
          <w:p>
            <w:pPr>
              <w:pStyle w:val="Compact"/>
              <w:jc w:val="right"/>
            </w:pPr>
            <w:r>
              <w:t xml:space="preserve">0.424</w:t>
            </w:r>
          </w:p>
        </w:tc>
        <w:tc>
          <w:tcPr/>
          <w:p>
            <w:pPr>
              <w:pStyle w:val="Compact"/>
              <w:jc w:val="right"/>
            </w:pPr>
            <w:r>
              <w:t xml:space="preserve">0.961</w:t>
            </w:r>
          </w:p>
        </w:tc>
        <w:tc>
          <w:tcPr/>
          <w:p>
            <w:pPr>
              <w:pStyle w:val="Compact"/>
              <w:jc w:val="right"/>
            </w:pPr>
            <w:r>
              <w:t xml:space="preserve">0.430</w:t>
            </w:r>
          </w:p>
        </w:tc>
      </w:tr>
      <w:tr>
        <w:tc>
          <w:tcPr/>
          <w:p>
            <w:pPr>
              <w:pStyle w:val="Compact"/>
              <w:jc w:val="left"/>
            </w:pPr>
            <w:r>
              <w:t xml:space="preserve">e5-base-v2</w:t>
            </w:r>
          </w:p>
        </w:tc>
        <w:tc>
          <w:tcPr/>
          <w:p>
            <w:pPr>
              <w:pStyle w:val="Compact"/>
              <w:jc w:val="right"/>
            </w:pPr>
            <w:r>
              <w:t xml:space="preserve">0.816</w:t>
            </w:r>
          </w:p>
        </w:tc>
        <w:tc>
          <w:tcPr/>
          <w:p>
            <w:pPr>
              <w:pStyle w:val="Compact"/>
              <w:jc w:val="right"/>
            </w:pPr>
            <w:r>
              <w:t xml:space="preserve">0.510</w:t>
            </w:r>
          </w:p>
        </w:tc>
        <w:tc>
          <w:tcPr/>
          <w:p>
            <w:pPr>
              <w:pStyle w:val="Compact"/>
              <w:jc w:val="right"/>
            </w:pPr>
            <w:r>
              <w:t xml:space="preserve">0.816</w:t>
            </w:r>
          </w:p>
        </w:tc>
        <w:tc>
          <w:tcPr/>
          <w:p>
            <w:pPr>
              <w:pStyle w:val="Compact"/>
              <w:jc w:val="right"/>
            </w:pPr>
            <w:r>
              <w:t xml:space="preserve">0.472</w:t>
            </w:r>
          </w:p>
        </w:tc>
        <w:tc>
          <w:tcPr/>
          <w:p>
            <w:pPr>
              <w:pStyle w:val="Compact"/>
              <w:jc w:val="right"/>
            </w:pPr>
            <w:r>
              <w:t xml:space="preserve">0.951</w:t>
            </w:r>
          </w:p>
        </w:tc>
        <w:tc>
          <w:tcPr/>
          <w:p>
            <w:pPr>
              <w:pStyle w:val="Compact"/>
              <w:jc w:val="right"/>
            </w:pPr>
            <w:r>
              <w:t xml:space="preserve">0.396</w:t>
            </w:r>
          </w:p>
        </w:tc>
        <w:tc>
          <w:tcPr/>
          <w:p>
            <w:pPr>
              <w:pStyle w:val="Compact"/>
              <w:jc w:val="right"/>
            </w:pPr>
            <w:r>
              <w:t xml:space="preserve">0.951</w:t>
            </w:r>
          </w:p>
        </w:tc>
        <w:tc>
          <w:tcPr/>
          <w:p>
            <w:pPr>
              <w:pStyle w:val="Compact"/>
              <w:jc w:val="right"/>
            </w:pPr>
            <w:r>
              <w:t xml:space="preserve">0.408</w:t>
            </w:r>
          </w:p>
        </w:tc>
      </w:tr>
      <w:tr>
        <w:tc>
          <w:tcPr/>
          <w:p>
            <w:pPr>
              <w:pStyle w:val="Compact"/>
              <w:jc w:val="left"/>
            </w:pPr>
            <w:r>
              <w:t xml:space="preserve">Qwen3-Emb-0.6B</w:t>
            </w:r>
          </w:p>
        </w:tc>
        <w:tc>
          <w:tcPr/>
          <w:p>
            <w:pPr>
              <w:pStyle w:val="Compact"/>
              <w:jc w:val="right"/>
            </w:pPr>
            <w:r>
              <w:t xml:space="preserve">0.744</w:t>
            </w:r>
          </w:p>
        </w:tc>
        <w:tc>
          <w:tcPr/>
          <w:p>
            <w:pPr>
              <w:pStyle w:val="Compact"/>
              <w:jc w:val="right"/>
            </w:pPr>
            <w:r>
              <w:t xml:space="preserve">0.492</w:t>
            </w:r>
          </w:p>
        </w:tc>
        <w:tc>
          <w:tcPr/>
          <w:p>
            <w:pPr>
              <w:pStyle w:val="Compact"/>
              <w:jc w:val="right"/>
            </w:pPr>
            <w:r>
              <w:t xml:space="preserve">0.744</w:t>
            </w:r>
          </w:p>
        </w:tc>
        <w:tc>
          <w:tcPr/>
          <w:p>
            <w:pPr>
              <w:pStyle w:val="Compact"/>
              <w:jc w:val="right"/>
            </w:pPr>
            <w:r>
              <w:t xml:space="preserve">0.466</w:t>
            </w:r>
          </w:p>
        </w:tc>
        <w:tc>
          <w:tcPr/>
          <w:p>
            <w:pPr>
              <w:pStyle w:val="Compact"/>
              <w:jc w:val="right"/>
            </w:pPr>
            <w:r>
              <w:t xml:space="preserve">0.945</w:t>
            </w:r>
          </w:p>
        </w:tc>
        <w:tc>
          <w:tcPr/>
          <w:p>
            <w:pPr>
              <w:pStyle w:val="Compact"/>
              <w:jc w:val="right"/>
            </w:pPr>
            <w:r>
              <w:t xml:space="preserve">0.366</w:t>
            </w:r>
          </w:p>
        </w:tc>
        <w:tc>
          <w:tcPr/>
          <w:p>
            <w:pPr>
              <w:pStyle w:val="Compact"/>
              <w:jc w:val="right"/>
            </w:pPr>
            <w:r>
              <w:t xml:space="preserve">0.945</w:t>
            </w:r>
          </w:p>
        </w:tc>
        <w:tc>
          <w:tcPr/>
          <w:p>
            <w:pPr>
              <w:pStyle w:val="Compact"/>
              <w:jc w:val="right"/>
            </w:pPr>
            <w:r>
              <w:t xml:space="preserve">0.366</w:t>
            </w:r>
          </w:p>
        </w:tc>
      </w:tr>
      <w:tr>
        <w:tc>
          <w:tcPr/>
          <w:p>
            <w:pPr>
              <w:pStyle w:val="Compact"/>
              <w:jc w:val="left"/>
            </w:pPr>
            <w:r>
              <w:t xml:space="preserve">Closed book</w:t>
            </w:r>
          </w:p>
        </w:tc>
        <w:tc>
          <w:tcPr/>
          <w:p>
            <w:pPr>
              <w:pStyle w:val="Compact"/>
              <w:jc w:val="right"/>
            </w:pPr>
            <w:r>
              <w:t xml:space="preserve">–</w:t>
            </w:r>
          </w:p>
        </w:tc>
        <w:tc>
          <w:tcPr/>
          <w:p>
            <w:pPr>
              <w:pStyle w:val="Compact"/>
              <w:jc w:val="right"/>
            </w:pPr>
            <w:r>
              <w:t xml:space="preserve">0.149</w:t>
            </w:r>
          </w:p>
        </w:tc>
        <w:tc>
          <w:tcPr/>
          <w:p>
            <w:pPr>
              <w:pStyle w:val="Compact"/>
              <w:jc w:val="right"/>
            </w:pPr>
            <w:r>
              <w:t xml:space="preserve">–</w:t>
            </w:r>
          </w:p>
        </w:tc>
        <w:tc>
          <w:tcPr/>
          <w:p>
            <w:pPr>
              <w:pStyle w:val="Compact"/>
              <w:jc w:val="right"/>
            </w:pPr>
            <w:r>
              <w:t xml:space="preserve">0.197</w:t>
            </w:r>
          </w:p>
        </w:tc>
        <w:tc>
          <w:tcPr/>
          <w:p>
            <w:pPr>
              <w:pStyle w:val="Compact"/>
              <w:jc w:val="right"/>
            </w:pPr>
            <w:r>
              <w:t xml:space="preserve">–</w:t>
            </w:r>
          </w:p>
        </w:tc>
        <w:tc>
          <w:tcPr/>
          <w:p>
            <w:pPr>
              <w:pStyle w:val="Compact"/>
              <w:jc w:val="right"/>
            </w:pPr>
            <w:r>
              <w:t xml:space="preserve">0.158</w:t>
            </w:r>
          </w:p>
        </w:tc>
        <w:tc>
          <w:tcPr/>
          <w:p>
            <w:pPr>
              <w:pStyle w:val="Compact"/>
              <w:jc w:val="right"/>
            </w:pPr>
            <w:r>
              <w:t xml:space="preserve">–</w:t>
            </w:r>
          </w:p>
        </w:tc>
        <w:tc>
          <w:tcPr/>
          <w:p>
            <w:pPr>
              <w:pStyle w:val="Compact"/>
              <w:jc w:val="right"/>
            </w:pPr>
            <w:r>
              <w:t xml:space="preserve">0.148</w:t>
            </w:r>
          </w:p>
        </w:tc>
      </w:tr>
      <w:tr>
        <w:tc>
          <w:tcPr/>
          <w:p>
            <w:pPr>
              <w:pStyle w:val="Compact"/>
              <w:jc w:val="left"/>
            </w:pPr>
            <w:r>
              <w:t xml:space="preserve">Gold passages</w:t>
            </w:r>
          </w:p>
        </w:tc>
        <w:tc>
          <w:tcPr/>
          <w:p>
            <w:pPr>
              <w:pStyle w:val="Compact"/>
              <w:jc w:val="right"/>
            </w:pPr>
            <w:r>
              <w:t xml:space="preserve">–</w:t>
            </w:r>
          </w:p>
        </w:tc>
        <w:tc>
          <w:tcPr/>
          <w:p>
            <w:pPr>
              <w:pStyle w:val="Compact"/>
              <w:jc w:val="right"/>
            </w:pPr>
            <w:r>
              <w:t xml:space="preserve">0.653</w:t>
            </w:r>
          </w:p>
        </w:tc>
        <w:tc>
          <w:tcPr/>
          <w:p>
            <w:pPr>
              <w:pStyle w:val="Compact"/>
              <w:jc w:val="right"/>
            </w:pPr>
            <w:r>
              <w:t xml:space="preserve">–</w:t>
            </w:r>
          </w:p>
        </w:tc>
        <w:tc>
          <w:tcPr/>
          <w:p>
            <w:pPr>
              <w:pStyle w:val="Compact"/>
              <w:jc w:val="right"/>
            </w:pPr>
            <w:r>
              <w:t xml:space="preserve">0.613</w:t>
            </w:r>
          </w:p>
        </w:tc>
        <w:tc>
          <w:tcPr/>
          <w:p>
            <w:pPr>
              <w:pStyle w:val="Compact"/>
              <w:jc w:val="right"/>
            </w:pPr>
            <w:r>
              <w:t xml:space="preserve">–</w:t>
            </w:r>
          </w:p>
        </w:tc>
        <w:tc>
          <w:tcPr/>
          <w:p>
            <w:pPr>
              <w:pStyle w:val="Compact"/>
              <w:jc w:val="right"/>
            </w:pPr>
            <w:r>
              <w:t xml:space="preserve">0.628</w:t>
            </w:r>
          </w:p>
        </w:tc>
        <w:tc>
          <w:tcPr/>
          <w:p>
            <w:pPr>
              <w:pStyle w:val="Compact"/>
              <w:jc w:val="right"/>
            </w:pPr>
            <w:r>
              <w:t xml:space="preserve">–</w:t>
            </w:r>
          </w:p>
        </w:tc>
        <w:tc>
          <w:tcPr/>
          <w:p>
            <w:pPr>
              <w:pStyle w:val="Compact"/>
              <w:jc w:val="right"/>
            </w:pPr>
            <w:r>
              <w:t xml:space="preserve">0.624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0.37 [0.31, 0.43]</w:t>
            </w:r>
          </w:p>
        </w:tc>
        <w:tc>
          <w:tcPr/>
          <w:p>
            <w:pPr>
              <w:pStyle w:val="Compact"/>
              <w:jc w:val="center"/>
            </w:pPr>
            <w:r>
              <w:t xml:space="preserve">0.36 [0.30, 0.42]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0.19 [</w:t>
            </w:r>
            <m:oMath>
              <m:r>
                <m:rPr>
                  <m:sty m:val="p"/>
                </m:rPr>
                <m:t>−</m:t>
              </m:r>
            </m:oMath>
            <w:r>
              <w:t xml:space="preserve">0.07, 0.44]</w:t>
            </w:r>
          </w:p>
        </w:tc>
        <w:tc>
          <w:tcPr/>
          <w:p>
            <w:pPr>
              <w:pStyle w:val="Compact"/>
              <w:jc w:val="center"/>
            </w:pPr>
            <w:r>
              <w:t xml:space="preserve">0.18 [</w:t>
            </w:r>
            <m:oMath>
              <m:r>
                <m:rPr>
                  <m:sty m:val="p"/>
                </m:rPr>
                <m:t>−</m:t>
              </m:r>
            </m:oMath>
            <w:r>
              <w:t xml:space="preserve">0.08, 0.43]</w:t>
            </w:r>
          </w:p>
        </w:tc>
        <w:tc>
          <w:tcPr/>
          <w:p>
            <w:pPr>
              <w:pStyle w:val="Compact"/>
              <w:jc w:val="center"/>
            </w:pPr>
            <w:r>
              <w:t xml:space="preserve">0.66 [0.52, 0.82]</w:t>
            </w:r>
          </w:p>
        </w:tc>
        <w:tc>
          <w:tcPr/>
          <w:p>
            <w:pPr>
              <w:pStyle w:val="Compact"/>
              <w:jc w:val="center"/>
            </w:pPr>
            <w:r>
              <w:t xml:space="preserve">0.69 [0.55, 0.85]</w:t>
            </w:r>
          </w:p>
        </w:tc>
      </w:tr>
      <w:tr>
        <w:tc>
          <w:tcPr/>
          <w:p>
            <w:pPr>
              <w:pStyle w:val="Compact"/>
              <w:jc w:val="left"/>
            </w:pPr>
            <w:r>
              <w:t xml:space="preserve">bge-base</w:t>
            </w:r>
          </w:p>
        </w:tc>
        <w:tc>
          <w:tcPr/>
          <w:p>
            <w:pPr>
              <w:pStyle w:val="Compact"/>
              <w:jc w:val="center"/>
            </w:pPr>
            <w:r>
              <w:t xml:space="preserve">0.20 [0.04, 0.36]</w:t>
            </w:r>
          </w:p>
        </w:tc>
        <w:tc>
          <w:tcPr/>
          <w:p>
            <w:pPr>
              <w:pStyle w:val="Compact"/>
              <w:jc w:val="center"/>
            </w:pPr>
            <w:r>
              <w:t xml:space="preserve">0.27 [0.12, 0.42]</w:t>
            </w:r>
          </w:p>
        </w:tc>
        <w:tc>
          <w:tcPr/>
          <w:p>
            <w:pPr>
              <w:pStyle w:val="Compact"/>
              <w:jc w:val="center"/>
            </w:pPr>
            <w:r>
              <w:t xml:space="preserve">0.71 [0.57, 0.87]</w:t>
            </w:r>
          </w:p>
        </w:tc>
        <w:tc>
          <w:tcPr/>
          <w:p>
            <w:pPr>
              <w:pStyle w:val="Compact"/>
              <w:jc w:val="center"/>
            </w:pPr>
            <w:r>
              <w:t xml:space="preserve">0.84 [0.69, 1.00]</w:t>
            </w:r>
          </w:p>
        </w:tc>
      </w:tr>
      <w:tr>
        <w:tc>
          <w:tcPr/>
          <w:p>
            <w:pPr>
              <w:pStyle w:val="Compact"/>
              <w:jc w:val="left"/>
            </w:pPr>
            <w:r>
              <w:t xml:space="preserve">bge-large</w:t>
            </w:r>
          </w:p>
        </w:tc>
        <w:tc>
          <w:tcPr/>
          <w:p>
            <w:pPr>
              <w:pStyle w:val="Compact"/>
              <w:jc w:val="center"/>
            </w:pPr>
            <w:r>
              <w:t xml:space="preserve">0.24 [0.11, 0.36]</w:t>
            </w:r>
          </w:p>
        </w:tc>
        <w:tc>
          <w:tcPr/>
          <w:p>
            <w:pPr>
              <w:pStyle w:val="Compact"/>
              <w:jc w:val="center"/>
            </w:pPr>
            <w:r>
              <w:t xml:space="preserve">0.16 [0.03, 0.28]</w:t>
            </w:r>
          </w:p>
        </w:tc>
        <w:tc>
          <w:tcPr/>
          <w:p>
            <w:pPr>
              <w:pStyle w:val="Compact"/>
              <w:jc w:val="center"/>
            </w:pPr>
            <w:r>
              <w:t xml:space="preserve">0.84 [0.69, 1.00]</w:t>
            </w:r>
          </w:p>
        </w:tc>
        <w:tc>
          <w:tcPr/>
          <w:p>
            <w:pPr>
              <w:pStyle w:val="Compact"/>
              <w:jc w:val="center"/>
            </w:pPr>
            <w:r>
              <w:t xml:space="preserve">0.93 [0.78, 1.10]</w:t>
            </w:r>
          </w:p>
        </w:tc>
      </w:tr>
      <w:tr>
        <w:tc>
          <w:tcPr/>
          <w:p>
            <w:pPr>
              <w:pStyle w:val="Compact"/>
              <w:jc w:val="left"/>
            </w:pPr>
            <w:r>
              <w:t xml:space="preserve">e5-base-v2</w:t>
            </w:r>
          </w:p>
        </w:tc>
        <w:tc>
          <w:tcPr/>
          <w:p>
            <w:pPr>
              <w:pStyle w:val="Compact"/>
              <w:jc w:val="center"/>
            </w:pPr>
            <w:r>
              <w:t xml:space="preserve">0.25 [0.15, 0.36]</w:t>
            </w:r>
          </w:p>
        </w:tc>
        <w:tc>
          <w:tcPr/>
          <w:p>
            <w:pPr>
              <w:pStyle w:val="Compact"/>
              <w:jc w:val="center"/>
            </w:pPr>
            <w:r>
              <w:t xml:space="preserve">0.16 [0.05, 0.26]</w:t>
            </w:r>
          </w:p>
        </w:tc>
        <w:tc>
          <w:tcPr/>
          <w:p>
            <w:pPr>
              <w:pStyle w:val="Compact"/>
              <w:jc w:val="center"/>
            </w:pPr>
            <w:r>
              <w:t xml:space="preserve">0.69 [0.54, 0.85]</w:t>
            </w:r>
          </w:p>
        </w:tc>
        <w:tc>
          <w:tcPr/>
          <w:p>
            <w:pPr>
              <w:pStyle w:val="Compact"/>
              <w:jc w:val="center"/>
            </w:pPr>
            <w:r>
              <w:t xml:space="preserve">0.83 [0.68, 1.00]</w:t>
            </w:r>
          </w:p>
        </w:tc>
      </w:tr>
      <w:tr>
        <w:tc>
          <w:tcPr/>
          <w:p>
            <w:pPr>
              <w:pStyle w:val="Compact"/>
              <w:jc w:val="left"/>
            </w:pPr>
            <w:r>
              <w:t xml:space="preserve">Qwen3-Emb-0.6B</w:t>
            </w:r>
          </w:p>
        </w:tc>
        <w:tc>
          <w:tcPr/>
          <w:p>
            <w:pPr>
              <w:pStyle w:val="Compact"/>
              <w:jc w:val="center"/>
            </w:pPr>
            <w:r>
              <w:t xml:space="preserve">0.25 [0.05, 0.45]</w:t>
            </w:r>
          </w:p>
        </w:tc>
        <w:tc>
          <w:tcPr/>
          <w:p>
            <w:pPr>
              <w:pStyle w:val="Compact"/>
              <w:jc w:val="center"/>
            </w:pPr>
            <w:r>
              <w:t xml:space="preserve">0.22 [0.02, 0.42]</w:t>
            </w:r>
          </w:p>
        </w:tc>
        <w:tc>
          <w:tcPr/>
          <w:p>
            <w:pPr>
              <w:pStyle w:val="Compact"/>
              <w:jc w:val="center"/>
            </w:pPr>
            <w:r>
              <w:t xml:space="preserve">0.49 [0.35, 0.64]</w:t>
            </w:r>
          </w:p>
        </w:tc>
        <w:tc>
          <w:tcPr/>
          <w:p>
            <w:pPr>
              <w:pStyle w:val="Compact"/>
              <w:jc w:val="center"/>
            </w:pPr>
            <w:r>
              <w:t xml:space="preserve">0.54 [0.40, 0.69]</w:t>
            </w:r>
          </w:p>
        </w:tc>
      </w:tr>
    </w:tbl>
    <w:p>
      <w:pPr>
        <w:pStyle w:val="BodyText"/>
      </w:pPr>
      <w:r>
        <w:rPr>
          <w:iCs/>
          <w:i/>
        </w:rPr>
        <w:t xml:space="preserve">n.e.: not estimable under the pre-registered rule (</w:t>
      </w:r>
      <m:oMath>
        <m:d>
          <m:dPr>
            <m:begChr m:val="|"/>
            <m:endChr m:val="|"/>
            <m:sepChr m:val=""/>
            <m:grow/>
          </m:dPr>
          <m:e>
            <m:r>
              <m:t>Δ</m:t>
            </m:r>
            <m:r>
              <m:rPr>
                <m:sty m:val="p"/>
              </m:rPr>
              <m:t>H</m:t>
            </m:r>
            <m:r>
              <m:rPr>
                <m:sty m:val="p"/>
              </m:rPr>
              <m:t>i</m:t>
            </m:r>
            <m:r>
              <m:rPr>
                <m:sty m:val="p"/>
              </m:rPr>
              <m:t>t</m:t>
            </m:r>
            <m:r>
              <m:rPr>
                <m:sty m:val="p"/>
              </m:rPr>
              <m:t>@</m:t>
            </m:r>
            <m:r>
              <m:rPr>
                <m:sty m:val="p"/>
              </m:rPr>
              <m:t>5</m:t>
            </m:r>
          </m:e>
        </m:d>
        <m:r>
          <m:rPr>
            <m:sty m:val="p"/>
          </m:rPr>
          <m:t>≤</m:t>
        </m:r>
        <m:r>
          <m:t>2</m:t>
        </m:r>
      </m:oMath>
      <w:r>
        <w:rPr>
          <w:iCs/>
          <w:i/>
        </w:rPr>
        <w:t xml:space="preserve"> </w:t>
      </w:r>
      <w:r>
        <w:rPr>
          <w:iCs/>
          <w:i/>
        </w:rPr>
        <w:t xml:space="preserve">points or not significant after Holm). BM25 on NQ retrieves worse than MiniLM-L6, so its ratio describes a loss.</w:t>
      </w:r>
    </w:p>
    <w:p>
      <w:pPr>
        <w:pStyle w:val="BodyText"/>
      </w:pPr>
      <w:r>
        <w:t xml:space="preserve">The lenient answer metrics moved the ratios up but did not change the pattern (Table </w:t>
      </w:r>
      <w:hyperlink w:anchor="tab:transferalt">
        <w:r>
          <w:rPr>
            <w:rStyle w:val="Hyperlink"/>
          </w:rPr>
          <w:t xml:space="preserve">[tab:transferalt]</w:t>
        </w:r>
      </w:hyperlink>
      <w:r>
        <w:t xml:space="preserve">). With token F1, the NQ ratios of the dense encoders stayed between 0.23 and 0.33. On HotpotQA with Llama, the F1 ratio of bge-large was 1.10 [0.95, 1.28], so under F1 a full transfer cannot be ruled out for that encoder.</w:t>
      </w:r>
    </w:p>
    <w:bookmarkEnd w:id="69"/>
    <w:bookmarkStart w:id="74" w:name="sec:res-decomp"/>
    <w:p>
      <w:pPr>
        <w:pStyle w:val="Heading2"/>
      </w:pPr>
      <w:r>
        <w:t xml:space="preserve">Where the transfer comes from</w:t>
      </w:r>
    </w:p>
    <w:p>
      <w:pPr>
        <w:pStyle w:val="FirstParagraph"/>
      </w:pPr>
      <w:r>
        <w:t xml:space="preserve">The decomposition in Eq. </w:t>
      </w:r>
      <w:hyperlink w:anchor="eq:decomp">
        <w:r>
          <w:rPr>
            <w:rStyle w:val="Hyperlink"/>
          </w:rPr>
          <w:t xml:space="preserve">[eq:decomp]</w:t>
        </w:r>
      </w:hyperlink>
      <w:r>
        <w:t xml:space="preserve"> </w:t>
      </w:r>
      <w:r>
        <w:t xml:space="preserve">separates two effects (Table </w:t>
      </w:r>
      <w:hyperlink w:anchor="tab:decomp">
        <w:r>
          <w:rPr>
            <w:rStyle w:val="Hyperlink"/>
          </w:rPr>
          <w:t xml:space="preserve">[tab:decomp]</w:t>
        </w:r>
      </w:hyperlink>
      <w:r>
        <w:t xml:space="preserve"> </w:t>
      </w:r>
      <w:r>
        <w:t xml:space="preserve">and Fig. </w:t>
      </w:r>
      <w:hyperlink w:anchor="fig:error">
        <w:r>
          <w:rPr>
            <w:rStyle w:val="Hyperlink"/>
          </w:rPr>
          <w:t xml:space="preserve">6</w:t>
        </w:r>
      </w:hyperlink>
      <w:r>
        <w:t xml:space="preserve">). One term, the hit–miss gap of MiniLM-L6, was similar in all cells: 0.33 and 0.32 on NQ, 0.25 and 0.28 on HotpotQA. The other term differed in sign between the datasets.</w:t>
      </w:r>
    </w:p>
    <w:p>
      <w:pPr>
        <w:pStyle w:val="BodyText"/>
      </w:pPr>
      <w:r>
        <w:t xml:space="preserve">On NQ it was negative for every dense encoder (from −0.16 to −0.05 with Llama; from −0.14 to −0.08 with Qwen). Better encoders found gold passages for more questions, but EM given a hit fell slightly (Qwen: 0.584 for MiniLM-L6, 0.569 for e5-base-v2). EM given a miss stayed near 0.244, well above closed-book EM (0.149). A</w:t>
      </w:r>
      <w:r>
        <w:t xml:space="preserve"> </w:t>
      </w:r>
      <w:r>
        <w:t xml:space="preserve">“</w:t>
      </w:r>
      <w:r>
        <w:t xml:space="preserve">miss</w:t>
      </w:r>
      <w:r>
        <w:t xml:space="preserve">”</w:t>
      </w:r>
      <w:r>
        <w:t xml:space="preserve"> </w:t>
      </w:r>
      <w:r>
        <w:t xml:space="preserve">under the sparse NQ labels thus often still produced a correct answer.</w:t>
      </w:r>
    </w:p>
    <w:p>
      <w:pPr>
        <w:pStyle w:val="BodyText"/>
      </w:pPr>
      <w:r>
        <w:t xml:space="preserve">On HotpotQA the second term was positive and large, from +0.24 (Qwen3-Embedding-0.6B with Qwen) to +0.65 (bge-large with Llama). It made up 48% to 70% of the ratio. EM given a hit rose with the encoder (Qwen: 0.350 for MiniLM-L6, 0.438 for bge-large), while EM given a miss was lower for the stronger encoders (Qwen: 0.098 for MiniLM-L6, 0.030 to 0.090 for the others). The rise matches the Both@5 results: better encoders more often retrieved the second supporting passage, which Hit@5 does not count. In a post hoc check, the EM ranking of the seven retrievers equalled their Both@5 ranking in both HotpotQA cells (Spearman</w:t>
      </w:r>
      <w:r>
        <w:t xml:space="preserve"> </w:t>
      </w:r>
      <m:oMath>
        <m:r>
          <m:t>ρ</m:t>
        </m:r>
      </m:oMath>
      <w:r>
        <w:t xml:space="preserve"> </w:t>
      </w:r>
      <w:r>
        <w:t xml:space="preserve">= 1.00 and 1.00); against Hit@5 it was 0.96 and 0.96. The pattern came mainly from bridge questions. With Qwen, bridge EM rose from 0.248 (MiniLM-L6) to 0.384 (bge-large), while comparison EM moved from 0.539 to 0.594, close to its gold bound of 0.654.</w:t>
      </w:r>
    </w:p>
    <w:p>
      <w:pPr>
        <w:pStyle w:val="CaptionedFigure"/>
      </w:pPr>
      <w:r>
        <w:drawing>
          <wp:inline>
            <wp:extent cx="5334000" cy="2453688"/>
            <wp:effectExtent b="0" l="0" r="0" t="0"/>
            <wp:docPr descr="" title="" id="71" name="Picture"/>
            <a:graphic>
              <a:graphicData uri="http://schemas.openxmlformats.org/drawingml/2006/picture">
                <pic:pic>
                  <pic:nvPicPr>
                    <pic:cNvPr descr="/home/claude/rag-embed-transfer/paper_figures/out/fig10_error.png" id="72" name="Picture"/>
                    <pic:cNvPicPr>
                      <a:picLocks noChangeArrowheads="1" noChangeAspect="1"/>
                    </pic:cNvPicPr>
                  </pic:nvPicPr>
                  <pic:blipFill>
                    <a:blip r:embed="rId70"/>
                    <a:stretch>
                      <a:fillRect/>
                    </a:stretch>
                  </pic:blipFill>
                  <pic:spPr bwMode="auto">
                    <a:xfrm>
                      <a:off x="0" y="0"/>
                      <a:ext cx="5334000" cy="2453688"/>
                    </a:xfrm>
                    <a:prstGeom prst="rect">
                      <a:avLst/>
                    </a:prstGeom>
                    <a:noFill/>
                    <a:ln w="9525">
                      <a:noFill/>
                      <a:headEnd/>
                      <a:tailEnd/>
                    </a:ln>
                  </pic:spPr>
                </pic:pic>
              </a:graphicData>
            </a:graphic>
          </wp:inline>
        </w:drawing>
      </w:r>
    </w:p>
    <w:p>
      <w:pPr>
        <w:pStyle w:val="ImageCaption"/>
      </w:pPr>
      <w:r>
        <w:t xml:space="preserve">(a)–(d) Exact match given a hit (solid) and given a miss (hatched) at Hit@5, per reader–dataset cell; dotted line: closed-book EM. (e) Share of</w:t>
      </w:r>
      <w:r>
        <w:t xml:space="preserve"> </w:t>
      </w:r>
      <w:r>
        <w:t xml:space="preserve">“</w:t>
      </w:r>
      <w:r>
        <w:t xml:space="preserve">I don’t know</w:t>
      </w:r>
      <w:r>
        <w:t xml:space="preserve">”</w:t>
      </w:r>
      <w:r>
        <w:t xml:space="preserve"> </w:t>
      </w:r>
      <w:r>
        <w:t xml:space="preserve">answers on hits and misses under the abstention prompt A3 (Phase 1, Qwen reader, NQ, 200 queries).</w:t>
      </w:r>
    </w:p>
    <w:bookmarkStart w:id="73" w:name="abstention-prompt"/>
    <w:p>
      <w:pPr>
        <w:pStyle w:val="Heading4"/>
      </w:pPr>
      <w:r>
        <w:t xml:space="preserve">Abstention prompt</w:t>
      </w:r>
    </w:p>
    <w:p>
      <w:pPr>
        <w:pStyle w:val="FirstParagraph"/>
      </w:pPr>
      <w:r>
        <w:t xml:space="preserve">A Phase 1 check (Table </w:t>
      </w:r>
      <w:hyperlink w:anchor="tab:idk">
        <w:r>
          <w:rPr>
            <w:rStyle w:val="Hyperlink"/>
          </w:rPr>
          <w:t xml:space="preserve">10</w:t>
        </w:r>
      </w:hyperlink>
      <w:r>
        <w:t xml:space="preserve">) is consistent with the reading that NQ</w:t>
      </w:r>
      <w:r>
        <w:t xml:space="preserve"> </w:t>
      </w:r>
      <w:r>
        <w:t xml:space="preserve">“</w:t>
      </w:r>
      <w:r>
        <w:t xml:space="preserve">misses</w:t>
      </w:r>
      <w:r>
        <w:t xml:space="preserve">”</w:t>
      </w:r>
      <w:r>
        <w:t xml:space="preserve"> </w:t>
      </w:r>
      <w:r>
        <w:t xml:space="preserve">often still contain usable evidence. When the prompt allowed</w:t>
      </w:r>
      <w:r>
        <w:t xml:space="preserve"> </w:t>
      </w:r>
      <w:r>
        <w:t xml:space="preserve">“</w:t>
      </w:r>
      <w:r>
        <w:t xml:space="preserve">I don’t know</w:t>
      </w:r>
      <w:r>
        <w:t xml:space="preserve">”</w:t>
      </w:r>
      <w:r>
        <w:t xml:space="preserve"> </w:t>
      </w:r>
      <w:r>
        <w:t xml:space="preserve">(A3), the reader abstained mostly on misses: 0.347 of BM25 misses, 0.276 of MiniLM-L6 misses and 0.139 of bge-large misses, against 0.013 to 0.024 of hits. Most misses were still answered. EM under A3 did not differ detectably from the main prompt (−0.010, −0.015 and −0.030;</w:t>
      </w:r>
      <w:r>
        <w:t xml:space="preserve"> </w:t>
      </w:r>
      <m:oMath>
        <m:r>
          <m:t>p</m:t>
        </m:r>
        <m:r>
          <m:rPr>
            <m:sty m:val="p"/>
          </m:rPr>
          <m:t>≥</m:t>
        </m:r>
      </m:oMath>
      <w:r>
        <w:t xml:space="preserve"> </w:t>
      </w:r>
      <w:r>
        <w:t xml:space="preserve">0.07).</w:t>
      </w:r>
    </w:p>
    <w:bookmarkEnd w:id="73"/>
    <w:bookmarkEnd w:id="74"/>
    <w:bookmarkStart w:id="76" w:name="sec:res-encoders"/>
    <w:p>
      <w:pPr>
        <w:pStyle w:val="Heading2"/>
      </w:pPr>
      <w:r>
        <w:t xml:space="preserve">Encoder comparisons (RQ2)</w:t>
      </w:r>
    </w:p>
    <w:p>
      <w:pPr>
        <w:pStyle w:val="FirstParagraph"/>
      </w:pPr>
      <w:r>
        <w:t xml:space="preserve">Prediction P2 held on NQ and failed on HotpotQA (Table </w:t>
      </w:r>
      <w:hyperlink w:anchor="tab:predictions">
        <w:r>
          <w:rPr>
            <w:rStyle w:val="Hyperlink"/>
          </w:rPr>
          <w:t xml:space="preserve">[tab:predictions]</w:t>
        </w:r>
      </w:hyperlink>
      <w:r>
        <w:t xml:space="preserve">). On NQ, neither bge-large nor Qwen3-Embedding-0.6B differed detectably from e5-base-v2 in EM with either reader. On HotpotQA, bge-large gave higher EM than e5-base-v2 with both readers (+0.028, Holm-adjusted</w:t>
      </w:r>
      <w:r>
        <w:t xml:space="preserve"> </w:t>
      </w:r>
      <m:oMath>
        <m:r>
          <m:t>p</m:t>
        </m:r>
      </m:oMath>
      <w:r>
        <w:t xml:space="preserve"> </w:t>
      </w:r>
      <w:r>
        <w:t xml:space="preserve">= 0.0055; +0.022,</w:t>
      </w:r>
      <w:r>
        <w:t xml:space="preserve"> </w:t>
      </w:r>
      <m:oMath>
        <m:r>
          <m:t>p</m:t>
        </m:r>
      </m:oMath>
      <w:r>
        <w:t xml:space="preserve"> </w:t>
      </w:r>
      <w:r>
        <w:t xml:space="preserve">= 0.040), in line with its higher Both@5. Qwen3-Embedding-0.6B gave lower EM than e5-base-v2 on HotpotQA (−0.030,</w:t>
      </w:r>
      <w:r>
        <w:t xml:space="preserve"> </w:t>
      </w:r>
      <m:oMath>
        <m:r>
          <m:t>p</m:t>
        </m:r>
      </m:oMath>
      <w:r>
        <w:t xml:space="preserve"> </w:t>
      </w:r>
      <w:r>
        <w:t xml:space="preserve">= 0.0031; −0.042,</w:t>
      </w:r>
      <w:r>
        <w:t xml:space="preserve"> </w:t>
      </w:r>
      <m:oMath>
        <m:r>
          <m:t>p</m:t>
        </m:r>
      </m:oMath>
      <w:r>
        <w:t xml:space="preserve"> </w:t>
      </w:r>
      <w:r>
        <w:t xml:space="preserve">=</w:t>
      </w:r>
      <w:r>
        <w:t xml:space="preserve"> </w:t>
      </w:r>
      <m:oMath>
        <m:r>
          <m:t>8.5</m:t>
        </m:r>
        <m:r>
          <m:rPr>
            <m:sty m:val="p"/>
          </m:rPr>
          <m:t>×</m:t>
        </m:r>
        <m:sSup>
          <m:e>
            <m:r>
              <m:t>10</m:t>
            </m:r>
          </m:e>
          <m:sup>
            <m:r>
              <m:rPr>
                <m:sty m:val="p"/>
              </m:rPr>
              <m:t>−</m:t>
            </m:r>
            <m:r>
              <m:t>6</m:t>
            </m:r>
          </m:sup>
        </m:sSup>
      </m:oMath>
      <w:r>
        <w:t xml:space="preserve">). The pooled model over all four cells (Table </w:t>
      </w:r>
      <w:hyperlink w:anchor="tab:gee">
        <w:r>
          <w:rPr>
            <w:rStyle w:val="Hyperlink"/>
          </w:rPr>
          <w:t xml:space="preserve">1</w:t>
        </w:r>
      </w:hyperlink>
      <w:r>
        <w:t xml:space="preserve">; 59,570 answers in 4,255 query clusters) gave the same picture: odds ratio 1.038 [1.001, 1.076] for bge-large and 0.909 [0.875, 0.943] for Qwen3-Embedding-0.6B, each against e5-base-v2. The bge-large advantage was small and its interval nearly touched 1. The pooled model mixes the two study phases and is secondary.</w:t>
      </w:r>
    </w:p>
    <w:bookmarkStart w:id="75" w:name="tab:gee"/>
    <w:p>
      <w:pPr>
        <w:pStyle w:val="TableCaption"/>
      </w:pPr>
      <w:r>
        <w:t xml:space="preserve">Pooled GEE logistic model of EM over the four reader–dataset cells.</w:t>
      </w:r>
    </w:p>
    <w:tbl>
      <w:tblPr>
        <w:tblStyle w:val="Table"/>
        <w:tblW w:type="auto" w:w="0"/>
        <w:tblLook w:firstRow="1" w:lastRow="0" w:firstColumn="0" w:lastColumn="0" w:noHBand="0" w:noVBand="0" w:val="0020"/>
        <w:jc w:val="start"/>
        <w:tblCaption w:val="Pooled GEE logistic model of EM over the four reader–dataset cells."/>
      </w:tblPr>
      <w:tblGrid>
        <w:gridCol w:w="2640"/>
        <w:gridCol w:w="2640"/>
        <w:gridCol w:w="2640"/>
      </w:tblGrid>
      <w:tr>
        <w:trPr>
          <w:tblHeader w:val="true"/>
        </w:trPr>
        <w:tc>
          <w:tcPr/>
          <w:p>
            <w:pPr>
              <w:pStyle w:val="Compact"/>
              <w:jc w:val="left"/>
            </w:pPr>
            <w:r>
              <w:t xml:space="preserve">Contrast</w:t>
            </w:r>
          </w:p>
        </w:tc>
        <w:tc>
          <w:tcPr/>
          <w:p>
            <w:pPr>
              <w:pStyle w:val="Compact"/>
              <w:jc w:val="center"/>
            </w:pPr>
            <w:r>
              <w:t xml:space="preserve">Odds ratio [95% CI]</w:t>
            </w:r>
          </w:p>
        </w:tc>
        <w:tc>
          <w:tcPr/>
          <w:p>
            <w:pPr>
              <w:pStyle w:val="Compact"/>
              <w:jc w:val="center"/>
            </w:pPr>
            <m:oMath>
              <m:r>
                <m:t>p</m:t>
              </m:r>
            </m:oMath>
          </w:p>
        </w:tc>
      </w:tr>
      <w:tr>
        <w:tc>
          <w:tcPr/>
          <w:p>
            <w:pPr>
              <w:pStyle w:val="Compact"/>
              <w:jc w:val="left"/>
            </w:pPr>
            <w:r>
              <w:t xml:space="preserve">bge-large vs e5-base-v2</w:t>
            </w:r>
          </w:p>
        </w:tc>
        <w:tc>
          <w:tcPr/>
          <w:p>
            <w:pPr>
              <w:pStyle w:val="Compact"/>
              <w:jc w:val="center"/>
            </w:pPr>
            <w:r>
              <w:t xml:space="preserve">1.038 [1.001, 1.076]</w:t>
            </w:r>
          </w:p>
        </w:tc>
        <w:tc>
          <w:tcPr/>
          <w:p>
            <w:pPr>
              <w:pStyle w:val="Compact"/>
              <w:jc w:val="center"/>
            </w:pPr>
            <w:r>
              <w:t xml:space="preserve">0.043</w:t>
            </w:r>
          </w:p>
        </w:tc>
      </w:tr>
      <w:tr>
        <w:tc>
          <w:tcPr/>
          <w:p>
            <w:pPr>
              <w:pStyle w:val="Compact"/>
              <w:jc w:val="left"/>
            </w:pPr>
            <w:r>
              <w:t xml:space="preserve">Qwen3-Emb-0.6B vs e5-base-v2</w:t>
            </w:r>
          </w:p>
        </w:tc>
        <w:tc>
          <w:tcPr/>
          <w:p>
            <w:pPr>
              <w:pStyle w:val="Compact"/>
              <w:jc w:val="center"/>
            </w:pPr>
            <w:r>
              <w:t xml:space="preserve">0.909 [0.875, 0.943]</w:t>
            </w:r>
          </w:p>
        </w:tc>
        <w:tc>
          <w:tcPr/>
          <w:p>
            <w:pPr>
              <w:pStyle w:val="Compact"/>
              <w:jc w:val="center"/>
            </w:pPr>
            <m:oMath>
              <m:r>
                <m:rPr>
                  <m:sty m:val="p"/>
                </m:rPr>
                <m:t>&lt;</m:t>
              </m:r>
            </m:oMath>
            <w:r>
              <w:t xml:space="preserve">0.001</w:t>
            </w:r>
          </w:p>
        </w:tc>
      </w:tr>
    </w:tbl>
    <w:bookmarkEnd w:id="75"/>
    <w:p>
      <w:pPr>
        <w:pStyle w:val="BodyText"/>
      </w:pPr>
      <w:r>
        <w:rPr>
          <w:iCs/>
          <w:i/>
        </w:rPr>
        <w:t xml:space="preserve">EM</w:t>
      </w:r>
      <w:r>
        <w:rPr>
          <w:iCs/>
          <w:i/>
        </w:rPr>
        <w:t xml:space="preserve"> </w:t>
      </w:r>
      <m:oMath>
        <m:r>
          <m:rPr>
            <m:sty m:val="p"/>
          </m:rPr>
          <m:t>∼</m:t>
        </m:r>
      </m:oMath>
      <w:r>
        <w:rPr>
          <w:iCs/>
          <w:i/>
        </w:rPr>
        <w:t xml:space="preserve"> </w:t>
      </w:r>
      <w:r>
        <w:rPr>
          <w:iCs/>
          <w:i/>
        </w:rPr>
        <w:t xml:space="preserve">retriever + dataset + reader; exchangeable working correlation (0.60) within query; 59,570 answers in 4,255 query clusters; empirical (sandwich) standard errors.</w:t>
      </w:r>
    </w:p>
    <w:bookmarkEnd w:id="76"/>
    <w:bookmarkStart w:id="89" w:name="sec:res-context"/>
    <w:p>
      <w:pPr>
        <w:pStyle w:val="Heading2"/>
      </w:pPr>
      <w:r>
        <w:t xml:space="preserve">Context choices (RQ3)</w:t>
      </w:r>
    </w:p>
    <w:bookmarkStart w:id="80" w:name="number-of-passages"/>
    <w:p>
      <w:pPr>
        <w:pStyle w:val="Heading4"/>
      </w:pPr>
      <w:r>
        <w:t xml:space="preserve">Number of passages</w:t>
      </w:r>
    </w:p>
    <w:p>
      <w:pPr>
        <w:pStyle w:val="FirstParagraph"/>
      </w:pPr>
      <w:r>
        <w:t xml:space="preserve">Table </w:t>
      </w:r>
      <w:hyperlink w:anchor="tab:topk">
        <w:r>
          <w:rPr>
            <w:rStyle w:val="Hyperlink"/>
          </w:rPr>
          <w:t xml:space="preserve">2</w:t>
        </w:r>
      </w:hyperlink>
      <w:r>
        <w:t xml:space="preserve"> </w:t>
      </w:r>
      <w:r>
        <w:t xml:space="preserve">and Fig. </w:t>
      </w:r>
      <w:hyperlink w:anchor="fig:topk">
        <w:r>
          <w:rPr>
            <w:rStyle w:val="Hyperlink"/>
          </w:rPr>
          <w:t xml:space="preserve">7</w:t>
        </w:r>
      </w:hyperlink>
      <w:r>
        <w:t xml:space="preserve"> </w:t>
      </w:r>
      <w:r>
        <w:t xml:space="preserve">show EM for</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with Qwen on NQ. One passage gave lower EM than five for every retriever (P4 held; differences from −0.126 for BM25 to −0.078 for e5-base-v2, all Holm-adjusted</w:t>
      </w:r>
      <w:r>
        <w:t xml:space="preserve"> </w:t>
      </w:r>
      <m:oMath>
        <m:r>
          <m:t>p</m:t>
        </m:r>
        <m:r>
          <m:rPr>
            <m:sty m:val="p"/>
          </m:rPr>
          <m:t>&lt;</m:t>
        </m:r>
        <m:r>
          <m:t>0.001</m:t>
        </m:r>
      </m:oMath>
      <w:r>
        <w:t xml:space="preserve">). From five to ten passages, EM rose for six retrievers and stayed flat for e5-base-v2 (0.510 and 0.508). The gap between retrievers shrank with</w:t>
      </w:r>
      <w:r>
        <w:t xml:space="preserve"> </w:t>
      </w:r>
      <m:oMath>
        <m:r>
          <m:t>k</m:t>
        </m:r>
      </m:oMath>
      <w:r>
        <w:t xml:space="preserve">: at</w:t>
      </w:r>
      <w:r>
        <w:t xml:space="preserve"> </w:t>
      </w:r>
      <m:oMath>
        <m:r>
          <m:t>k</m:t>
        </m:r>
        <m:r>
          <m:rPr>
            <m:sty m:val="p"/>
          </m:rPr>
          <m:t>=</m:t>
        </m:r>
        <m:r>
          <m:t>10</m:t>
        </m:r>
      </m:oMath>
      <w:r>
        <w:t xml:space="preserve"> </w:t>
      </w:r>
      <w:r>
        <w:t xml:space="preserve">all dense encoders gave EM between 0.502 and 0.520. In an exploratory check (Table </w:t>
      </w:r>
      <w:hyperlink w:anchor="tab:transferk">
        <w:r>
          <w:rPr>
            <w:rStyle w:val="Hyperlink"/>
          </w:rPr>
          <w:t xml:space="preserve">[tab:transferk]</w:t>
        </w:r>
      </w:hyperlink>
      <w:r>
        <w:t xml:space="preserve">), we matched Hit@</w:t>
      </w:r>
      <m:oMath>
        <m:r>
          <m:t>k</m:t>
        </m:r>
      </m:oMath>
      <w:r>
        <w:t xml:space="preserve"> </w:t>
      </w:r>
      <w:r>
        <w:t xml:space="preserve">to the</w:t>
      </w:r>
      <w:r>
        <w:t xml:space="preserve"> </w:t>
      </w:r>
      <m:oMath>
        <m:r>
          <m:t>k</m:t>
        </m:r>
      </m:oMath>
      <w:r>
        <w:t xml:space="preserve"> </w:t>
      </w:r>
      <w:r>
        <w:t xml:space="preserve">passages the reader saw. The transfer ratio then fell with</w:t>
      </w:r>
      <w:r>
        <w:t xml:space="preserve"> </w:t>
      </w:r>
      <m:oMath>
        <m:r>
          <m:t>k</m:t>
        </m:r>
      </m:oMath>
      <w:r>
        <w:t xml:space="preserve">; for bge-large it was 0.61 [0.47, 0.77] at</w:t>
      </w:r>
      <w:r>
        <w:t xml:space="preserve"> </w:t>
      </w:r>
      <m:oMath>
        <m:r>
          <m:t>k</m:t>
        </m:r>
        <m:r>
          <m:rPr>
            <m:sty m:val="p"/>
          </m:rPr>
          <m:t>=</m:t>
        </m:r>
        <m:r>
          <m:t>1</m:t>
        </m:r>
      </m:oMath>
      <w:r>
        <w:t xml:space="preserve">, 0.33 at</w:t>
      </w:r>
      <w:r>
        <w:t xml:space="preserve"> </w:t>
      </w:r>
      <m:oMath>
        <m:r>
          <m:t>k</m:t>
        </m:r>
        <m:r>
          <m:rPr>
            <m:sty m:val="p"/>
          </m:rPr>
          <m:t>=</m:t>
        </m:r>
        <m:r>
          <m:t>3</m:t>
        </m:r>
      </m:oMath>
      <w:r>
        <w:t xml:space="preserve">, 0.24 at</w:t>
      </w:r>
      <w:r>
        <w:t xml:space="preserve"> </w:t>
      </w:r>
      <m:oMath>
        <m:r>
          <m:t>k</m:t>
        </m:r>
        <m:r>
          <m:rPr>
            <m:sty m:val="p"/>
          </m:rPr>
          <m:t>=</m:t>
        </m:r>
        <m:r>
          <m:t>5</m:t>
        </m:r>
      </m:oMath>
      <w:r>
        <w:t xml:space="preserve"> </w:t>
      </w:r>
      <w:r>
        <w:t xml:space="preserve">and 0.19 [0.02, 0.35] at</w:t>
      </w:r>
      <w:r>
        <w:t xml:space="preserve"> </w:t>
      </w:r>
      <m:oMath>
        <m:r>
          <m:t>k</m:t>
        </m:r>
        <m:r>
          <m:rPr>
            <m:sty m:val="p"/>
          </m:rPr>
          <m:t>=</m:t>
        </m:r>
        <m:r>
          <m:t>10</m:t>
        </m:r>
      </m:oMath>
      <w:r>
        <w:t xml:space="preserve">. The NQ ratios of Section </w:t>
      </w:r>
      <w:hyperlink w:anchor="sec:res-transfer">
        <w:r>
          <w:rPr>
            <w:rStyle w:val="Hyperlink"/>
          </w:rPr>
          <w:t xml:space="preserve">5.2</w:t>
        </w:r>
      </w:hyperlink>
      <w:r>
        <w:t xml:space="preserve"> </w:t>
      </w:r>
      <w:r>
        <w:t xml:space="preserve">therefore describe</w:t>
      </w:r>
      <w:r>
        <w:t xml:space="preserve"> </w:t>
      </w:r>
      <m:oMath>
        <m:r>
          <m:t>k</m:t>
        </m:r>
        <m:r>
          <m:rPr>
            <m:sty m:val="p"/>
          </m:rPr>
          <m:t>=</m:t>
        </m:r>
        <m:r>
          <m:t>5</m:t>
        </m:r>
      </m:oMath>
      <w:r>
        <w:t xml:space="preserve"> </w:t>
      </w:r>
      <w:r>
        <w:t xml:space="preserve">only. More passages also cost more reading: the mean prompt grew from 210 tokens at</w:t>
      </w:r>
      <w:r>
        <w:t xml:space="preserve"> </w:t>
      </w:r>
      <m:oMath>
        <m:r>
          <m:t>k</m:t>
        </m:r>
        <m:r>
          <m:rPr>
            <m:sty m:val="p"/>
          </m:rPr>
          <m:t>=</m:t>
        </m:r>
        <m:r>
          <m:t>1</m:t>
        </m:r>
      </m:oMath>
      <w:r>
        <w:t xml:space="preserve"> </w:t>
      </w:r>
      <w:r>
        <w:t xml:space="preserve">to 738 at</w:t>
      </w:r>
      <w:r>
        <w:t xml:space="preserve"> </w:t>
      </w:r>
      <m:oMath>
        <m:r>
          <m:t>k</m:t>
        </m:r>
        <m:r>
          <m:rPr>
            <m:sty m:val="p"/>
          </m:rPr>
          <m:t>=</m:t>
        </m:r>
        <m:r>
          <m:t>5</m:t>
        </m:r>
      </m:oMath>
      <w:r>
        <w:t xml:space="preserve"> </w:t>
      </w:r>
      <w:r>
        <w:t xml:space="preserve">and 1,414 at</w:t>
      </w:r>
      <w:r>
        <w:t xml:space="preserve"> </w:t>
      </w:r>
      <m:oMath>
        <m:r>
          <m:t>k</m:t>
        </m:r>
        <m:r>
          <m:rPr>
            <m:sty m:val="p"/>
          </m:rPr>
          <m:t>=</m:t>
        </m:r>
        <m:r>
          <m:t>10</m:t>
        </m:r>
      </m:oMath>
      <w:r>
        <w:t xml:space="preserve"> </w:t>
      </w:r>
      <w:r>
        <w:t xml:space="preserve">for bge-large. In a second exploratory comparison, bge-large with one passage gave higher EM than BM25 with ten passages (+0.022 [0.001, 0.042]; exact McNemar</w:t>
      </w:r>
      <w:r>
        <w:t xml:space="preserve"> </w:t>
      </w:r>
      <m:oMath>
        <m:r>
          <m:t>p</m:t>
        </m:r>
      </m:oMath>
      <w:r>
        <w:t xml:space="preserve"> </w:t>
      </w:r>
      <w:r>
        <w:t xml:space="preserve">= 0.044, uncorrected).</w:t>
      </w:r>
    </w:p>
    <w:p>
      <w:pPr>
        <w:pStyle w:val="CaptionedFigure"/>
      </w:pPr>
      <w:r>
        <w:drawing>
          <wp:inline>
            <wp:extent cx="3770753" cy="2186608"/>
            <wp:effectExtent b="0" l="0" r="0" t="0"/>
            <wp:docPr descr="" title="" id="78" name="Picture"/>
            <a:graphic>
              <a:graphicData uri="http://schemas.openxmlformats.org/drawingml/2006/picture">
                <pic:pic>
                  <pic:nvPicPr>
                    <pic:cNvPr descr="/home/claude/rag-embed-transfer/paper_figures/out/fig3_topk.png" id="79" name="Picture"/>
                    <pic:cNvPicPr>
                      <a:picLocks noChangeArrowheads="1" noChangeAspect="1"/>
                    </pic:cNvPicPr>
                  </pic:nvPicPr>
                  <pic:blipFill>
                    <a:blip r:embed="rId77"/>
                    <a:stretch>
                      <a:fillRect/>
                    </a:stretch>
                  </pic:blipFill>
                  <pic:spPr bwMode="auto">
                    <a:xfrm>
                      <a:off x="0" y="0"/>
                      <a:ext cx="3770753" cy="2186608"/>
                    </a:xfrm>
                    <a:prstGeom prst="rect">
                      <a:avLst/>
                    </a:prstGeom>
                    <a:noFill/>
                    <a:ln w="9525">
                      <a:noFill/>
                      <a:headEnd/>
                      <a:tailEnd/>
                    </a:ln>
                  </pic:spPr>
                </pic:pic>
              </a:graphicData>
            </a:graphic>
          </wp:inline>
        </w:drawing>
      </w:r>
    </w:p>
    <w:p>
      <w:pPr>
        <w:pStyle w:val="ImageCaption"/>
      </w:pPr>
      <w:r>
        <w:t xml:space="preserve">Exact match by number of passages</w:t>
      </w:r>
      <w:r>
        <w:t xml:space="preserve"> </w:t>
      </w:r>
      <m:oMath>
        <m:r>
          <m:t>k</m:t>
        </m:r>
      </m:oMath>
      <w:r>
        <w:t xml:space="preserve">, Qwen reader on NQ (2,255 queries).</w:t>
      </w:r>
    </w:p>
    <w:bookmarkEnd w:id="80"/>
    <w:bookmarkStart w:id="86" w:name="passage-composition-and-position"/>
    <w:p>
      <w:pPr>
        <w:pStyle w:val="Heading4"/>
      </w:pPr>
      <w:r>
        <w:t xml:space="preserve">Passage composition and position</w:t>
      </w:r>
    </w:p>
    <w:p>
      <w:pPr>
        <w:pStyle w:val="FirstParagraph"/>
      </w:pPr>
      <w:r>
        <w:t xml:space="preserve">Table </w:t>
      </w:r>
      <w:hyperlink w:anchor="tab:mechanism">
        <w:r>
          <w:rPr>
            <w:rStyle w:val="Hyperlink"/>
          </w:rPr>
          <w:t xml:space="preserve">3</w:t>
        </w:r>
      </w:hyperlink>
      <w:r>
        <w:t xml:space="preserve"> </w:t>
      </w:r>
      <w:r>
        <w:t xml:space="preserve">and Fig. </w:t>
      </w:r>
      <w:hyperlink w:anchor="fig:mechanism">
        <w:r>
          <w:rPr>
            <w:rStyle w:val="Hyperlink"/>
          </w:rPr>
          <w:t xml:space="preserve">8</w:t>
        </w:r>
      </w:hyperlink>
      <w:r>
        <w:t xml:space="preserve"> </w:t>
      </w:r>
      <w:r>
        <w:t xml:space="preserve">give the controlled context test on 500 NQ questions. With the gold passage at position 1, four top-ranked non-gold BM25 passages gave EM 0.580, and four random passages gave 0.654: a drop of 0.074 (exact McNemar</w:t>
      </w:r>
      <w:r>
        <w:t xml:space="preserve"> </w:t>
      </w:r>
      <m:oMath>
        <m:r>
          <m:t>p</m:t>
        </m:r>
      </m:oMath>
      <w:r>
        <w:t xml:space="preserve"> </w:t>
      </w:r>
      <w:r>
        <w:t xml:space="preserve">=</w:t>
      </w:r>
      <w:r>
        <w:t xml:space="preserve"> </w:t>
      </w:r>
      <m:oMath>
        <m:r>
          <m:t>2.2</m:t>
        </m:r>
        <m:r>
          <m:rPr>
            <m:sty m:val="p"/>
          </m:rPr>
          <m:t>×</m:t>
        </m:r>
        <m:sSup>
          <m:e>
            <m:r>
              <m:t>10</m:t>
            </m:r>
          </m:e>
          <m:sup>
            <m:r>
              <m:rPr>
                <m:sty m:val="p"/>
              </m:rPr>
              <m:t>−</m:t>
            </m:r>
            <m:r>
              <m:t>5</m:t>
            </m:r>
          </m:sup>
        </m:sSup>
      </m:oMath>
      <w:r>
        <w:t xml:space="preserve">; P5 held). Random passages were harmless: gold at position 1 plus four random passages did not differ detectably from the gold passage alone (0.648;</w:t>
      </w:r>
      <w:r>
        <w:t xml:space="preserve"> </w:t>
      </w:r>
      <m:oMath>
        <m:r>
          <m:t>p</m:t>
        </m:r>
      </m:oMath>
      <w:r>
        <w:t xml:space="preserve"> </w:t>
      </w:r>
      <w:r>
        <w:t xml:space="preserve">= 0.71). The position of the gold passage among the hard negatives showed no detectable effect (EM 0.580, 0.564 and 0.578 at positions 1, 3 and 5; all Holm-adjusted</w:t>
      </w:r>
      <w:r>
        <w:t xml:space="preserve"> </w:t>
      </w:r>
      <m:oMath>
        <m:r>
          <m:t>p</m:t>
        </m:r>
        <m:r>
          <m:rPr>
            <m:sty m:val="p"/>
          </m:rPr>
          <m:t>≥</m:t>
        </m:r>
      </m:oMath>
      <w:r>
        <w:t xml:space="preserve"> </w:t>
      </w:r>
      <w:r>
        <w:t xml:space="preserve">0.94; P6 failed).</w:t>
      </w:r>
    </w:p>
    <w:p>
      <w:pPr>
        <w:pStyle w:val="CaptionedFigure"/>
      </w:pPr>
      <w:r>
        <w:drawing>
          <wp:inline>
            <wp:extent cx="3990943" cy="1617784"/>
            <wp:effectExtent b="0" l="0" r="0" t="0"/>
            <wp:docPr descr="" title="" id="82" name="Picture"/>
            <a:graphic>
              <a:graphicData uri="http://schemas.openxmlformats.org/drawingml/2006/picture">
                <pic:pic>
                  <pic:nvPicPr>
                    <pic:cNvPr descr="/home/claude/rag-embed-transfer/paper_figures/out/fig4_mechanism.png" id="83" name="Picture"/>
                    <pic:cNvPicPr>
                      <a:picLocks noChangeArrowheads="1" noChangeAspect="1"/>
                    </pic:cNvPicPr>
                  </pic:nvPicPr>
                  <pic:blipFill>
                    <a:blip r:embed="rId81"/>
                    <a:stretch>
                      <a:fillRect/>
                    </a:stretch>
                  </pic:blipFill>
                  <pic:spPr bwMode="auto">
                    <a:xfrm>
                      <a:off x="0" y="0"/>
                      <a:ext cx="3990943" cy="1617784"/>
                    </a:xfrm>
                    <a:prstGeom prst="rect">
                      <a:avLst/>
                    </a:prstGeom>
                    <a:noFill/>
                    <a:ln w="9525">
                      <a:noFill/>
                      <a:headEnd/>
                      <a:tailEnd/>
                    </a:ln>
                  </pic:spPr>
                </pic:pic>
              </a:graphicData>
            </a:graphic>
          </wp:inline>
        </w:drawing>
      </w:r>
    </w:p>
    <w:p>
      <w:pPr>
        <w:pStyle w:val="ImageCaption"/>
      </w:pPr>
      <w:r>
        <w:t xml:space="preserve">Exact match for five controlled contexts of five passages (Qwen reader, 500 NQ generation queries) with 95% bootstrap intervals.</w:t>
      </w:r>
    </w:p>
    <w:bookmarkStart w:id="84" w:name="tab:topk"/>
    <w:p>
      <w:pPr>
        <w:pStyle w:val="TableCaption"/>
      </w:pPr>
      <w:r>
        <w:t xml:space="preserve">Exact match by number of passages</w:t>
      </w:r>
      <w:r>
        <w:t xml:space="preserve"> </w:t>
      </w:r>
      <m:oMath>
        <m:r>
          <m:t>k</m:t>
        </m:r>
      </m:oMath>
      <w:r>
        <w:t xml:space="preserve"> </w:t>
      </w:r>
      <w:r>
        <w:t xml:space="preserve">(Qwen reader, NQ, 2,255 queries).</w:t>
      </w:r>
    </w:p>
    <w:tbl>
      <w:tblPr>
        <w:tblStyle w:val="Table"/>
        <w:tblW w:type="auto" w:w="0"/>
        <w:tblLook w:firstRow="1" w:lastRow="0" w:firstColumn="0" w:lastColumn="0" w:noHBand="0" w:noVBand="0" w:val="0020"/>
        <w:jc w:val="start"/>
        <w:tblCaption w:val="Exact match by number of passages k (Qwen reader, NQ, 2,255 queries)."/>
      </w:tblPr>
      <w:tblGrid>
        <w:gridCol w:w="1131"/>
        <w:gridCol w:w="1131"/>
        <w:gridCol w:w="1131"/>
        <w:gridCol w:w="1131"/>
        <w:gridCol w:w="1131"/>
        <w:gridCol w:w="1131"/>
        <w:gridCol w:w="1131"/>
      </w:tblGrid>
      <w:tr>
        <w:trPr>
          <w:tblHeader w:val="true"/>
        </w:trPr>
        <w:tc>
          <w:tcPr/>
          <w:p>
            <w:pPr>
              <w:pStyle w:val="Compact"/>
              <w:jc w:val="left"/>
            </w:pPr>
            <w:r>
              <w:t xml:space="preserve">Retriever</w:t>
            </w:r>
          </w:p>
        </w:tc>
        <w:tc>
          <w:tcPr/>
          <w:p>
            <w:pPr>
              <w:pStyle w:val="Compact"/>
              <w:jc w:val="right"/>
            </w:pPr>
            <m:oMath>
              <m:r>
                <m:t>k</m:t>
              </m:r>
              <m:r>
                <m:rPr>
                  <m:sty m:val="p"/>
                </m:rPr>
                <m:t>=</m:t>
              </m:r>
              <m:r>
                <m:t>1</m:t>
              </m:r>
            </m:oMath>
          </w:p>
        </w:tc>
        <w:tc>
          <w:tcPr/>
          <w:p>
            <w:pPr>
              <w:pStyle w:val="Compact"/>
              <w:jc w:val="right"/>
            </w:pPr>
            <m:oMath>
              <m:r>
                <m:t>k</m:t>
              </m:r>
              <m:r>
                <m:rPr>
                  <m:sty m:val="p"/>
                </m:rPr>
                <m:t>=</m:t>
              </m:r>
              <m:r>
                <m:t>3</m:t>
              </m:r>
            </m:oMath>
          </w:p>
        </w:tc>
        <w:tc>
          <w:tcPr/>
          <w:p>
            <w:pPr>
              <w:pStyle w:val="Compact"/>
              <w:jc w:val="right"/>
            </w:pPr>
            <m:oMath>
              <m:r>
                <m:t>k</m:t>
              </m:r>
              <m:r>
                <m:rPr>
                  <m:sty m:val="p"/>
                </m:rPr>
                <m:t>=</m:t>
              </m:r>
              <m:r>
                <m:t>5</m:t>
              </m:r>
            </m:oMath>
          </w:p>
        </w:tc>
        <w:tc>
          <w:tcPr/>
          <w:p>
            <w:pPr>
              <w:pStyle w:val="Compact"/>
              <w:jc w:val="right"/>
            </w:pPr>
            <m:oMath>
              <m:r>
                <m:t>k</m:t>
              </m:r>
              <m:r>
                <m:rPr>
                  <m:sty m:val="p"/>
                </m:rPr>
                <m:t>=</m:t>
              </m:r>
              <m:r>
                <m:t>10</m:t>
              </m:r>
            </m:oMath>
          </w:p>
        </w:tc>
        <w:tc>
          <w:tcPr/>
          <w:p>
            <w:pPr>
              <w:pStyle w:val="Compact"/>
              <w:jc w:val="right"/>
            </w:pPr>
            <m:oMath>
              <m:sSub>
                <m:e>
                  <m:r>
                    <m:t>Δ</m:t>
                  </m:r>
                </m:e>
                <m:sub>
                  <m:r>
                    <m:t>1</m:t>
                  </m:r>
                  <m:r>
                    <m:rPr>
                      <m:sty m:val="p"/>
                    </m:rPr>
                    <m:t>−</m:t>
                  </m:r>
                  <m:r>
                    <m:t>5</m:t>
                  </m:r>
                </m:sub>
              </m:sSub>
            </m:oMath>
          </w:p>
        </w:tc>
        <w:tc>
          <w:tcPr/>
          <w:p>
            <w:pPr>
              <w:pStyle w:val="Compact"/>
              <w:jc w:val="right"/>
            </w:pPr>
            <m:oMath>
              <m:sSub>
                <m:e>
                  <m:r>
                    <m:t>p</m:t>
                  </m:r>
                </m:e>
                <m:sub>
                  <m:r>
                    <m:rPr>
                      <m:nor/>
                      <m:sty m:val="p"/>
                    </m:rPr>
                    <m:t>Holm</m:t>
                  </m:r>
                </m:sub>
              </m:sSub>
            </m:oMath>
          </w:p>
        </w:tc>
      </w:tr>
      <w:tr>
        <w:tc>
          <w:tcPr/>
          <w:p>
            <w:pPr>
              <w:pStyle w:val="Compact"/>
              <w:jc w:val="left"/>
            </w:pPr>
            <w:r>
              <w:t xml:space="preserve">BM25</w:t>
            </w:r>
          </w:p>
        </w:tc>
        <w:tc>
          <w:tcPr/>
          <w:p>
            <w:pPr>
              <w:pStyle w:val="Compact"/>
              <w:jc w:val="right"/>
            </w:pPr>
            <w:r>
              <w:t xml:space="preserve">0.233</w:t>
            </w:r>
          </w:p>
        </w:tc>
        <w:tc>
          <w:tcPr/>
          <w:p>
            <w:pPr>
              <w:pStyle w:val="Compact"/>
              <w:jc w:val="right"/>
            </w:pPr>
            <w:r>
              <w:t xml:space="preserve">0.318</w:t>
            </w:r>
          </w:p>
        </w:tc>
        <w:tc>
          <w:tcPr/>
          <w:p>
            <w:pPr>
              <w:pStyle w:val="Compact"/>
              <w:jc w:val="right"/>
            </w:pPr>
            <w:r>
              <w:t xml:space="preserve">0.360</w:t>
            </w:r>
          </w:p>
        </w:tc>
        <w:tc>
          <w:tcPr/>
          <w:p>
            <w:pPr>
              <w:pStyle w:val="Compact"/>
              <w:jc w:val="right"/>
            </w:pPr>
            <w:r>
              <w:t xml:space="preserve">0.400</w:t>
            </w:r>
          </w:p>
        </w:tc>
        <w:tc>
          <w:tcPr/>
          <w:p>
            <w:pPr>
              <w:pStyle w:val="Compact"/>
              <w:jc w:val="right"/>
            </w:pPr>
            <m:oMath>
              <m:r>
                <m:rPr>
                  <m:sty m:val="p"/>
                </m:rPr>
                <m:t>−</m:t>
              </m:r>
            </m:oMath>
            <w:r>
              <w:t xml:space="preserve">0.126</w:t>
            </w:r>
          </w:p>
        </w:tc>
        <w:tc>
          <w:tcPr/>
          <w:p>
            <w:pPr>
              <w:pStyle w:val="Compact"/>
              <w:jc w:val="right"/>
            </w:pPr>
            <m:oMath>
              <m:r>
                <m:rPr>
                  <m:sty m:val="p"/>
                </m:rPr>
                <m:t>&lt;</m:t>
              </m:r>
            </m:oMath>
            <w:r>
              <w:t xml:space="preserve">0.001</w:t>
            </w:r>
          </w:p>
        </w:tc>
      </w:tr>
      <w:tr>
        <w:tc>
          <w:tcPr/>
          <w:p>
            <w:pPr>
              <w:pStyle w:val="Compact"/>
              <w:jc w:val="left"/>
            </w:pPr>
            <w:r>
              <w:t xml:space="preserve">MiniLM-L6</w:t>
            </w:r>
          </w:p>
        </w:tc>
        <w:tc>
          <w:tcPr/>
          <w:p>
            <w:pPr>
              <w:pStyle w:val="Compact"/>
              <w:jc w:val="right"/>
            </w:pPr>
            <w:r>
              <w:t xml:space="preserve">0.352</w:t>
            </w:r>
          </w:p>
        </w:tc>
        <w:tc>
          <w:tcPr/>
          <w:p>
            <w:pPr>
              <w:pStyle w:val="Compact"/>
              <w:jc w:val="right"/>
            </w:pPr>
            <w:r>
              <w:t xml:space="preserve">0.442</w:t>
            </w:r>
          </w:p>
        </w:tc>
        <w:tc>
          <w:tcPr/>
          <w:p>
            <w:pPr>
              <w:pStyle w:val="Compact"/>
              <w:jc w:val="right"/>
            </w:pPr>
            <w:r>
              <w:t xml:space="preserve">0.471</w:t>
            </w:r>
          </w:p>
        </w:tc>
        <w:tc>
          <w:tcPr/>
          <w:p>
            <w:pPr>
              <w:pStyle w:val="Compact"/>
              <w:jc w:val="right"/>
            </w:pPr>
            <w:r>
              <w:t xml:space="preserve">0.502</w:t>
            </w:r>
          </w:p>
        </w:tc>
        <w:tc>
          <w:tcPr/>
          <w:p>
            <w:pPr>
              <w:pStyle w:val="Compact"/>
              <w:jc w:val="right"/>
            </w:pPr>
            <m:oMath>
              <m:r>
                <m:rPr>
                  <m:sty m:val="p"/>
                </m:rPr>
                <m:t>−</m:t>
              </m:r>
            </m:oMath>
            <w:r>
              <w:t xml:space="preserve">0.120</w:t>
            </w:r>
          </w:p>
        </w:tc>
        <w:tc>
          <w:tcPr/>
          <w:p>
            <w:pPr>
              <w:pStyle w:val="Compact"/>
              <w:jc w:val="right"/>
            </w:pPr>
            <m:oMath>
              <m:r>
                <m:rPr>
                  <m:sty m:val="p"/>
                </m:rPr>
                <m:t>&lt;</m:t>
              </m:r>
            </m:oMath>
            <w:r>
              <w:t xml:space="preserve">0.001</w:t>
            </w:r>
          </w:p>
        </w:tc>
      </w:tr>
      <w:tr>
        <w:tc>
          <w:tcPr/>
          <w:p>
            <w:pPr>
              <w:pStyle w:val="Compact"/>
              <w:jc w:val="left"/>
            </w:pPr>
            <w:r>
              <w:t xml:space="preserve">bge-small</w:t>
            </w:r>
          </w:p>
        </w:tc>
        <w:tc>
          <w:tcPr/>
          <w:p>
            <w:pPr>
              <w:pStyle w:val="Compact"/>
              <w:jc w:val="right"/>
            </w:pPr>
            <w:r>
              <w:t xml:space="preserve">0.400</w:t>
            </w:r>
          </w:p>
        </w:tc>
        <w:tc>
          <w:tcPr/>
          <w:p>
            <w:pPr>
              <w:pStyle w:val="Compact"/>
              <w:jc w:val="right"/>
            </w:pPr>
            <w:r>
              <w:t xml:space="preserve">0.470</w:t>
            </w:r>
          </w:p>
        </w:tc>
        <w:tc>
          <w:tcPr/>
          <w:p>
            <w:pPr>
              <w:pStyle w:val="Compact"/>
              <w:jc w:val="right"/>
            </w:pPr>
            <w:r>
              <w:t xml:space="preserve">0.484</w:t>
            </w:r>
          </w:p>
        </w:tc>
        <w:tc>
          <w:tcPr/>
          <w:p>
            <w:pPr>
              <w:pStyle w:val="Compact"/>
              <w:jc w:val="right"/>
            </w:pPr>
            <w:r>
              <w:t xml:space="preserve">0.507</w:t>
            </w:r>
          </w:p>
        </w:tc>
        <w:tc>
          <w:tcPr/>
          <w:p>
            <w:pPr>
              <w:pStyle w:val="Compact"/>
              <w:jc w:val="right"/>
            </w:pPr>
            <m:oMath>
              <m:r>
                <m:rPr>
                  <m:sty m:val="p"/>
                </m:rPr>
                <m:t>−</m:t>
              </m:r>
            </m:oMath>
            <w:r>
              <w:t xml:space="preserve">0.083</w:t>
            </w:r>
          </w:p>
        </w:tc>
        <w:tc>
          <w:tcPr/>
          <w:p>
            <w:pPr>
              <w:pStyle w:val="Compact"/>
              <w:jc w:val="right"/>
            </w:pPr>
            <m:oMath>
              <m:r>
                <m:rPr>
                  <m:sty m:val="p"/>
                </m:rPr>
                <m:t>&lt;</m:t>
              </m:r>
            </m:oMath>
            <w:r>
              <w:t xml:space="preserve">0.001</w:t>
            </w:r>
          </w:p>
        </w:tc>
      </w:tr>
      <w:tr>
        <w:tc>
          <w:tcPr/>
          <w:p>
            <w:pPr>
              <w:pStyle w:val="Compact"/>
              <w:jc w:val="left"/>
            </w:pPr>
            <w:r>
              <w:t xml:space="preserve">bge-base</w:t>
            </w:r>
          </w:p>
        </w:tc>
        <w:tc>
          <w:tcPr/>
          <w:p>
            <w:pPr>
              <w:pStyle w:val="Compact"/>
              <w:jc w:val="right"/>
            </w:pPr>
            <w:r>
              <w:t xml:space="preserve">0.415</w:t>
            </w:r>
          </w:p>
        </w:tc>
        <w:tc>
          <w:tcPr/>
          <w:p>
            <w:pPr>
              <w:pStyle w:val="Compact"/>
              <w:jc w:val="right"/>
            </w:pPr>
            <w:r>
              <w:t xml:space="preserve">0.480</w:t>
            </w:r>
          </w:p>
        </w:tc>
        <w:tc>
          <w:tcPr/>
          <w:p>
            <w:pPr>
              <w:pStyle w:val="Compact"/>
              <w:jc w:val="right"/>
            </w:pPr>
            <w:r>
              <w:t xml:space="preserve">0.493</w:t>
            </w:r>
          </w:p>
        </w:tc>
        <w:tc>
          <w:tcPr/>
          <w:p>
            <w:pPr>
              <w:pStyle w:val="Compact"/>
              <w:jc w:val="right"/>
            </w:pPr>
            <w:r>
              <w:t xml:space="preserve">0.506</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bge-large</w:t>
            </w:r>
          </w:p>
        </w:tc>
        <w:tc>
          <w:tcPr/>
          <w:p>
            <w:pPr>
              <w:pStyle w:val="Compact"/>
              <w:jc w:val="right"/>
            </w:pPr>
            <w:r>
              <w:t xml:space="preserve">0.421</w:t>
            </w:r>
          </w:p>
        </w:tc>
        <w:tc>
          <w:tcPr/>
          <w:p>
            <w:pPr>
              <w:pStyle w:val="Compact"/>
              <w:jc w:val="right"/>
            </w:pPr>
            <w:r>
              <w:t xml:space="preserve">0.493</w:t>
            </w:r>
          </w:p>
        </w:tc>
        <w:tc>
          <w:tcPr/>
          <w:p>
            <w:pPr>
              <w:pStyle w:val="Compact"/>
              <w:jc w:val="right"/>
            </w:pPr>
            <w:r>
              <w:t xml:space="preserve">0.503</w:t>
            </w:r>
          </w:p>
        </w:tc>
        <w:tc>
          <w:tcPr/>
          <w:p>
            <w:pPr>
              <w:pStyle w:val="Compact"/>
              <w:jc w:val="right"/>
            </w:pPr>
            <w:r>
              <w:t xml:space="preserve">0.520</w:t>
            </w:r>
          </w:p>
        </w:tc>
        <w:tc>
          <w:tcPr/>
          <w:p>
            <w:pPr>
              <w:pStyle w:val="Compact"/>
              <w:jc w:val="right"/>
            </w:pPr>
            <m:oMath>
              <m:r>
                <m:rPr>
                  <m:sty m:val="p"/>
                </m:rPr>
                <m:t>−</m:t>
              </m:r>
            </m:oMath>
            <w:r>
              <w:t xml:space="preserve">0.082</w:t>
            </w:r>
          </w:p>
        </w:tc>
        <w:tc>
          <w:tcPr/>
          <w:p>
            <w:pPr>
              <w:pStyle w:val="Compact"/>
              <w:jc w:val="right"/>
            </w:pPr>
            <m:oMath>
              <m:r>
                <m:rPr>
                  <m:sty m:val="p"/>
                </m:rPr>
                <m:t>&lt;</m:t>
              </m:r>
            </m:oMath>
            <w:r>
              <w:t xml:space="preserve">0.001</w:t>
            </w:r>
          </w:p>
        </w:tc>
      </w:tr>
      <w:tr>
        <w:tc>
          <w:tcPr/>
          <w:p>
            <w:pPr>
              <w:pStyle w:val="Compact"/>
              <w:jc w:val="left"/>
            </w:pPr>
            <w:r>
              <w:t xml:space="preserve">e5-base-v2</w:t>
            </w:r>
          </w:p>
        </w:tc>
        <w:tc>
          <w:tcPr/>
          <w:p>
            <w:pPr>
              <w:pStyle w:val="Compact"/>
              <w:jc w:val="right"/>
            </w:pPr>
            <w:r>
              <w:t xml:space="preserve">0.432</w:t>
            </w:r>
          </w:p>
        </w:tc>
        <w:tc>
          <w:tcPr/>
          <w:p>
            <w:pPr>
              <w:pStyle w:val="Compact"/>
              <w:jc w:val="right"/>
            </w:pPr>
            <w:r>
              <w:t xml:space="preserve">0.500</w:t>
            </w:r>
          </w:p>
        </w:tc>
        <w:tc>
          <w:tcPr/>
          <w:p>
            <w:pPr>
              <w:pStyle w:val="Compact"/>
              <w:jc w:val="right"/>
            </w:pPr>
            <w:r>
              <w:t xml:space="preserve">0.510</w:t>
            </w:r>
          </w:p>
        </w:tc>
        <w:tc>
          <w:tcPr/>
          <w:p>
            <w:pPr>
              <w:pStyle w:val="Compact"/>
              <w:jc w:val="right"/>
            </w:pPr>
            <w:r>
              <w:t xml:space="preserve">0.508</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Qwen3-Emb-0.6B</w:t>
            </w:r>
          </w:p>
        </w:tc>
        <w:tc>
          <w:tcPr/>
          <w:p>
            <w:pPr>
              <w:pStyle w:val="Compact"/>
              <w:jc w:val="right"/>
            </w:pPr>
            <w:r>
              <w:t xml:space="preserve">0.386</w:t>
            </w:r>
          </w:p>
        </w:tc>
        <w:tc>
          <w:tcPr/>
          <w:p>
            <w:pPr>
              <w:pStyle w:val="Compact"/>
              <w:jc w:val="right"/>
            </w:pPr>
            <w:r>
              <w:t xml:space="preserve">0.475</w:t>
            </w:r>
          </w:p>
        </w:tc>
        <w:tc>
          <w:tcPr/>
          <w:p>
            <w:pPr>
              <w:pStyle w:val="Compact"/>
              <w:jc w:val="right"/>
            </w:pPr>
            <w:r>
              <w:t xml:space="preserve">0.492</w:t>
            </w:r>
          </w:p>
        </w:tc>
        <w:tc>
          <w:tcPr/>
          <w:p>
            <w:pPr>
              <w:pStyle w:val="Compact"/>
              <w:jc w:val="right"/>
            </w:pPr>
            <w:r>
              <w:t xml:space="preserve">0.506</w:t>
            </w:r>
          </w:p>
        </w:tc>
        <w:tc>
          <w:tcPr/>
          <w:p>
            <w:pPr>
              <w:pStyle w:val="Compact"/>
              <w:jc w:val="right"/>
            </w:pPr>
            <m:oMath>
              <m:r>
                <m:rPr>
                  <m:sty m:val="p"/>
                </m:rPr>
                <m:t>−</m:t>
              </m:r>
            </m:oMath>
            <w:r>
              <w:t xml:space="preserve">0.106</w:t>
            </w:r>
          </w:p>
        </w:tc>
        <w:tc>
          <w:tcPr/>
          <w:p>
            <w:pPr>
              <w:pStyle w:val="Compact"/>
              <w:jc w:val="right"/>
            </w:pPr>
            <m:oMath>
              <m:r>
                <m:rPr>
                  <m:sty m:val="p"/>
                </m:rPr>
                <m:t>&lt;</m:t>
              </m:r>
            </m:oMath>
            <w:r>
              <w:t xml:space="preserve">0.001</w:t>
            </w:r>
          </w:p>
        </w:tc>
      </w:tr>
    </w:tbl>
    <w:bookmarkEnd w:id="84"/>
    <w:p>
      <w:pPr>
        <w:pStyle w:val="BodyText"/>
      </w:pPr>
      <w:r>
        <w:rPr>
          <w:iCs/>
          <w:i/>
        </w:rPr>
        <w:t xml:space="preserve">Exact McNemar test of</w:t>
      </w:r>
      <w:r>
        <w:rPr>
          <w:iCs/>
          <w:i/>
        </w:rPr>
        <w:t xml:space="preserve"> </w:t>
      </w:r>
      <m:oMath>
        <m:r>
          <m:t>k</m:t>
        </m:r>
        <m:r>
          <m:rPr>
            <m:sty m:val="p"/>
          </m:rPr>
          <m:t>=</m:t>
        </m:r>
        <m:r>
          <m:t>1</m:t>
        </m:r>
      </m:oMath>
      <w:r>
        <w:rPr>
          <w:iCs/>
          <w:i/>
        </w:rPr>
        <w:t xml:space="preserve"> </w:t>
      </w:r>
      <w:r>
        <w:rPr>
          <w:iCs/>
          <w:i/>
        </w:rPr>
        <w:t xml:space="preserve">vs</w:t>
      </w:r>
      <w:r>
        <w:rPr>
          <w:iCs/>
          <w:i/>
        </w:rPr>
        <w:t xml:space="preserve"> </w:t>
      </w:r>
      <m:oMath>
        <m:r>
          <m:t>k</m:t>
        </m:r>
        <m:r>
          <m:rPr>
            <m:sty m:val="p"/>
          </m:rPr>
          <m:t>=</m:t>
        </m:r>
        <m:r>
          <m:t>5</m:t>
        </m:r>
      </m:oMath>
      <w:r>
        <w:rPr>
          <w:iCs/>
          <w:i/>
        </w:rPr>
        <w:t xml:space="preserve">, Holm over seven retrievers.</w:t>
      </w:r>
    </w:p>
    <w:bookmarkStart w:id="85" w:name="tab:mechanism"/>
    <w:p>
      <w:pPr>
        <w:pStyle w:val="TableCaption"/>
      </w:pPr>
      <w:r>
        <w:t xml:space="preserve">Distraction and position tests (Qwen reader, 500 NQ generation queries).</w:t>
      </w:r>
    </w:p>
    <w:tbl>
      <w:tblPr>
        <w:tblStyle w:val="Table"/>
        <w:tblW w:type="auto" w:w="0"/>
        <w:tblLook w:firstRow="1" w:lastRow="0" w:firstColumn="0" w:lastColumn="0" w:noHBand="0" w:noVBand="0" w:val="0020"/>
        <w:jc w:val="start"/>
        <w:tblCaption w:val="Distraction and position tests (Qwen reader, 500 NQ generation queries)."/>
      </w:tblPr>
      <w:tblGrid>
        <w:gridCol w:w="1980"/>
        <w:gridCol w:w="1980"/>
        <w:gridCol w:w="1980"/>
        <w:gridCol w:w="1980"/>
      </w:tblGrid>
      <w:tr>
        <w:trPr>
          <w:tblHeader w:val="true"/>
        </w:trPr>
        <w:tc>
          <w:tcPr/>
          <w:p>
            <w:pPr>
              <w:pStyle w:val="Compact"/>
              <w:jc w:val="left"/>
            </w:pPr>
            <w:r>
              <w:t xml:space="preserve">Context (5 passages)</w:t>
            </w:r>
          </w:p>
        </w:tc>
        <w:tc>
          <w:tcPr/>
          <w:p>
            <w:pPr>
              <w:pStyle w:val="Compact"/>
              <w:jc w:val="center"/>
            </w:pPr>
            <w:r>
              <w:t xml:space="preserve">EM [95% CI]</w:t>
            </w:r>
          </w:p>
        </w:tc>
        <w:tc>
          <w:tcPr/>
          <w:p>
            <w:pPr>
              <w:pStyle w:val="Compact"/>
              <w:jc w:val="center"/>
            </w:pPr>
            <w:r>
              <w:t xml:space="preserve">F1</w:t>
            </w:r>
          </w:p>
        </w:tc>
        <w:tc>
          <w:tcPr/>
          <w:p>
            <w:pPr>
              <w:pStyle w:val="Compact"/>
              <w:jc w:val="center"/>
            </w:pPr>
            <w:r>
              <w:t xml:space="preserve">AC</w:t>
            </w:r>
          </w:p>
        </w:tc>
      </w:tr>
      <w:tr>
        <w:tc>
          <w:tcPr/>
          <w:p>
            <w:pPr>
              <w:pStyle w:val="Compact"/>
              <w:jc w:val="left"/>
            </w:pPr>
            <w:r>
              <w:t xml:space="preserve">Gold only</w:t>
            </w:r>
          </w:p>
        </w:tc>
        <w:tc>
          <w:tcPr/>
          <w:p>
            <w:pPr>
              <w:pStyle w:val="Compact"/>
              <w:jc w:val="center"/>
            </w:pPr>
            <w:r>
              <w:t xml:space="preserve">0.648 [0.604, 0.690]</w:t>
            </w:r>
          </w:p>
        </w:tc>
        <w:tc>
          <w:tcPr/>
          <w:p>
            <w:pPr>
              <w:pStyle w:val="Compact"/>
              <w:jc w:val="center"/>
            </w:pPr>
            <w:r>
              <w:t xml:space="preserve">0.772</w:t>
            </w:r>
          </w:p>
        </w:tc>
        <w:tc>
          <w:tcPr/>
          <w:p>
            <w:pPr>
              <w:pStyle w:val="Compact"/>
              <w:jc w:val="center"/>
            </w:pPr>
            <w:r>
              <w:t xml:space="preserve">0.770</w:t>
            </w:r>
          </w:p>
        </w:tc>
      </w:tr>
      <w:tr>
        <w:tc>
          <w:tcPr/>
          <w:p>
            <w:pPr>
              <w:pStyle w:val="Compact"/>
              <w:jc w:val="left"/>
            </w:pPr>
            <w:r>
              <w:t xml:space="preserve">Gold@1 + 4 random</w:t>
            </w:r>
          </w:p>
        </w:tc>
        <w:tc>
          <w:tcPr/>
          <w:p>
            <w:pPr>
              <w:pStyle w:val="Compact"/>
              <w:jc w:val="center"/>
            </w:pPr>
            <w:r>
              <w:t xml:space="preserve">0.654 [0.612, 0.696]</w:t>
            </w:r>
          </w:p>
        </w:tc>
        <w:tc>
          <w:tcPr/>
          <w:p>
            <w:pPr>
              <w:pStyle w:val="Compact"/>
              <w:jc w:val="center"/>
            </w:pPr>
            <w:r>
              <w:t xml:space="preserve">0.777</w:t>
            </w:r>
          </w:p>
        </w:tc>
        <w:tc>
          <w:tcPr/>
          <w:p>
            <w:pPr>
              <w:pStyle w:val="Compact"/>
              <w:jc w:val="center"/>
            </w:pPr>
            <w:r>
              <w:t xml:space="preserve">0.764</w:t>
            </w:r>
          </w:p>
        </w:tc>
      </w:tr>
      <w:tr>
        <w:tc>
          <w:tcPr/>
          <w:p>
            <w:pPr>
              <w:pStyle w:val="Compact"/>
              <w:jc w:val="left"/>
            </w:pPr>
            <w:r>
              <w:t xml:space="preserve">Gold@1 + 4 hard</w:t>
            </w:r>
          </w:p>
        </w:tc>
        <w:tc>
          <w:tcPr/>
          <w:p>
            <w:pPr>
              <w:pStyle w:val="Compact"/>
              <w:jc w:val="center"/>
            </w:pPr>
            <w:r>
              <w:t xml:space="preserve">0.580 [0.536, 0.624]</w:t>
            </w:r>
          </w:p>
        </w:tc>
        <w:tc>
          <w:tcPr/>
          <w:p>
            <w:pPr>
              <w:pStyle w:val="Compact"/>
              <w:jc w:val="center"/>
            </w:pPr>
            <w:r>
              <w:t xml:space="preserve">0.696</w:t>
            </w:r>
          </w:p>
        </w:tc>
        <w:tc>
          <w:tcPr/>
          <w:p>
            <w:pPr>
              <w:pStyle w:val="Compact"/>
              <w:jc w:val="center"/>
            </w:pPr>
            <w:r>
              <w:t xml:space="preserve">0.686</w:t>
            </w:r>
          </w:p>
        </w:tc>
      </w:tr>
      <w:tr>
        <w:tc>
          <w:tcPr/>
          <w:p>
            <w:pPr>
              <w:pStyle w:val="Compact"/>
              <w:jc w:val="left"/>
            </w:pPr>
            <w:r>
              <w:t xml:space="preserve">Gold@3 + 4 hard</w:t>
            </w:r>
          </w:p>
        </w:tc>
        <w:tc>
          <w:tcPr/>
          <w:p>
            <w:pPr>
              <w:pStyle w:val="Compact"/>
              <w:jc w:val="center"/>
            </w:pPr>
            <w:r>
              <w:t xml:space="preserve">0.564 [0.520, 0.608]</w:t>
            </w:r>
          </w:p>
        </w:tc>
        <w:tc>
          <w:tcPr/>
          <w:p>
            <w:pPr>
              <w:pStyle w:val="Compact"/>
              <w:jc w:val="center"/>
            </w:pPr>
            <w:r>
              <w:t xml:space="preserve">0.684</w:t>
            </w:r>
          </w:p>
        </w:tc>
        <w:tc>
          <w:tcPr/>
          <w:p>
            <w:pPr>
              <w:pStyle w:val="Compact"/>
              <w:jc w:val="center"/>
            </w:pPr>
            <w:r>
              <w:t xml:space="preserve">0.672</w:t>
            </w:r>
          </w:p>
        </w:tc>
      </w:tr>
      <w:tr>
        <w:tc>
          <w:tcPr/>
          <w:p>
            <w:pPr>
              <w:pStyle w:val="Compact"/>
              <w:jc w:val="left"/>
            </w:pPr>
            <w:r>
              <w:t xml:space="preserve">Gold@5 + 4 hard</w:t>
            </w:r>
          </w:p>
        </w:tc>
        <w:tc>
          <w:tcPr/>
          <w:p>
            <w:pPr>
              <w:pStyle w:val="Compact"/>
              <w:jc w:val="center"/>
            </w:pPr>
            <w:r>
              <w:t xml:space="preserve">0.578 [0.534, 0.622]</w:t>
            </w:r>
          </w:p>
        </w:tc>
        <w:tc>
          <w:tcPr/>
          <w:p>
            <w:pPr>
              <w:pStyle w:val="Compact"/>
              <w:jc w:val="center"/>
            </w:pPr>
            <w:r>
              <w:t xml:space="preserve">0.698</w:t>
            </w:r>
          </w:p>
        </w:tc>
        <w:tc>
          <w:tcPr/>
          <w:p>
            <w:pPr>
              <w:pStyle w:val="Compact"/>
              <w:jc w:val="center"/>
            </w:pPr>
            <w:r>
              <w:t xml:space="preserve">0.682</w:t>
            </w:r>
          </w:p>
        </w:tc>
      </w:tr>
    </w:tbl>
    <w:bookmarkEnd w:id="85"/>
    <w:p>
      <w:pPr>
        <w:pStyle w:val="BodyText"/>
      </w:pPr>
      <w:r>
        <w:rPr>
          <w:iCs/>
          <w:i/>
        </w:rPr>
        <w:t xml:space="preserve">Hard vs random negatives:</w:t>
      </w:r>
      <w:r>
        <w:rPr>
          <w:iCs/>
          <w:i/>
        </w:rPr>
        <w:t xml:space="preserve"> </w:t>
      </w:r>
      <m:oMath>
        <m:r>
          <m:t>Δ</m:t>
        </m:r>
      </m:oMath>
      <w:r>
        <w:rPr>
          <w:iCs/>
          <w:i/>
        </w:rPr>
        <w:t xml:space="preserve">EM =</w:t>
      </w:r>
      <w:r>
        <w:rPr>
          <w:iCs/>
          <w:i/>
        </w:rPr>
        <w:t xml:space="preserve"> </w:t>
      </w:r>
      <m:oMath>
        <m:r>
          <m:rPr>
            <m:sty m:val="p"/>
          </m:rPr>
          <m:t>−</m:t>
        </m:r>
      </m:oMath>
      <w:r>
        <w:rPr>
          <w:iCs/>
          <w:i/>
        </w:rPr>
        <w:t xml:space="preserve">0.074, exact McNemar</w:t>
      </w:r>
      <w:r>
        <w:rPr>
          <w:iCs/>
          <w:i/>
        </w:rPr>
        <w:t xml:space="preserve"> </w:t>
      </w:r>
      <m:oMath>
        <m:r>
          <m:t>p</m:t>
        </m:r>
      </m:oMath>
      <w:r>
        <w:rPr>
          <w:iCs/>
          <w:i/>
        </w:rPr>
        <w:t xml:space="preserve"> </w:t>
      </w:r>
      <w:r>
        <w:rPr>
          <w:iCs/>
          <w:i/>
        </w:rPr>
        <w:t xml:space="preserve">=</w:t>
      </w:r>
      <w:r>
        <w:rPr>
          <w:iCs/>
          <w:i/>
        </w:rPr>
        <w:t xml:space="preserve"> </w:t>
      </w:r>
      <m:oMath>
        <m:r>
          <m:t>2.2</m:t>
        </m:r>
        <m:r>
          <m:rPr>
            <m:sty m:val="p"/>
          </m:rPr>
          <m:t>×</m:t>
        </m:r>
        <m:sSup>
          <m:e>
            <m:r>
              <m:t>10</m:t>
            </m:r>
          </m:e>
          <m:sup>
            <m:r>
              <m:rPr>
                <m:sty m:val="p"/>
              </m:rPr>
              <m:t>−</m:t>
            </m:r>
            <m:r>
              <m:t>​</m:t>
            </m:r>
            <m:r>
              <m:t>5</m:t>
            </m:r>
          </m:sup>
        </m:sSup>
      </m:oMath>
      <w:r>
        <w:rPr>
          <w:iCs/>
          <w:i/>
        </w:rPr>
        <w:t xml:space="preserve">. Position: no pair differs after Holm.</w:t>
      </w:r>
    </w:p>
    <w:bookmarkEnd w:id="86"/>
    <w:bookmarkStart w:id="88" w:name="reranking"/>
    <w:p>
      <w:pPr>
        <w:pStyle w:val="Heading4"/>
      </w:pPr>
      <w:r>
        <w:t xml:space="preserve">Reranking</w:t>
      </w:r>
    </w:p>
    <w:p>
      <w:pPr>
        <w:pStyle w:val="FirstParagraph"/>
      </w:pPr>
      <w:r>
        <w:t xml:space="preserve">The cross-encoder helped BM25 and hurt e5-base-v2 (Table </w:t>
      </w:r>
      <w:hyperlink w:anchor="tab:reranker">
        <w:r>
          <w:rPr>
            <w:rStyle w:val="Hyperlink"/>
          </w:rPr>
          <w:t xml:space="preserve">4</w:t>
        </w:r>
      </w:hyperlink>
      <w:r>
        <w:t xml:space="preserve">). On the NQ generation queries, reranking the BM25 top 50 raised Hit@5 by +0.304 and EM by +0.097 (both</w:t>
      </w:r>
      <w:r>
        <w:t xml:space="preserve"> </w:t>
      </w:r>
      <m:oMath>
        <m:r>
          <m:t>p</m:t>
        </m:r>
        <m:r>
          <m:rPr>
            <m:sty m:val="p"/>
          </m:rPr>
          <m:t>&lt;</m:t>
        </m:r>
        <m:r>
          <m:t>0.001</m:t>
        </m:r>
      </m:oMath>
      <w:r>
        <w:t xml:space="preserve">). Reranking the e5-base-v2 top 50 changed Hit@5 by −0.067 (</w:t>
      </w:r>
      <m:oMath>
        <m:r>
          <m:t>p</m:t>
        </m:r>
      </m:oMath>
      <w:r>
        <w:t xml:space="preserve"> </w:t>
      </w:r>
      <w:r>
        <w:t xml:space="preserve">=</w:t>
      </w:r>
      <w:r>
        <w:t xml:space="preserve"> </w:t>
      </w:r>
      <m:oMath>
        <m:r>
          <m:t>2.6</m:t>
        </m:r>
        <m:r>
          <m:rPr>
            <m:sty m:val="p"/>
          </m:rPr>
          <m:t>×</m:t>
        </m:r>
        <m:sSup>
          <m:e>
            <m:r>
              <m:t>10</m:t>
            </m:r>
          </m:e>
          <m:sup>
            <m:r>
              <m:rPr>
                <m:sty m:val="p"/>
              </m:rPr>
              <m:t>−</m:t>
            </m:r>
            <m:r>
              <m:t>12</m:t>
            </m:r>
          </m:sup>
        </m:sSup>
      </m:oMath>
      <w:r>
        <w:t xml:space="preserve">); for EM the change was −0.016 (</w:t>
      </w:r>
      <m:oMath>
        <m:r>
          <m:t>p</m:t>
        </m:r>
      </m:oMath>
      <w:r>
        <w:t xml:space="preserve"> </w:t>
      </w:r>
      <w:r>
        <w:t xml:space="preserve">= 0.069), and no difference was detected. Reranking cost a median of 208 to 249 ms per query on a T4. These results come from one reranker at one depth.</w:t>
      </w:r>
    </w:p>
    <w:bookmarkStart w:id="87" w:name="tab:reranker"/>
    <w:p>
      <w:pPr>
        <w:pStyle w:val="TableCaption"/>
      </w:pPr>
      <w:r>
        <w:t xml:space="preserve">Cross-encoder reranking (bge-reranker-base, top 50) on NQ.</w:t>
      </w:r>
    </w:p>
    <w:tbl>
      <w:tblPr>
        <w:tblStyle w:val="Table"/>
        <w:tblW w:type="auto" w:w="0"/>
        <w:tblLook w:firstRow="1" w:lastRow="0" w:firstColumn="0" w:lastColumn="0" w:noHBand="0" w:noVBand="0" w:val="0020"/>
        <w:jc w:val="start"/>
        <w:tblCaption w:val="Cross-encoder reranking (bge-reranker-base, top 50) on NQ."/>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center"/>
            </w:pPr>
            <w:r>
              <w:t xml:space="preserve">Hit@5</w:t>
            </w:r>
          </w:p>
        </w:tc>
        <w:tc>
          <w:tcPr/>
          <w:p>
            <w:pPr>
              <w:pStyle w:val="Compact"/>
              <w:jc w:val="center"/>
            </w:pPr>
            <w:r>
              <w:t xml:space="preserve">nDCG@10</w:t>
            </w:r>
          </w:p>
        </w:tc>
        <w:tc>
          <w:tcPr/>
          <w:p>
            <w:pPr>
              <w:pStyle w:val="Compact"/>
              <w:jc w:val="center"/>
            </w:pPr>
            <w:r>
              <w:t xml:space="preserve">EM</w:t>
            </w:r>
          </w:p>
        </w:tc>
        <w:tc>
          <w:tcPr/>
          <w:p>
            <w:pPr>
              <w:pStyle w:val="Compact"/>
              <w:jc w:val="center"/>
            </w:pPr>
            <w:r>
              <w:t xml:space="preserve">ms/query</w:t>
            </w:r>
          </w:p>
        </w:tc>
      </w:tr>
      <w:tr>
        <w:tc>
          <w:tcPr/>
          <w:p>
            <w:pPr>
              <w:pStyle w:val="Compact"/>
              <w:jc w:val="left"/>
            </w:pPr>
            <w:r>
              <w:t xml:space="preserve">BM25</w:t>
            </w:r>
          </w:p>
        </w:tc>
        <w:tc>
          <w:tcPr/>
          <w:p>
            <w:pPr>
              <w:pStyle w:val="Compact"/>
              <w:jc w:val="center"/>
            </w:pPr>
            <w:r>
              <w:t xml:space="preserve">0.373</w:t>
            </w:r>
          </w:p>
        </w:tc>
        <w:tc>
          <w:tcPr/>
          <w:p>
            <w:pPr>
              <w:pStyle w:val="Compact"/>
              <w:jc w:val="center"/>
            </w:pPr>
            <w:r>
              <w:t xml:space="preserve">0.284</w:t>
            </w:r>
          </w:p>
        </w:tc>
        <w:tc>
          <w:tcPr/>
          <w:p>
            <w:pPr>
              <w:pStyle w:val="Compact"/>
              <w:jc w:val="center"/>
            </w:pPr>
            <w:r>
              <w:t xml:space="preserve">0.360</w:t>
            </w:r>
          </w:p>
        </w:tc>
        <w:tc>
          <w:tcPr/>
          <w:p>
            <w:pPr>
              <w:pStyle w:val="Compact"/>
              <w:jc w:val="center"/>
            </w:pPr>
            <w:r>
              <w:t xml:space="preserve">–</w:t>
            </w:r>
          </w:p>
        </w:tc>
      </w:tr>
      <w:tr>
        <w:tc>
          <w:tcPr/>
          <w:p>
            <w:pPr>
              <w:pStyle w:val="Compact"/>
              <w:jc w:val="left"/>
            </w:pPr>
            <w:r>
              <w:t xml:space="preserve">BM25 + reranker</w:t>
            </w:r>
          </w:p>
        </w:tc>
        <w:tc>
          <w:tcPr/>
          <w:p>
            <w:pPr>
              <w:pStyle w:val="Compact"/>
              <w:jc w:val="center"/>
            </w:pPr>
            <w:r>
              <w:t xml:space="preserve">0.658</w:t>
            </w:r>
          </w:p>
        </w:tc>
        <w:tc>
          <w:tcPr/>
          <w:p>
            <w:pPr>
              <w:pStyle w:val="Compact"/>
              <w:jc w:val="center"/>
            </w:pPr>
            <w:r>
              <w:t xml:space="preserve">0.542</w:t>
            </w:r>
          </w:p>
        </w:tc>
        <w:tc>
          <w:tcPr/>
          <w:p>
            <w:pPr>
              <w:pStyle w:val="Compact"/>
              <w:jc w:val="center"/>
            </w:pPr>
            <w:r>
              <w:t xml:space="preserve">0.456</w:t>
            </w:r>
          </w:p>
        </w:tc>
        <w:tc>
          <w:tcPr/>
          <w:p>
            <w:pPr>
              <w:pStyle w:val="Compact"/>
              <w:jc w:val="center"/>
            </w:pPr>
            <w:r>
              <w:t xml:space="preserve">208</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0.665</w:t>
            </w:r>
          </w:p>
        </w:tc>
        <w:tc>
          <w:tcPr/>
          <w:p>
            <w:pPr>
              <w:pStyle w:val="Compact"/>
              <w:jc w:val="center"/>
            </w:pPr>
            <w:r>
              <w:t xml:space="preserve">0.510</w:t>
            </w:r>
          </w:p>
        </w:tc>
        <w:tc>
          <w:tcPr/>
          <w:p>
            <w:pPr>
              <w:pStyle w:val="Compact"/>
              <w:jc w:val="center"/>
            </w:pPr>
            <w:r>
              <w:t xml:space="preserve">–</w:t>
            </w:r>
          </w:p>
        </w:tc>
      </w:tr>
      <w:tr>
        <w:tc>
          <w:tcPr/>
          <w:p>
            <w:pPr>
              <w:pStyle w:val="Compact"/>
              <w:jc w:val="left"/>
            </w:pPr>
            <w:r>
              <w:t xml:space="preserve">e5-base-v2 + reranker</w:t>
            </w:r>
          </w:p>
        </w:tc>
        <w:tc>
          <w:tcPr/>
          <w:p>
            <w:pPr>
              <w:pStyle w:val="Compact"/>
              <w:jc w:val="center"/>
            </w:pPr>
            <w:r>
              <w:t xml:space="preserve">0.742</w:t>
            </w:r>
          </w:p>
        </w:tc>
        <w:tc>
          <w:tcPr/>
          <w:p>
            <w:pPr>
              <w:pStyle w:val="Compact"/>
              <w:jc w:val="center"/>
            </w:pPr>
            <w:r>
              <w:t xml:space="preserve">0.601</w:t>
            </w:r>
          </w:p>
        </w:tc>
        <w:tc>
          <w:tcPr/>
          <w:p>
            <w:pPr>
              <w:pStyle w:val="Compact"/>
              <w:jc w:val="center"/>
            </w:pPr>
            <w:r>
              <w:t xml:space="preserve">0.494</w:t>
            </w:r>
          </w:p>
        </w:tc>
        <w:tc>
          <w:tcPr/>
          <w:p>
            <w:pPr>
              <w:pStyle w:val="Compact"/>
              <w:jc w:val="center"/>
            </w:pPr>
            <w:r>
              <w:t xml:space="preserve">249</w:t>
            </w:r>
          </w:p>
        </w:tc>
      </w:tr>
    </w:tbl>
    <w:bookmarkEnd w:id="87"/>
    <w:p>
      <w:pPr>
        <w:pStyle w:val="BodyText"/>
      </w:pPr>
      <w:r>
        <w:rPr>
          <w:iCs/>
          <w:i/>
        </w:rPr>
        <w:t xml:space="preserve">Retrieval on all 3,452 judged queries; EM on the 2,255 generation queries (Qwen). Latency: median per query, 50 pairs, one T4.</w:t>
      </w:r>
    </w:p>
    <w:bookmarkEnd w:id="88"/>
    <w:bookmarkEnd w:id="89"/>
    <w:bookmarkStart w:id="105" w:name="sec:res-cost"/>
    <w:p>
      <w:pPr>
        <w:pStyle w:val="Heading2"/>
      </w:pPr>
      <w:r>
        <w:t xml:space="preserve">Cost and checks of the setup (RQ4)</w:t>
      </w:r>
    </w:p>
    <w:bookmarkStart w:id="94" w:name="encoding-cost"/>
    <w:p>
      <w:pPr>
        <w:pStyle w:val="Heading4"/>
      </w:pPr>
      <w:r>
        <w:t xml:space="preserve">Encoding cost</w:t>
      </w:r>
    </w:p>
    <w:p>
      <w:pPr>
        <w:pStyle w:val="FirstParagraph"/>
      </w:pPr>
      <w:r>
        <w:t xml:space="preserve">Table </w:t>
      </w:r>
      <w:hyperlink w:anchor="tab:cost">
        <w:r>
          <w:rPr>
            <w:rStyle w:val="Hyperlink"/>
          </w:rPr>
          <w:t xml:space="preserve">5</w:t>
        </w:r>
      </w:hyperlink>
      <w:r>
        <w:t xml:space="preserve"> </w:t>
      </w:r>
      <w:r>
        <w:t xml:space="preserve">gives the measured cost. Throughput fell from 1,807 passages per second for MiniLM-L6 to 66 for Qwen3-Embedding-0.6B, a factor of 27. e5-base-v2 encoded 2.9 times faster than bge-large. The five repetitions varied little (Table </w:t>
      </w:r>
      <w:hyperlink w:anchor="tab:cost">
        <w:r>
          <w:rPr>
            <w:rStyle w:val="Hyperlink"/>
          </w:rPr>
          <w:t xml:space="preserve">5</w:t>
        </w:r>
      </w:hyperlink>
      <w:r>
        <w:t xml:space="preserve">): their throughput ranges did not overlap for any pair of encoders except bge-base and e5-base-v2, which share the same architecture size. Query encoding took 6.0 to 52.2 ms per query; BM25 took 25.7 ms on the CPU. Fig. </w:t>
      </w:r>
      <w:hyperlink w:anchor="fig:cost">
        <w:r>
          <w:rPr>
            <w:rStyle w:val="Hyperlink"/>
          </w:rPr>
          <w:t xml:space="preserve">9</w:t>
        </w:r>
      </w:hyperlink>
      <w:r>
        <w:t xml:space="preserve"> </w:t>
      </w:r>
      <w:r>
        <w:t xml:space="preserve">relates throughput to EM averaged over the four cells. bge-large had the highest average EM (0.457), bge-base and e5-base-v2 followed at 0.447 with 2.9 times its throughput, and Qwen3-Embedding-0.6B (0.422) was both the slowest and below bge-small (0.432).</w:t>
      </w:r>
    </w:p>
    <w:p>
      <w:pPr>
        <w:pStyle w:val="CaptionedFigure"/>
      </w:pPr>
      <w:r>
        <w:drawing>
          <wp:inline>
            <wp:extent cx="2972564" cy="2256947"/>
            <wp:effectExtent b="0" l="0" r="0" t="0"/>
            <wp:docPr descr="" title="" id="91" name="Picture"/>
            <a:graphic>
              <a:graphicData uri="http://schemas.openxmlformats.org/drawingml/2006/picture">
                <pic:pic>
                  <pic:nvPicPr>
                    <pic:cNvPr descr="/home/claude/rag-embed-transfer/paper_figures/out/fig5_cost_quality.png" id="92" name="Picture"/>
                    <pic:cNvPicPr>
                      <a:picLocks noChangeArrowheads="1" noChangeAspect="1"/>
                    </pic:cNvPicPr>
                  </pic:nvPicPr>
                  <pic:blipFill>
                    <a:blip r:embed="rId90"/>
                    <a:stretch>
                      <a:fillRect/>
                    </a:stretch>
                  </pic:blipFill>
                  <pic:spPr bwMode="auto">
                    <a:xfrm>
                      <a:off x="0" y="0"/>
                      <a:ext cx="2972564" cy="2256947"/>
                    </a:xfrm>
                    <a:prstGeom prst="rect">
                      <a:avLst/>
                    </a:prstGeom>
                    <a:noFill/>
                    <a:ln w="9525">
                      <a:noFill/>
                      <a:headEnd/>
                      <a:tailEnd/>
                    </a:ln>
                  </pic:spPr>
                </pic:pic>
              </a:graphicData>
            </a:graphic>
          </wp:inline>
        </w:drawing>
      </w:r>
    </w:p>
    <w:p>
      <w:pPr>
        <w:pStyle w:val="ImageCaption"/>
      </w:pPr>
      <w:r>
        <w:t xml:space="preserve">Encoding throughput on one T4 GPU (median of five repetitions, log scale) against EM averaged over the four reader–dataset cells. The dashed line joins encoders that no other encoder beats on both axes.</w:t>
      </w:r>
    </w:p>
    <w:bookmarkStart w:id="93" w:name="tab:cost"/>
    <w:p>
      <w:pPr>
        <w:pStyle w:val="TableCaption"/>
      </w:pPr>
      <w:r>
        <w:t xml:space="preserve">Encoding cost on one Tesla T4, median (range) over five repetitions.</w:t>
      </w:r>
    </w:p>
    <w:tbl>
      <w:tblPr>
        <w:tblStyle w:val="Table"/>
        <w:tblW w:type="auto" w:w="0"/>
        <w:tblLook w:firstRow="1" w:lastRow="0" w:firstColumn="0" w:lastColumn="0" w:noHBand="0" w:noVBand="0" w:val="0020"/>
        <w:jc w:val="start"/>
        <w:tblCaption w:val="Encoding cost on one Tesla T4, median (range) over five repetitions."/>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right"/>
            </w:pPr>
            <w:r>
              <w:t xml:space="preserve">Params (M)</w:t>
            </w:r>
          </w:p>
        </w:tc>
        <w:tc>
          <w:tcPr/>
          <w:p>
            <w:pPr>
              <w:pStyle w:val="Compact"/>
              <w:jc w:val="right"/>
            </w:pPr>
            <w:r>
              <w:t xml:space="preserve">Dim</w:t>
            </w:r>
          </w:p>
        </w:tc>
        <w:tc>
          <w:tcPr/>
          <w:p>
            <w:pPr>
              <w:pStyle w:val="Compact"/>
              <w:jc w:val="center"/>
            </w:pPr>
            <w:r>
              <w:t xml:space="preserve">Passages/s</w:t>
            </w:r>
          </w:p>
        </w:tc>
        <w:tc>
          <w:tcPr/>
          <w:p>
            <w:pPr>
              <w:pStyle w:val="Compact"/>
              <w:jc w:val="center"/>
            </w:pPr>
            <w:r>
              <w:t xml:space="preserve">Query ms</w:t>
            </w:r>
          </w:p>
        </w:tc>
      </w:tr>
      <w:tr>
        <w:tc>
          <w:tcPr/>
          <w:p>
            <w:pPr>
              <w:pStyle w:val="Compact"/>
              <w:jc w:val="left"/>
            </w:pPr>
            <w:r>
              <w:t xml:space="preserve">MiniLM-L6</w:t>
            </w:r>
          </w:p>
        </w:tc>
        <w:tc>
          <w:tcPr/>
          <w:p>
            <w:pPr>
              <w:pStyle w:val="Compact"/>
              <w:jc w:val="right"/>
            </w:pPr>
            <w:r>
              <w:t xml:space="preserve">23</w:t>
            </w:r>
          </w:p>
        </w:tc>
        <w:tc>
          <w:tcPr/>
          <w:p>
            <w:pPr>
              <w:pStyle w:val="Compact"/>
              <w:jc w:val="right"/>
            </w:pPr>
            <w:r>
              <w:t xml:space="preserve">384</w:t>
            </w:r>
          </w:p>
        </w:tc>
        <w:tc>
          <w:tcPr/>
          <w:p>
            <w:pPr>
              <w:pStyle w:val="Compact"/>
              <w:jc w:val="center"/>
            </w:pPr>
            <w:r>
              <w:t xml:space="preserve">1807 (1768–1863)</w:t>
            </w:r>
          </w:p>
        </w:tc>
        <w:tc>
          <w:tcPr/>
          <w:p>
            <w:pPr>
              <w:pStyle w:val="Compact"/>
              <w:jc w:val="center"/>
            </w:pPr>
            <w:r>
              <w:t xml:space="preserve">6.0 (6.0–6.1)</w:t>
            </w:r>
          </w:p>
        </w:tc>
      </w:tr>
      <w:tr>
        <w:tc>
          <w:tcPr/>
          <w:p>
            <w:pPr>
              <w:pStyle w:val="Compact"/>
              <w:jc w:val="left"/>
            </w:pPr>
            <w:r>
              <w:t xml:space="preserve">bge-small</w:t>
            </w:r>
          </w:p>
        </w:tc>
        <w:tc>
          <w:tcPr/>
          <w:p>
            <w:pPr>
              <w:pStyle w:val="Compact"/>
              <w:jc w:val="right"/>
            </w:pPr>
            <w:r>
              <w:t xml:space="preserve">33</w:t>
            </w:r>
          </w:p>
        </w:tc>
        <w:tc>
          <w:tcPr/>
          <w:p>
            <w:pPr>
              <w:pStyle w:val="Compact"/>
              <w:jc w:val="right"/>
            </w:pPr>
            <w:r>
              <w:t xml:space="preserve">384</w:t>
            </w:r>
          </w:p>
        </w:tc>
        <w:tc>
          <w:tcPr/>
          <w:p>
            <w:pPr>
              <w:pStyle w:val="Compact"/>
              <w:jc w:val="center"/>
            </w:pPr>
            <w:r>
              <w:t xml:space="preserve">1155 (1136–1207)</w:t>
            </w:r>
          </w:p>
        </w:tc>
        <w:tc>
          <w:tcPr/>
          <w:p>
            <w:pPr>
              <w:pStyle w:val="Compact"/>
              <w:jc w:val="center"/>
            </w:pPr>
            <w:r>
              <w:t xml:space="preserve">10.3 (10.1–10.3)</w:t>
            </w:r>
          </w:p>
        </w:tc>
      </w:tr>
      <w:tr>
        <w:tc>
          <w:tcPr/>
          <w:p>
            <w:pPr>
              <w:pStyle w:val="Compact"/>
              <w:jc w:val="left"/>
            </w:pPr>
            <w:r>
              <w:t xml:space="preserve">bge-base</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502 (501–503)</w:t>
            </w:r>
          </w:p>
        </w:tc>
        <w:tc>
          <w:tcPr/>
          <w:p>
            <w:pPr>
              <w:pStyle w:val="Compact"/>
              <w:jc w:val="center"/>
            </w:pPr>
            <w:r>
              <w:t xml:space="preserve">10.0 (9.9–10.1)</w:t>
            </w:r>
          </w:p>
        </w:tc>
      </w:tr>
      <w:tr>
        <w:tc>
          <w:tcPr/>
          <w:p>
            <w:pPr>
              <w:pStyle w:val="Compact"/>
              <w:jc w:val="left"/>
            </w:pPr>
            <w:r>
              <w:t xml:space="preserve">e5-base-v2</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493 (491–496)</w:t>
            </w:r>
          </w:p>
        </w:tc>
        <w:tc>
          <w:tcPr/>
          <w:p>
            <w:pPr>
              <w:pStyle w:val="Compact"/>
              <w:jc w:val="center"/>
            </w:pPr>
            <w:r>
              <w:t xml:space="preserve">10.0 (9.9–10.1)</w:t>
            </w:r>
          </w:p>
        </w:tc>
      </w:tr>
      <w:tr>
        <w:tc>
          <w:tcPr/>
          <w:p>
            <w:pPr>
              <w:pStyle w:val="Compact"/>
              <w:jc w:val="left"/>
            </w:pPr>
            <w:r>
              <w:t xml:space="preserve">bge-large</w:t>
            </w:r>
          </w:p>
        </w:tc>
        <w:tc>
          <w:tcPr/>
          <w:p>
            <w:pPr>
              <w:pStyle w:val="Compact"/>
              <w:jc w:val="right"/>
            </w:pPr>
            <w:r>
              <w:t xml:space="preserve">335</w:t>
            </w:r>
          </w:p>
        </w:tc>
        <w:tc>
          <w:tcPr/>
          <w:p>
            <w:pPr>
              <w:pStyle w:val="Compact"/>
              <w:jc w:val="right"/>
            </w:pPr>
            <w:r>
              <w:t xml:space="preserve">1024</w:t>
            </w:r>
          </w:p>
        </w:tc>
        <w:tc>
          <w:tcPr/>
          <w:p>
            <w:pPr>
              <w:pStyle w:val="Compact"/>
              <w:jc w:val="center"/>
            </w:pPr>
            <w:r>
              <w:t xml:space="preserve">168 (168–169)</w:t>
            </w:r>
          </w:p>
        </w:tc>
        <w:tc>
          <w:tcPr/>
          <w:p>
            <w:pPr>
              <w:pStyle w:val="Compact"/>
              <w:jc w:val="center"/>
            </w:pPr>
            <w:r>
              <w:t xml:space="preserve">18.3 (18.3–18.6)</w:t>
            </w:r>
          </w:p>
        </w:tc>
      </w:tr>
      <w:tr>
        <w:tc>
          <w:tcPr/>
          <w:p>
            <w:pPr>
              <w:pStyle w:val="Compact"/>
              <w:jc w:val="left"/>
            </w:pPr>
            <w:r>
              <w:t xml:space="preserve">Qwen3-Emb-0.6B</w:t>
            </w:r>
          </w:p>
        </w:tc>
        <w:tc>
          <w:tcPr/>
          <w:p>
            <w:pPr>
              <w:pStyle w:val="Compact"/>
              <w:jc w:val="right"/>
            </w:pPr>
            <w:r>
              <w:t xml:space="preserve">596</w:t>
            </w:r>
          </w:p>
        </w:tc>
        <w:tc>
          <w:tcPr/>
          <w:p>
            <w:pPr>
              <w:pStyle w:val="Compact"/>
              <w:jc w:val="right"/>
            </w:pPr>
            <w:r>
              <w:t xml:space="preserve">1024</w:t>
            </w:r>
          </w:p>
        </w:tc>
        <w:tc>
          <w:tcPr/>
          <w:p>
            <w:pPr>
              <w:pStyle w:val="Compact"/>
              <w:jc w:val="center"/>
            </w:pPr>
            <w:r>
              <w:t xml:space="preserve">66 (66–66)</w:t>
            </w:r>
          </w:p>
        </w:tc>
        <w:tc>
          <w:tcPr/>
          <w:p>
            <w:pPr>
              <w:pStyle w:val="Compact"/>
              <w:jc w:val="center"/>
            </w:pPr>
            <w:r>
              <w:t xml:space="preserve">52.2 (51.8–54.9)</w:t>
            </w:r>
          </w:p>
        </w:tc>
      </w:tr>
    </w:tbl>
    <w:bookmarkEnd w:id="93"/>
    <w:p>
      <w:pPr>
        <w:pStyle w:val="BodyText"/>
      </w:pPr>
      <w:r>
        <w:rPr>
          <w:iCs/>
          <w:i/>
        </w:rPr>
        <w:t xml:space="preserve">BM25 batch-1 query latency on CPU: 25.7 ms (23.7–27.7).</w:t>
      </w:r>
    </w:p>
    <w:bookmarkEnd w:id="94"/>
    <w:bookmarkStart w:id="98" w:name="deployment-cost-on-a-cpu"/>
    <w:p>
      <w:pPr>
        <w:pStyle w:val="Heading4"/>
      </w:pPr>
      <w:r>
        <w:t xml:space="preserve">Deployment cost on a CPU</w:t>
      </w:r>
    </w:p>
    <w:p>
      <w:pPr>
        <w:pStyle w:val="FirstParagraph"/>
      </w:pPr>
      <w:r>
        <w:t xml:space="preserve">Phase 1 also measured the cost of serving queries without a GPU (Table </w:t>
      </w:r>
      <w:hyperlink w:anchor="tab:deploy">
        <w:r>
          <w:rPr>
            <w:rStyle w:val="Hyperlink"/>
          </w:rPr>
          <w:t xml:space="preserve">[tab:deploy]</w:t>
        </w:r>
      </w:hyperlink>
      <w:r>
        <w:t xml:space="preserve">; single measurements). Encoding the 300,000-passage sub-corpus on the T4 took 158 s with MiniLM-L6, 592 s with e5-base-v2, 1,753 s with bge-large and 4,431 s with Qwen3-Embedding-0.6B. On the CPU alone, one query (encoding plus exact search) took 21.9 ms with BM25, 53.7 ms with MiniLM-L6, 149.3 ms with e5-base-v2, 402.5 ms with bge-large and 861.7 ms with Qwen3-Embedding-0.6B. The flat index took 439, 879 and 1,172 MB at 384, 768 and 1,024 dimensions. Fig. </w:t>
      </w:r>
      <w:hyperlink w:anchor="fig:pareto">
        <w:r>
          <w:rPr>
            <w:rStyle w:val="Hyperlink"/>
          </w:rPr>
          <w:t xml:space="preserve">10</w:t>
        </w:r>
      </w:hyperlink>
      <w:r>
        <w:t xml:space="preserve"> </w:t>
      </w:r>
      <w:r>
        <w:t xml:space="preserve">places each retriever by CPU latency and EM in every cell. bge-large and Qwen3-Embedding-0.6B were dominated on NQ for both readers: a cheaper retriever gave at least the same EM. On HotpotQA, bge-large was on the frontier with both readers, and its step over the next retriever was significant only with Qwen. Fig. </w:t>
      </w:r>
      <w:hyperlink w:anchor="fig:latency">
        <w:r>
          <w:rPr>
            <w:rStyle w:val="Hyperlink"/>
          </w:rPr>
          <w:t xml:space="preserve">12</w:t>
        </w:r>
      </w:hyperlink>
      <w:r>
        <w:t xml:space="preserve"> </w:t>
      </w:r>
      <w:r>
        <w:t xml:space="preserve">in the appendix gives the same view for NQ nDCG@10. In an exploratory check that treats costs within 5% as equal, only one frontier changed, on both cost axes: with Qwen on NQ, bge-base left the frontier, because its cost is within 5% of e5-base-v2 and its EM is lower.</w:t>
      </w:r>
    </w:p>
    <w:p>
      <w:pPr>
        <w:pStyle w:val="CaptionedFigure"/>
      </w:pPr>
      <w:r>
        <w:drawing>
          <wp:inline>
            <wp:extent cx="5334000" cy="3514470"/>
            <wp:effectExtent b="0" l="0" r="0" t="0"/>
            <wp:docPr descr="" title="" id="96" name="Picture"/>
            <a:graphic>
              <a:graphicData uri="http://schemas.openxmlformats.org/drawingml/2006/picture">
                <pic:pic>
                  <pic:nvPicPr>
                    <pic:cNvPr descr="/home/claude/rag-embed-transfer/paper_figures/out/fig11_pareto.png" id="97" name="Picture"/>
                    <pic:cNvPicPr>
                      <a:picLocks noChangeArrowheads="1" noChangeAspect="1"/>
                    </pic:cNvPicPr>
                  </pic:nvPicPr>
                  <pic:blipFill>
                    <a:blip r:embed="rId95"/>
                    <a:stretch>
                      <a:fillRect/>
                    </a:stretch>
                  </pic:blipFill>
                  <pic:spPr bwMode="auto">
                    <a:xfrm>
                      <a:off x="0" y="0"/>
                      <a:ext cx="5334000" cy="3514470"/>
                    </a:xfrm>
                    <a:prstGeom prst="rect">
                      <a:avLst/>
                    </a:prstGeom>
                    <a:noFill/>
                    <a:ln w="9525">
                      <a:noFill/>
                      <a:headEnd/>
                      <a:tailEnd/>
                    </a:ln>
                  </pic:spPr>
                </pic:pic>
              </a:graphicData>
            </a:graphic>
          </wp:inline>
        </w:drawing>
      </w:r>
    </w:p>
    <w:p>
      <w:pPr>
        <w:pStyle w:val="ImageCaption"/>
      </w:pPr>
      <w:r>
        <w:t xml:space="preserve">Exact match against per-query latency with query encoding and exact search on the CPU (Phase 1 cost measurements, log scale). The line joins retrievers that no other retriever beats on both axes; open markers are dominated. Step labels:</w:t>
      </w:r>
      <w:r>
        <w:t xml:space="preserve"> </w:t>
      </w:r>
      <m:oMath>
        <m:sSup>
          <m:e>
            <m:r>
              <m:t>​</m:t>
            </m:r>
          </m:e>
          <m:sup>
            <m:r>
              <m:rPr>
                <m:sty m:val="p"/>
              </m:rPr>
              <m:t>*</m:t>
            </m:r>
          </m:sup>
        </m:sSup>
      </m:oMath>
      <w:r>
        <w:t xml:space="preserve"> </w:t>
      </w:r>
      <w:r>
        <w:t xml:space="preserve">EM difference significant after Holm correction over the 21 pairs of the cell; n.s. not significant.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Retriever</w:t>
            </w:r>
          </w:p>
        </w:tc>
        <w:tc>
          <w:tcPr/>
          <w:p>
            <w:pPr>
              <w:pStyle w:val="Compact"/>
              <w:jc w:val="right"/>
            </w:pPr>
            <w:r>
              <w:t xml:space="preserve">Enc. 300k (s)</w:t>
            </w:r>
          </w:p>
        </w:tc>
        <w:tc>
          <w:tcPr/>
          <w:p>
            <w:pPr>
              <w:pStyle w:val="Compact"/>
              <w:jc w:val="right"/>
            </w:pPr>
            <w:r>
              <w:t xml:space="preserve">GPU MiB</w:t>
            </w:r>
          </w:p>
        </w:tc>
        <w:tc>
          <w:tcPr/>
          <w:p>
            <w:pPr>
              <w:pStyle w:val="Compact"/>
              <w:jc w:val="right"/>
            </w:pPr>
            <w:r>
              <w:t xml:space="preserve">CPU pass./s</w:t>
            </w:r>
          </w:p>
        </w:tc>
        <w:tc>
          <w:tcPr/>
          <w:p>
            <w:pPr>
              <w:pStyle w:val="Compact"/>
              <w:jc w:val="right"/>
            </w:pPr>
            <w:r>
              <w:t xml:space="preserve">Q-enc GPU</w:t>
            </w:r>
          </w:p>
        </w:tc>
        <w:tc>
          <w:tcPr/>
          <w:p>
            <w:pPr>
              <w:pStyle w:val="Compact"/>
              <w:jc w:val="right"/>
            </w:pPr>
            <w:r>
              <w:t xml:space="preserve">Q-enc CPU</w:t>
            </w:r>
          </w:p>
        </w:tc>
        <w:tc>
          <w:tcPr/>
          <w:p>
            <w:pPr>
              <w:pStyle w:val="Compact"/>
              <w:jc w:val="right"/>
            </w:pPr>
            <w:r>
              <w:t xml:space="preserve">Search</w:t>
            </w:r>
          </w:p>
        </w:tc>
        <w:tc>
          <w:tcPr/>
          <w:p>
            <w:pPr>
              <w:pStyle w:val="Compact"/>
              <w:jc w:val="right"/>
            </w:pPr>
            <w:r>
              <w:t xml:space="preserve">Query CPU</w:t>
            </w:r>
          </w:p>
        </w:tc>
        <w:tc>
          <w:tcPr/>
          <w:p>
            <w:pPr>
              <w:pStyle w:val="Compact"/>
              <w:jc w:val="right"/>
            </w:pPr>
            <w:r>
              <w:t xml:space="preserve">Index MB</w:t>
            </w:r>
          </w:p>
        </w:tc>
      </w:tr>
      <w:tr>
        <w:tc>
          <w:tcPr/>
          <w:p>
            <w:pPr>
              <w:pStyle w:val="Compact"/>
              <w:jc w:val="left"/>
            </w:pPr>
            <w:r>
              <w:t xml:space="preserve">BM25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MiniLM-L6</w:t>
            </w:r>
          </w:p>
        </w:tc>
        <w:tc>
          <w:tcPr/>
          <w:p>
            <w:pPr>
              <w:pStyle w:val="Compact"/>
              <w:jc w:val="right"/>
            </w:pPr>
            <w:r>
              <w:t xml:space="preserve">158</w:t>
            </w:r>
          </w:p>
        </w:tc>
        <w:tc>
          <w:tcPr/>
          <w:p>
            <w:pPr>
              <w:pStyle w:val="Compact"/>
              <w:jc w:val="right"/>
            </w:pPr>
            <w:r>
              <w:t xml:space="preserve">352</w:t>
            </w:r>
          </w:p>
        </w:tc>
        <w:tc>
          <w:tcPr/>
          <w:p>
            <w:pPr>
              <w:pStyle w:val="Compact"/>
              <w:jc w:val="right"/>
            </w:pPr>
            <w:r>
              <w:t xml:space="preserve">38.7</w:t>
            </w:r>
          </w:p>
        </w:tc>
        <w:tc>
          <w:tcPr/>
          <w:p>
            <w:pPr>
              <w:pStyle w:val="Compact"/>
              <w:jc w:val="right"/>
            </w:pPr>
            <w:r>
              <w:t xml:space="preserve">5.6</w:t>
            </w:r>
          </w:p>
        </w:tc>
        <w:tc>
          <w:tcPr/>
          <w:p>
            <w:pPr>
              <w:pStyle w:val="Compact"/>
              <w:jc w:val="right"/>
            </w:pPr>
            <w:r>
              <w:t xml:space="preserve">14.3</w:t>
            </w:r>
          </w:p>
        </w:tc>
        <w:tc>
          <w:tcPr/>
          <w:p>
            <w:pPr>
              <w:pStyle w:val="Compact"/>
              <w:jc w:val="right"/>
            </w:pPr>
            <w:r>
              <w:t xml:space="preserve">39.3</w:t>
            </w:r>
          </w:p>
        </w:tc>
        <w:tc>
          <w:tcPr/>
          <w:p>
            <w:pPr>
              <w:pStyle w:val="Compact"/>
              <w:jc w:val="right"/>
            </w:pPr>
            <w:r>
              <w:t xml:space="preserve">53.7</w:t>
            </w:r>
          </w:p>
        </w:tc>
        <w:tc>
          <w:tcPr/>
          <w:p>
            <w:pPr>
              <w:pStyle w:val="Compact"/>
              <w:jc w:val="right"/>
            </w:pPr>
            <w:r>
              <w:t xml:space="preserve">439</w:t>
            </w:r>
          </w:p>
        </w:tc>
      </w:tr>
      <w:tr>
        <w:tc>
          <w:tcPr/>
          <w:p>
            <w:pPr>
              <w:pStyle w:val="Compact"/>
              <w:jc w:val="left"/>
            </w:pPr>
            <w:r>
              <w:t xml:space="preserve">bge-small</w:t>
            </w:r>
          </w:p>
        </w:tc>
        <w:tc>
          <w:tcPr/>
          <w:p>
            <w:pPr>
              <w:pStyle w:val="Compact"/>
              <w:jc w:val="right"/>
            </w:pPr>
            <w:r>
              <w:t xml:space="preserve">250</w:t>
            </w:r>
          </w:p>
        </w:tc>
        <w:tc>
          <w:tcPr/>
          <w:p>
            <w:pPr>
              <w:pStyle w:val="Compact"/>
              <w:jc w:val="right"/>
            </w:pPr>
            <w:r>
              <w:t xml:space="preserve">374</w:t>
            </w:r>
          </w:p>
        </w:tc>
        <w:tc>
          <w:tcPr/>
          <w:p>
            <w:pPr>
              <w:pStyle w:val="Compact"/>
              <w:jc w:val="right"/>
            </w:pPr>
            <w:r>
              <w:t xml:space="preserve">20.0</w:t>
            </w:r>
          </w:p>
        </w:tc>
        <w:tc>
          <w:tcPr/>
          <w:p>
            <w:pPr>
              <w:pStyle w:val="Compact"/>
              <w:jc w:val="right"/>
            </w:pPr>
            <w:r>
              <w:t xml:space="preserve">9.7</w:t>
            </w:r>
          </w:p>
        </w:tc>
        <w:tc>
          <w:tcPr/>
          <w:p>
            <w:pPr>
              <w:pStyle w:val="Compact"/>
              <w:jc w:val="right"/>
            </w:pPr>
            <w:r>
              <w:t xml:space="preserve">35.3</w:t>
            </w:r>
          </w:p>
        </w:tc>
        <w:tc>
          <w:tcPr/>
          <w:p>
            <w:pPr>
              <w:pStyle w:val="Compact"/>
              <w:jc w:val="right"/>
            </w:pPr>
            <w:r>
              <w:t xml:space="preserve">38.8</w:t>
            </w:r>
          </w:p>
        </w:tc>
        <w:tc>
          <w:tcPr/>
          <w:p>
            <w:pPr>
              <w:pStyle w:val="Compact"/>
              <w:jc w:val="right"/>
            </w:pPr>
            <w:r>
              <w:t xml:space="preserve">74.1</w:t>
            </w:r>
          </w:p>
        </w:tc>
        <w:tc>
          <w:tcPr/>
          <w:p>
            <w:pPr>
              <w:pStyle w:val="Compact"/>
              <w:jc w:val="right"/>
            </w:pPr>
            <w:r>
              <w:t xml:space="preserve">439</w:t>
            </w:r>
          </w:p>
        </w:tc>
      </w:tr>
      <w:tr>
        <w:tc>
          <w:tcPr/>
          <w:p>
            <w:pPr>
              <w:pStyle w:val="Compact"/>
              <w:jc w:val="left"/>
            </w:pPr>
            <w:r>
              <w:t xml:space="preserve">bge-base</w:t>
            </w:r>
          </w:p>
        </w:tc>
        <w:tc>
          <w:tcPr/>
          <w:p>
            <w:pPr>
              <w:pStyle w:val="Compact"/>
              <w:jc w:val="right"/>
            </w:pPr>
            <w:r>
              <w:t xml:space="preserve">584</w:t>
            </w:r>
          </w:p>
        </w:tc>
        <w:tc>
          <w:tcPr/>
          <w:p>
            <w:pPr>
              <w:pStyle w:val="Compact"/>
              <w:jc w:val="right"/>
            </w:pPr>
            <w:r>
              <w:t xml:space="preserve">818</w:t>
            </w:r>
          </w:p>
        </w:tc>
        <w:tc>
          <w:tcPr/>
          <w:p>
            <w:pPr>
              <w:pStyle w:val="Compact"/>
              <w:jc w:val="right"/>
            </w:pPr>
            <w:r>
              <w:t xml:space="preserve">6.4</w:t>
            </w:r>
          </w:p>
        </w:tc>
        <w:tc>
          <w:tcPr/>
          <w:p>
            <w:pPr>
              <w:pStyle w:val="Compact"/>
              <w:jc w:val="right"/>
            </w:pPr>
            <w:r>
              <w:t xml:space="preserve">9.6</w:t>
            </w:r>
          </w:p>
        </w:tc>
        <w:tc>
          <w:tcPr/>
          <w:p>
            <w:pPr>
              <w:pStyle w:val="Compact"/>
              <w:jc w:val="right"/>
            </w:pPr>
            <w:r>
              <w:t xml:space="preserve">66.5</w:t>
            </w:r>
          </w:p>
        </w:tc>
        <w:tc>
          <w:tcPr/>
          <w:p>
            <w:pPr>
              <w:pStyle w:val="Compact"/>
              <w:jc w:val="right"/>
            </w:pPr>
            <w:r>
              <w:t xml:space="preserve">81.2</w:t>
            </w:r>
          </w:p>
        </w:tc>
        <w:tc>
          <w:tcPr/>
          <w:p>
            <w:pPr>
              <w:pStyle w:val="Compact"/>
              <w:jc w:val="right"/>
            </w:pPr>
            <w:r>
              <w:t xml:space="preserve">147.7</w:t>
            </w:r>
          </w:p>
        </w:tc>
        <w:tc>
          <w:tcPr/>
          <w:p>
            <w:pPr>
              <w:pStyle w:val="Compact"/>
              <w:jc w:val="right"/>
            </w:pPr>
            <w:r>
              <w:t xml:space="preserve">879</w:t>
            </w:r>
          </w:p>
        </w:tc>
      </w:tr>
      <w:tr>
        <w:tc>
          <w:tcPr/>
          <w:p>
            <w:pPr>
              <w:pStyle w:val="Compact"/>
              <w:jc w:val="left"/>
            </w:pPr>
            <w:r>
              <w:t xml:space="preserve">bge-large</w:t>
            </w:r>
          </w:p>
        </w:tc>
        <w:tc>
          <w:tcPr/>
          <w:p>
            <w:pPr>
              <w:pStyle w:val="Compact"/>
              <w:jc w:val="right"/>
            </w:pPr>
            <w:r>
              <w:t xml:space="preserve">1,753</w:t>
            </w:r>
          </w:p>
        </w:tc>
        <w:tc>
          <w:tcPr/>
          <w:p>
            <w:pPr>
              <w:pStyle w:val="Compact"/>
              <w:jc w:val="right"/>
            </w:pPr>
            <w:r>
              <w:t xml:space="preserve">1,427</w:t>
            </w:r>
          </w:p>
        </w:tc>
        <w:tc>
          <w:tcPr/>
          <w:p>
            <w:pPr>
              <w:pStyle w:val="Compact"/>
              <w:jc w:val="right"/>
            </w:pPr>
            <w:r>
              <w:t xml:space="preserve">1.9</w:t>
            </w:r>
          </w:p>
        </w:tc>
        <w:tc>
          <w:tcPr/>
          <w:p>
            <w:pPr>
              <w:pStyle w:val="Compact"/>
              <w:jc w:val="right"/>
            </w:pPr>
            <w:r>
              <w:t xml:space="preserve">17.4</w:t>
            </w:r>
          </w:p>
        </w:tc>
        <w:tc>
          <w:tcPr/>
          <w:p>
            <w:pPr>
              <w:pStyle w:val="Compact"/>
              <w:jc w:val="right"/>
            </w:pPr>
            <w:r>
              <w:t xml:space="preserve">259.4</w:t>
            </w:r>
          </w:p>
        </w:tc>
        <w:tc>
          <w:tcPr/>
          <w:p>
            <w:pPr>
              <w:pStyle w:val="Compact"/>
              <w:jc w:val="right"/>
            </w:pPr>
            <w:r>
              <w:t xml:space="preserve">143.1</w:t>
            </w:r>
          </w:p>
        </w:tc>
        <w:tc>
          <w:tcPr/>
          <w:p>
            <w:pPr>
              <w:pStyle w:val="Compact"/>
              <w:jc w:val="right"/>
            </w:pPr>
            <w:r>
              <w:t xml:space="preserve">402.5</w:t>
            </w:r>
          </w:p>
        </w:tc>
        <w:tc>
          <w:tcPr/>
          <w:p>
            <w:pPr>
              <w:pStyle w:val="Compact"/>
              <w:jc w:val="right"/>
            </w:pPr>
            <w:r>
              <w:t xml:space="preserve">1,172</w:t>
            </w:r>
          </w:p>
        </w:tc>
      </w:tr>
      <w:tr>
        <w:tc>
          <w:tcPr/>
          <w:p>
            <w:pPr>
              <w:pStyle w:val="Compact"/>
              <w:jc w:val="left"/>
            </w:pPr>
            <w:r>
              <w:t xml:space="preserve">e5-base-v2</w:t>
            </w:r>
          </w:p>
        </w:tc>
        <w:tc>
          <w:tcPr/>
          <w:p>
            <w:pPr>
              <w:pStyle w:val="Compact"/>
              <w:jc w:val="right"/>
            </w:pPr>
            <w:r>
              <w:t xml:space="preserve">592</w:t>
            </w:r>
          </w:p>
        </w:tc>
        <w:tc>
          <w:tcPr/>
          <w:p>
            <w:pPr>
              <w:pStyle w:val="Compact"/>
              <w:jc w:val="right"/>
            </w:pPr>
            <w:r>
              <w:t xml:space="preserve">818</w:t>
            </w:r>
          </w:p>
        </w:tc>
        <w:tc>
          <w:tcPr/>
          <w:p>
            <w:pPr>
              <w:pStyle w:val="Compact"/>
              <w:jc w:val="right"/>
            </w:pPr>
            <w:r>
              <w:t xml:space="preserve">6.2</w:t>
            </w:r>
          </w:p>
        </w:tc>
        <w:tc>
          <w:tcPr/>
          <w:p>
            <w:pPr>
              <w:pStyle w:val="Compact"/>
              <w:jc w:val="right"/>
            </w:pPr>
            <w:r>
              <w:t xml:space="preserve">9.6</w:t>
            </w:r>
          </w:p>
        </w:tc>
        <w:tc>
          <w:tcPr/>
          <w:p>
            <w:pPr>
              <w:pStyle w:val="Compact"/>
              <w:jc w:val="right"/>
            </w:pPr>
            <w:r>
              <w:t xml:space="preserve">67.8</w:t>
            </w:r>
          </w:p>
        </w:tc>
        <w:tc>
          <w:tcPr/>
          <w:p>
            <w:pPr>
              <w:pStyle w:val="Compact"/>
              <w:jc w:val="right"/>
            </w:pPr>
            <w:r>
              <w:t xml:space="preserve">81.5</w:t>
            </w:r>
          </w:p>
        </w:tc>
        <w:tc>
          <w:tcPr/>
          <w:p>
            <w:pPr>
              <w:pStyle w:val="Compact"/>
              <w:jc w:val="right"/>
            </w:pPr>
            <w:r>
              <w:t xml:space="preserve">149.3</w:t>
            </w:r>
          </w:p>
        </w:tc>
        <w:tc>
          <w:tcPr/>
          <w:p>
            <w:pPr>
              <w:pStyle w:val="Compact"/>
              <w:jc w:val="right"/>
            </w:pPr>
            <w:r>
              <w:t xml:space="preserve">879</w:t>
            </w:r>
          </w:p>
        </w:tc>
      </w:tr>
      <w:tr>
        <w:tc>
          <w:tcPr/>
          <w:p>
            <w:pPr>
              <w:pStyle w:val="Compact"/>
              <w:jc w:val="left"/>
            </w:pPr>
            <w:r>
              <w:t xml:space="preserve">Qwen3-Emb-0.6B</w:t>
            </w:r>
          </w:p>
        </w:tc>
        <w:tc>
          <w:tcPr/>
          <w:p>
            <w:pPr>
              <w:pStyle w:val="Compact"/>
              <w:jc w:val="right"/>
            </w:pPr>
            <w:r>
              <w:t xml:space="preserve">4,431</w:t>
            </w:r>
          </w:p>
        </w:tc>
        <w:tc>
          <w:tcPr/>
          <w:p>
            <w:pPr>
              <w:pStyle w:val="Compact"/>
              <w:jc w:val="right"/>
            </w:pPr>
            <w:r>
              <w:t xml:space="preserve">7,548</w:t>
            </w:r>
          </w:p>
        </w:tc>
        <w:tc>
          <w:tcPr/>
          <w:p>
            <w:pPr>
              <w:pStyle w:val="Compact"/>
              <w:jc w:val="right"/>
            </w:pPr>
            <w:r>
              <w:t xml:space="preserve">0.3</w:t>
            </w:r>
          </w:p>
        </w:tc>
        <w:tc>
          <w:tcPr/>
          <w:p>
            <w:pPr>
              <w:pStyle w:val="Compact"/>
              <w:jc w:val="right"/>
            </w:pPr>
            <w:r>
              <w:t xml:space="preserve">46.9</w:t>
            </w:r>
          </w:p>
        </w:tc>
        <w:tc>
          <w:tcPr/>
          <w:p>
            <w:pPr>
              <w:pStyle w:val="Compact"/>
              <w:jc w:val="right"/>
            </w:pPr>
            <w:r>
              <w:t xml:space="preserve">719.7</w:t>
            </w:r>
          </w:p>
        </w:tc>
        <w:tc>
          <w:tcPr/>
          <w:p>
            <w:pPr>
              <w:pStyle w:val="Compact"/>
              <w:jc w:val="right"/>
            </w:pPr>
            <w:r>
              <w:t xml:space="preserve">142.0</w:t>
            </w:r>
          </w:p>
        </w:tc>
        <w:tc>
          <w:tcPr/>
          <w:p>
            <w:pPr>
              <w:pStyle w:val="Compact"/>
              <w:jc w:val="right"/>
            </w:pPr>
            <w:r>
              <w:t xml:space="preserve">861.7</w:t>
            </w:r>
          </w:p>
        </w:tc>
        <w:tc>
          <w:tcPr/>
          <w:p>
            <w:pPr>
              <w:pStyle w:val="Compact"/>
              <w:jc w:val="right"/>
            </w:pPr>
            <w:r>
              <w:t xml:space="preserve">1,172</w:t>
            </w:r>
          </w:p>
        </w:tc>
      </w:tr>
    </w:tbl>
    <w:p>
      <w:pPr>
        <w:pStyle w:val="BodyText"/>
      </w:pPr>
      <w:r>
        <w:rPr>
          <w:iCs/>
          <w:i/>
        </w:rPr>
        <w:t xml:space="preserve">Enc. 300k: T4 wall time to encode the 300,000-passage sub-corpus. Q-enc: batch-1 query encoding (ms, median). Search: batch-1 exact inner-product search on the CPU (ms, median). Query CPU: query encoding plus search, all on the CPU. Index: flat float32 FAISS index. Encoding throughput repeated five times in Phase 2 is in Table </w:t>
      </w:r>
      <w:hyperlink w:anchor="tab:cost">
        <w:r>
          <w:rPr>
            <w:rStyle w:val="Hyperlink"/>
            <w:iCs/>
            <w:i/>
          </w:rPr>
          <w:t xml:space="preserve">5</w:t>
        </w:r>
      </w:hyperlink>
      <w:r>
        <w:rPr>
          <w:iCs/>
          <w:i/>
        </w:rPr>
        <w:t xml:space="preserve">.</w:t>
      </w:r>
    </w:p>
    <w:bookmarkEnd w:id="98"/>
    <w:bookmarkStart w:id="99" w:name="approximate-search"/>
    <w:p>
      <w:pPr>
        <w:pStyle w:val="Heading4"/>
      </w:pPr>
      <w:r>
        <w:t xml:space="preserve">Approximate search</w:t>
      </w:r>
    </w:p>
    <w:p>
      <w:pPr>
        <w:pStyle w:val="FirstParagraph"/>
      </w:pPr>
      <w:r>
        <w:t xml:space="preserve">HNSW search kept the exact top five almost unchanged (Table </w:t>
      </w:r>
      <w:hyperlink w:anchor="tab:hnsw">
        <w:r>
          <w:rPr>
            <w:rStyle w:val="Hyperlink"/>
          </w:rPr>
          <w:t xml:space="preserve">[tab:hnsw]</w:t>
        </w:r>
      </w:hyperlink>
      <w:r>
        <w:t xml:space="preserve">). At efSearch 128 the top-5 overlap with exact search was 0.9956 or higher, Hit@5 changed by at most 0.0023, and the median query latency on the CPU fell from 36–78 ms to 0.84–1.45 ms.</w:t>
      </w:r>
    </w:p>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jc w:val="left"/>
            </w:pPr>
            <w:r>
              <w:t xml:space="preserve">Encoder</w:t>
            </w:r>
          </w:p>
        </w:tc>
        <w:tc>
          <w:tcPr>
            <w:gridSpan w:val="2"/>
          </w:tcPr>
          <w:p>
            <w:pPr>
              <w:pStyle w:val="Compact"/>
              <w:jc w:val="center"/>
            </w:pPr>
            <w:r>
              <w:t xml:space="preserve">Exact</w:t>
            </w:r>
          </w:p>
        </w:tc>
        <w:tc>
          <w:tcPr>
            <w:gridSpan w:val="3"/>
          </w:tcPr>
          <w:p>
            <w:pPr>
              <w:pStyle w:val="Compact"/>
              <w:jc w:val="center"/>
            </w:pPr>
            <w:r>
              <w:t xml:space="preserve">HNSW ef=64</w:t>
            </w:r>
          </w:p>
        </w:tc>
        <w:tc>
          <w:tcPr>
            <w:gridSpan w:val="3"/>
          </w:tcPr>
          <w:p>
            <w:pPr>
              <w:pStyle w:val="Compact"/>
              <w:jc w:val="center"/>
            </w:pPr>
            <w:r>
              <w:t xml:space="preserve">HNSW ef=128</w:t>
            </w:r>
          </w:p>
        </w:tc>
      </w:tr>
      <w:tr>
        <w:tc>
          <w:tcPr/>
          <w:p>
            <w:pPr>
              <w:pStyle w:val="Compact"/>
            </w:pP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Overlap</w:t>
            </w: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Overlap</w:t>
            </w:r>
          </w:p>
        </w:tc>
        <w:tc>
          <w:tcPr/>
          <w:p>
            <w:pPr>
              <w:pStyle w:val="Compact"/>
              <w:jc w:val="center"/>
            </w:pPr>
            <w:r>
              <w:t xml:space="preserve">Hit@5</w:t>
            </w:r>
          </w:p>
        </w:tc>
        <w:tc>
          <w:tcPr/>
          <w:p>
            <w:pPr>
              <w:pStyle w:val="Compact"/>
              <w:jc w:val="center"/>
            </w:pPr>
            <w:r>
              <w:t xml:space="preserve">ms</w:t>
            </w:r>
          </w:p>
        </w:tc>
      </w:tr>
      <w:tr>
        <w:tc>
          <w:tcPr/>
          <w:p>
            <w:pPr>
              <w:pStyle w:val="Compact"/>
              <w:jc w:val="left"/>
            </w:pPr>
            <w:r>
              <w:t xml:space="preserve">MiniLM-L6</w:t>
            </w:r>
          </w:p>
        </w:tc>
        <w:tc>
          <w:tcPr/>
          <w:p>
            <w:pPr>
              <w:pStyle w:val="Compact"/>
              <w:jc w:val="center"/>
            </w:pPr>
            <w:r>
              <w:t xml:space="preserve">0.673</w:t>
            </w:r>
          </w:p>
        </w:tc>
        <w:tc>
          <w:tcPr/>
          <w:p>
            <w:pPr>
              <w:pStyle w:val="Compact"/>
              <w:jc w:val="center"/>
            </w:pPr>
            <w:r>
              <w:t xml:space="preserve">35.9</w:t>
            </w:r>
          </w:p>
        </w:tc>
        <w:tc>
          <w:tcPr/>
          <w:p>
            <w:pPr>
              <w:pStyle w:val="Compact"/>
              <w:jc w:val="center"/>
            </w:pPr>
            <w:r>
              <w:t xml:space="preserve">0.946</w:t>
            </w:r>
          </w:p>
        </w:tc>
        <w:tc>
          <w:tcPr/>
          <w:p>
            <w:pPr>
              <w:pStyle w:val="Compact"/>
              <w:jc w:val="center"/>
            </w:pPr>
            <w:r>
              <w:t xml:space="preserve">0.672</w:t>
            </w:r>
          </w:p>
        </w:tc>
        <w:tc>
          <w:tcPr/>
          <w:p>
            <w:pPr>
              <w:pStyle w:val="Compact"/>
              <w:jc w:val="center"/>
            </w:pPr>
            <w:r>
              <w:t xml:space="preserve">0.50</w:t>
            </w:r>
          </w:p>
        </w:tc>
        <w:tc>
          <w:tcPr/>
          <w:p>
            <w:pPr>
              <w:pStyle w:val="Compact"/>
              <w:jc w:val="center"/>
            </w:pPr>
            <w:r>
              <w:t xml:space="preserve">0.984</w:t>
            </w:r>
          </w:p>
        </w:tc>
        <w:tc>
          <w:tcPr/>
          <w:p>
            <w:pPr>
              <w:pStyle w:val="Compact"/>
              <w:jc w:val="center"/>
            </w:pPr>
            <w:r>
              <w:t xml:space="preserve">0.673</w:t>
            </w:r>
          </w:p>
        </w:tc>
        <w:tc>
          <w:tcPr/>
          <w:p>
            <w:pPr>
              <w:pStyle w:val="Compact"/>
              <w:jc w:val="center"/>
            </w:pPr>
            <w:r>
              <w:t xml:space="preserve">0.84</w:t>
            </w:r>
          </w:p>
        </w:tc>
      </w:tr>
      <w:tr>
        <w:tc>
          <w:tcPr/>
          <w:p>
            <w:pPr>
              <w:pStyle w:val="Compact"/>
              <w:jc w:val="left"/>
            </w:pPr>
            <w:r>
              <w:t xml:space="preserve">bge-small</w:t>
            </w:r>
          </w:p>
        </w:tc>
        <w:tc>
          <w:tcPr/>
          <w:p>
            <w:pPr>
              <w:pStyle w:val="Compact"/>
              <w:jc w:val="center"/>
            </w:pPr>
            <w:r>
              <w:t xml:space="preserve">0.729</w:t>
            </w:r>
          </w:p>
        </w:tc>
        <w:tc>
          <w:tcPr/>
          <w:p>
            <w:pPr>
              <w:pStyle w:val="Compact"/>
              <w:jc w:val="center"/>
            </w:pPr>
            <w:r>
              <w:t xml:space="preserve">36.3</w:t>
            </w:r>
          </w:p>
        </w:tc>
        <w:tc>
          <w:tcPr/>
          <w:p>
            <w:pPr>
              <w:pStyle w:val="Compact"/>
              <w:jc w:val="center"/>
            </w:pPr>
            <w:r>
              <w:t xml:space="preserve">0.904</w:t>
            </w:r>
          </w:p>
        </w:tc>
        <w:tc>
          <w:tcPr/>
          <w:p>
            <w:pPr>
              <w:pStyle w:val="Compact"/>
              <w:jc w:val="center"/>
            </w:pPr>
            <w:r>
              <w:t xml:space="preserve">0.726</w:t>
            </w:r>
          </w:p>
        </w:tc>
        <w:tc>
          <w:tcPr/>
          <w:p>
            <w:pPr>
              <w:pStyle w:val="Compact"/>
              <w:jc w:val="center"/>
            </w:pPr>
            <w:r>
              <w:t xml:space="preserve">0.49</w:t>
            </w:r>
          </w:p>
        </w:tc>
        <w:tc>
          <w:tcPr/>
          <w:p>
            <w:pPr>
              <w:pStyle w:val="Compact"/>
              <w:jc w:val="center"/>
            </w:pPr>
            <w:r>
              <w:t xml:space="preserve">0.964</w:t>
            </w:r>
          </w:p>
        </w:tc>
        <w:tc>
          <w:tcPr/>
          <w:p>
            <w:pPr>
              <w:pStyle w:val="Compact"/>
              <w:jc w:val="center"/>
            </w:pPr>
            <w:r>
              <w:t xml:space="preserve">0.727</w:t>
            </w:r>
          </w:p>
        </w:tc>
        <w:tc>
          <w:tcPr/>
          <w:p>
            <w:pPr>
              <w:pStyle w:val="Compact"/>
              <w:jc w:val="center"/>
            </w:pPr>
            <w:r>
              <w:t xml:space="preserve">0.89</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77.7</w:t>
            </w:r>
          </w:p>
        </w:tc>
        <w:tc>
          <w:tcPr/>
          <w:p>
            <w:pPr>
              <w:pStyle w:val="Compact"/>
              <w:jc w:val="center"/>
            </w:pPr>
            <w:r>
              <w:t xml:space="preserve">0.915</w:t>
            </w:r>
          </w:p>
        </w:tc>
        <w:tc>
          <w:tcPr/>
          <w:p>
            <w:pPr>
              <w:pStyle w:val="Compact"/>
              <w:jc w:val="center"/>
            </w:pPr>
            <w:r>
              <w:t xml:space="preserve">0.815</w:t>
            </w:r>
          </w:p>
        </w:tc>
        <w:tc>
          <w:tcPr/>
          <w:p>
            <w:pPr>
              <w:pStyle w:val="Compact"/>
              <w:jc w:val="center"/>
            </w:pPr>
            <w:r>
              <w:t xml:space="preserve">0.80</w:t>
            </w:r>
          </w:p>
        </w:tc>
        <w:tc>
          <w:tcPr/>
          <w:p>
            <w:pPr>
              <w:pStyle w:val="Compact"/>
              <w:jc w:val="center"/>
            </w:pPr>
            <w:r>
              <w:t xml:space="preserve">0.970</w:t>
            </w:r>
          </w:p>
        </w:tc>
        <w:tc>
          <w:tcPr/>
          <w:p>
            <w:pPr>
              <w:pStyle w:val="Compact"/>
              <w:jc w:val="center"/>
            </w:pPr>
            <w:r>
              <w:t xml:space="preserve">0.817</w:t>
            </w:r>
          </w:p>
        </w:tc>
        <w:tc>
          <w:tcPr/>
          <w:p>
            <w:pPr>
              <w:pStyle w:val="Compact"/>
              <w:jc w:val="center"/>
            </w:pPr>
            <w:r>
              <w:t xml:space="preserve">1.45</w:t>
            </w:r>
          </w:p>
        </w:tc>
      </w:tr>
    </w:tbl>
    <w:p>
      <w:pPr>
        <w:pStyle w:val="BodyText"/>
      </w:pPr>
      <w:r>
        <w:rPr>
          <w:iCs/>
          <w:i/>
        </w:rPr>
        <w:t xml:space="preserve">Overlap: mean share of the exact top 100 recovered. ms: median batch-1 query latency on 4 vCPUs.</w:t>
      </w:r>
    </w:p>
    <w:bookmarkEnd w:id="99"/>
    <w:bookmarkStart w:id="104" w:name="sub-corpus-versus-full-corpus"/>
    <w:p>
      <w:pPr>
        <w:pStyle w:val="Heading4"/>
      </w:pPr>
      <w:r>
        <w:t xml:space="preserve">Sub-corpus versus full corpus</w:t>
      </w:r>
    </w:p>
    <w:p>
      <w:pPr>
        <w:pStyle w:val="FirstParagraph"/>
      </w:pPr>
      <w:r>
        <w:t xml:space="preserve">On the full NQ corpus the four tested retrievers kept their nDCG@10 order (Kendall’s</w:t>
      </w:r>
      <w:r>
        <w:t xml:space="preserve"> </w:t>
      </w:r>
      <m:oMath>
        <m:r>
          <m:t>τ</m:t>
        </m:r>
      </m:oMath>
      <w:r>
        <w:t xml:space="preserve"> </w:t>
      </w:r>
      <w:r>
        <w:t xml:space="preserve">= 1.00; P3 held; Table </w:t>
      </w:r>
      <w:hyperlink w:anchor="tab:fullcorpus">
        <w:r>
          <w:rPr>
            <w:rStyle w:val="Hyperlink"/>
          </w:rPr>
          <w:t xml:space="preserve">6</w:t>
        </w:r>
      </w:hyperlink>
      <w:r>
        <w:t xml:space="preserve"> </w:t>
      </w:r>
      <w:r>
        <w:t xml:space="preserve">and Fig. </w:t>
      </w:r>
      <w:hyperlink w:anchor="fig:fullcorpus">
        <w:r>
          <w:rPr>
            <w:rStyle w:val="Hyperlink"/>
          </w:rPr>
          <w:t xml:space="preserve">11</w:t>
        </w:r>
      </w:hyperlink>
      <w:r>
        <w:t xml:space="preserve">). The dense retrievers lost 0.083 to 0.086 in nDCG@10, and BM25 lost almost nothing (0.002). The sub-corpus therefore inflates absolute dense scores but not their order. Its BM25-mined negatives may also make the sub-corpus easier for BM25 relative to the dense encoders than the full corpus is; we did not test reader answers on the full corpus.</w:t>
      </w:r>
    </w:p>
    <w:p>
      <w:pPr>
        <w:pStyle w:val="CaptionedFigure"/>
      </w:pPr>
      <w:r>
        <w:drawing>
          <wp:inline>
            <wp:extent cx="2975622" cy="1544387"/>
            <wp:effectExtent b="0" l="0" r="0" t="0"/>
            <wp:docPr descr="" title="" id="101" name="Picture"/>
            <a:graphic>
              <a:graphicData uri="http://schemas.openxmlformats.org/drawingml/2006/picture">
                <pic:pic>
                  <pic:nvPicPr>
                    <pic:cNvPr descr="/home/claude/rag-embed-transfer/paper_figures/out/fig6_full_corpus.png" id="102" name="Picture"/>
                    <pic:cNvPicPr>
                      <a:picLocks noChangeArrowheads="1" noChangeAspect="1"/>
                    </pic:cNvPicPr>
                  </pic:nvPicPr>
                  <pic:blipFill>
                    <a:blip r:embed="rId100"/>
                    <a:stretch>
                      <a:fillRect/>
                    </a:stretch>
                  </pic:blipFill>
                  <pic:spPr bwMode="auto">
                    <a:xfrm>
                      <a:off x="0" y="0"/>
                      <a:ext cx="2975622" cy="1544387"/>
                    </a:xfrm>
                    <a:prstGeom prst="rect">
                      <a:avLst/>
                    </a:prstGeom>
                    <a:noFill/>
                    <a:ln w="9525">
                      <a:noFill/>
                      <a:headEnd/>
                      <a:tailEnd/>
                    </a:ln>
                  </pic:spPr>
                </pic:pic>
              </a:graphicData>
            </a:graphic>
          </wp:inline>
        </w:drawing>
      </w:r>
    </w:p>
    <w:p>
      <w:pPr>
        <w:pStyle w:val="ImageCaption"/>
      </w:pPr>
      <w:r>
        <w:t xml:space="preserve">nDCG@10 on the 300,000-passage sub-corpus and on the full NQ corpus (all 3,452 judged queries).</w:t>
      </w:r>
    </w:p>
    <w:bookmarkStart w:id="103" w:name="tab:fullcorpus"/>
    <w:p>
      <w:pPr>
        <w:pStyle w:val="TableCaption"/>
      </w:pPr>
      <w:r>
        <w:t xml:space="preserve">Sub-corpus (300k) vs full NQ corpus (2.68M), all 3,452 judged queries.</w:t>
      </w:r>
    </w:p>
    <w:tbl>
      <w:tblPr>
        <w:tblStyle w:val="Table"/>
        <w:tblW w:type="auto" w:w="0"/>
        <w:tblLook w:firstRow="1" w:lastRow="0" w:firstColumn="0" w:lastColumn="0" w:noHBand="0" w:noVBand="0" w:val="0020"/>
        <w:jc w:val="start"/>
        <w:tblCaption w:val="Sub-corpus (300k) vs full NQ corpus (2.68M), all 3,452 judged queries."/>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nDCG@10 sub</w:t>
            </w:r>
          </w:p>
        </w:tc>
        <w:tc>
          <w:tcPr/>
          <w:p>
            <w:pPr>
              <w:pStyle w:val="Compact"/>
              <w:jc w:val="center"/>
            </w:pPr>
            <w:r>
              <w:t xml:space="preserve">nDCG@10 full</w:t>
            </w:r>
          </w:p>
        </w:tc>
        <w:tc>
          <w:tcPr/>
          <w:p>
            <w:pPr>
              <w:pStyle w:val="Compact"/>
              <w:jc w:val="center"/>
            </w:pPr>
            <w:r>
              <w:t xml:space="preserve">Hit@5 sub</w:t>
            </w:r>
          </w:p>
        </w:tc>
        <w:tc>
          <w:tcPr/>
          <w:p>
            <w:pPr>
              <w:pStyle w:val="Compact"/>
              <w:jc w:val="center"/>
            </w:pPr>
            <w:r>
              <w:t xml:space="preserve">Hit@5 full</w:t>
            </w:r>
          </w:p>
        </w:tc>
      </w:tr>
      <w:tr>
        <w:tc>
          <w:tcPr/>
          <w:p>
            <w:pPr>
              <w:pStyle w:val="Compact"/>
              <w:jc w:val="left"/>
            </w:pPr>
            <w:r>
              <w:t xml:space="preserve">BM25</w:t>
            </w:r>
          </w:p>
        </w:tc>
        <w:tc>
          <w:tcPr/>
          <w:p>
            <w:pPr>
              <w:pStyle w:val="Compact"/>
              <w:jc w:val="center"/>
            </w:pPr>
            <w:r>
              <w:t xml:space="preserve">0.284</w:t>
            </w:r>
          </w:p>
        </w:tc>
        <w:tc>
          <w:tcPr/>
          <w:p>
            <w:pPr>
              <w:pStyle w:val="Compact"/>
              <w:jc w:val="center"/>
            </w:pPr>
            <w:r>
              <w:t xml:space="preserve">0.283</w:t>
            </w:r>
          </w:p>
        </w:tc>
        <w:tc>
          <w:tcPr/>
          <w:p>
            <w:pPr>
              <w:pStyle w:val="Compact"/>
              <w:jc w:val="center"/>
            </w:pPr>
            <w:r>
              <w:t xml:space="preserve">0.373</w:t>
            </w:r>
          </w:p>
        </w:tc>
        <w:tc>
          <w:tcPr/>
          <w:p>
            <w:pPr>
              <w:pStyle w:val="Compact"/>
              <w:jc w:val="center"/>
            </w:pPr>
            <w:r>
              <w:t xml:space="preserve">0.373</w:t>
            </w:r>
          </w:p>
        </w:tc>
      </w:tr>
      <w:tr>
        <w:tc>
          <w:tcPr/>
          <w:p>
            <w:pPr>
              <w:pStyle w:val="Compact"/>
              <w:jc w:val="left"/>
            </w:pPr>
            <w:r>
              <w:t xml:space="preserve">MiniLM-L6</w:t>
            </w:r>
          </w:p>
        </w:tc>
        <w:tc>
          <w:tcPr/>
          <w:p>
            <w:pPr>
              <w:pStyle w:val="Compact"/>
              <w:jc w:val="center"/>
            </w:pPr>
            <w:r>
              <w:t xml:space="preserve">0.525</w:t>
            </w:r>
          </w:p>
        </w:tc>
        <w:tc>
          <w:tcPr/>
          <w:p>
            <w:pPr>
              <w:pStyle w:val="Compact"/>
              <w:jc w:val="center"/>
            </w:pPr>
            <w:r>
              <w:t xml:space="preserve">0.439</w:t>
            </w:r>
          </w:p>
        </w:tc>
        <w:tc>
          <w:tcPr/>
          <w:p>
            <w:pPr>
              <w:pStyle w:val="Compact"/>
              <w:jc w:val="center"/>
            </w:pPr>
            <w:r>
              <w:t xml:space="preserve">0.673</w:t>
            </w:r>
          </w:p>
        </w:tc>
        <w:tc>
          <w:tcPr/>
          <w:p>
            <w:pPr>
              <w:pStyle w:val="Compact"/>
              <w:jc w:val="center"/>
            </w:pPr>
            <w:r>
              <w:t xml:space="preserve">0.571</w:t>
            </w:r>
          </w:p>
        </w:tc>
      </w:tr>
      <w:tr>
        <w:tc>
          <w:tcPr/>
          <w:p>
            <w:pPr>
              <w:pStyle w:val="Compact"/>
              <w:jc w:val="left"/>
            </w:pPr>
            <w:r>
              <w:t xml:space="preserve">bge-small</w:t>
            </w:r>
          </w:p>
        </w:tc>
        <w:tc>
          <w:tcPr/>
          <w:p>
            <w:pPr>
              <w:pStyle w:val="Compact"/>
              <w:jc w:val="center"/>
            </w:pPr>
            <w:r>
              <w:t xml:space="preserve">0.582</w:t>
            </w:r>
          </w:p>
        </w:tc>
        <w:tc>
          <w:tcPr/>
          <w:p>
            <w:pPr>
              <w:pStyle w:val="Compact"/>
              <w:jc w:val="center"/>
            </w:pPr>
            <w:r>
              <w:t xml:space="preserve">0.499</w:t>
            </w:r>
          </w:p>
        </w:tc>
        <w:tc>
          <w:tcPr/>
          <w:p>
            <w:pPr>
              <w:pStyle w:val="Compact"/>
              <w:jc w:val="center"/>
            </w:pPr>
            <w:r>
              <w:t xml:space="preserve">0.729</w:t>
            </w:r>
          </w:p>
        </w:tc>
        <w:tc>
          <w:tcPr/>
          <w:p>
            <w:pPr>
              <w:pStyle w:val="Compact"/>
              <w:jc w:val="center"/>
            </w:pPr>
            <w:r>
              <w:t xml:space="preserve">0.630</w:t>
            </w:r>
          </w:p>
        </w:tc>
      </w:tr>
      <w:tr>
        <w:tc>
          <w:tcPr/>
          <w:p>
            <w:pPr>
              <w:pStyle w:val="Compact"/>
              <w:jc w:val="left"/>
            </w:pPr>
            <w:r>
              <w:t xml:space="preserve">e5-base-v2</w:t>
            </w:r>
          </w:p>
        </w:tc>
        <w:tc>
          <w:tcPr/>
          <w:p>
            <w:pPr>
              <w:pStyle w:val="Compact"/>
              <w:jc w:val="center"/>
            </w:pPr>
            <w:r>
              <w:t xml:space="preserve">0.665</w:t>
            </w:r>
          </w:p>
        </w:tc>
        <w:tc>
          <w:tcPr/>
          <w:p>
            <w:pPr>
              <w:pStyle w:val="Compact"/>
              <w:jc w:val="center"/>
            </w:pPr>
            <w:r>
              <w:t xml:space="preserve">0.582</w:t>
            </w:r>
          </w:p>
        </w:tc>
        <w:tc>
          <w:tcPr/>
          <w:p>
            <w:pPr>
              <w:pStyle w:val="Compact"/>
              <w:jc w:val="center"/>
            </w:pPr>
            <w:r>
              <w:t xml:space="preserve">0.817</w:t>
            </w:r>
          </w:p>
        </w:tc>
        <w:tc>
          <w:tcPr/>
          <w:p>
            <w:pPr>
              <w:pStyle w:val="Compact"/>
              <w:jc w:val="center"/>
            </w:pPr>
            <w:r>
              <w:t xml:space="preserve">0.727</w:t>
            </w:r>
          </w:p>
        </w:tc>
      </w:tr>
    </w:tbl>
    <w:bookmarkEnd w:id="103"/>
    <w:p>
      <w:pPr>
        <w:pStyle w:val="BodyText"/>
      </w:pPr>
      <w:r>
        <w:rPr>
          <w:iCs/>
          <w:i/>
        </w:rPr>
        <w:t xml:space="preserve">Kendall’s</w:t>
      </w:r>
      <w:r>
        <w:rPr>
          <w:iCs/>
          <w:i/>
        </w:rPr>
        <w:t xml:space="preserve"> </w:t>
      </w:r>
      <m:oMath>
        <m:r>
          <m:t>τ</m:t>
        </m:r>
      </m:oMath>
      <w:r>
        <w:rPr>
          <w:iCs/>
          <w:i/>
        </w:rPr>
        <w:t xml:space="preserve"> </w:t>
      </w:r>
      <w:r>
        <w:rPr>
          <w:iCs/>
          <w:i/>
        </w:rPr>
        <w:t xml:space="preserve">between the two orderings = 1.00.</w:t>
      </w:r>
    </w:p>
    <w:bookmarkEnd w:id="104"/>
    <w:bookmarkEnd w:id="105"/>
    <w:bookmarkStart w:id="107" w:name="sec:res-judge"/>
    <w:p>
      <w:pPr>
        <w:pStyle w:val="Heading2"/>
      </w:pPr>
      <w:r>
        <w:t xml:space="preserve">LLM judge validation</w:t>
      </w:r>
    </w:p>
    <w:p>
      <w:pPr>
        <w:pStyle w:val="FirstParagraph"/>
      </w:pPr>
      <w:r>
        <w:t xml:space="preserve">The LLM judge agreed poorly with the author’s labels (Table </w:t>
      </w:r>
      <w:hyperlink w:anchor="tab:judge">
        <w:r>
          <w:rPr>
            <w:rStyle w:val="Hyperlink"/>
          </w:rPr>
          <w:t xml:space="preserve">7</w:t>
        </w:r>
      </w:hyperlink>
      <w:r>
        <w:t xml:space="preserve">). Cohen’s</w:t>
      </w:r>
      <w:r>
        <w:t xml:space="preserve"> </w:t>
      </w:r>
      <m:oMath>
        <m:r>
          <m:t>κ</m:t>
        </m:r>
      </m:oMath>
      <w:r>
        <w:t xml:space="preserve"> </w:t>
      </w:r>
      <w:r>
        <w:t xml:space="preserve">was 0.127 [−0.006, 0.261], with raw agreement 0.565. Weighted to the population, the judge labelled 0.886 of answers as supported, against 0.620 for the author, and its precision for the label supported was 0.636. Under the registered rule (</w:t>
      </w:r>
      <m:oMath>
        <m:r>
          <m:t>κ</m:t>
        </m:r>
        <m:r>
          <m:rPr>
            <m:sty m:val="p"/>
          </m:rPr>
          <m:t>&lt;</m:t>
        </m:r>
        <m:r>
          <m:t>0.2</m:t>
        </m:r>
      </m:oMath>
      <w:r>
        <w:t xml:space="preserve">) we excluded the judge’s faithfulness labels from all conclusions. For completeness, Table </w:t>
      </w:r>
      <w:hyperlink w:anchor="tab:judgerates">
        <w:r>
          <w:rPr>
            <w:rStyle w:val="Hyperlink"/>
          </w:rPr>
          <w:t xml:space="preserve">11</w:t>
        </w:r>
      </w:hyperlink>
      <w:r>
        <w:t xml:space="preserve"> </w:t>
      </w:r>
      <w:r>
        <w:t xml:space="preserve">in the appendix lists the share of answers the judge labelled as supported, and Appendix </w:t>
      </w:r>
      <w:hyperlink w:anchor="app:judge">
        <w:r>
          <w:rPr>
            <w:rStyle w:val="Hyperlink"/>
          </w:rPr>
          <w:t xml:space="preserve">10</w:t>
        </w:r>
      </w:hyperlink>
      <w:r>
        <w:t xml:space="preserve"> </w:t>
      </w:r>
      <w:r>
        <w:t xml:space="preserve">gives the judge prompt and the annotation instructions.</w:t>
      </w:r>
    </w:p>
    <w:bookmarkStart w:id="106" w:name="tab:judge"/>
    <w:p>
      <w:pPr>
        <w:pStyle w:val="TableCaption"/>
      </w:pPr>
      <w:r>
        <w:t xml:space="preserve">Agreement between the author’s labels and the LLM judge on 200 stratified items.</w:t>
      </w:r>
    </w:p>
    <w:tbl>
      <w:tblPr>
        <w:tblStyle w:val="Table"/>
        <w:tblW w:type="auto" w:w="0"/>
        <w:tblLook w:firstRow="1" w:lastRow="0" w:firstColumn="0" w:lastColumn="0" w:noHBand="0" w:noVBand="0" w:val="0020"/>
        <w:jc w:val="start"/>
        <w:tblCaption w:val="Agreement between the author’s labels and the LLM judge on 200 stratified items."/>
      </w:tblPr>
      <w:tblGrid>
        <w:gridCol w:w="2640"/>
        <w:gridCol w:w="2640"/>
        <w:gridCol w:w="2640"/>
      </w:tblGrid>
      <w:tr>
        <w:trPr>
          <w:tblHeader w:val="true"/>
        </w:trPr>
        <w:tc>
          <w:tcPr/>
          <w:p>
            <w:pPr>
              <w:pStyle w:val="Compact"/>
            </w:pPr>
          </w:p>
        </w:tc>
        <w:tc>
          <w:tcPr/>
          <w:p>
            <w:pPr>
              <w:pStyle w:val="Compact"/>
              <w:jc w:val="center"/>
            </w:pPr>
            <w:r>
              <w:t xml:space="preserve">Judge SUPPORTED</w:t>
            </w:r>
          </w:p>
        </w:tc>
        <w:tc>
          <w:tcPr/>
          <w:p>
            <w:pPr>
              <w:pStyle w:val="Compact"/>
              <w:jc w:val="center"/>
            </w:pPr>
            <w:r>
              <w:t xml:space="preserve">Judge NOT_SUPPORTED</w:t>
            </w:r>
          </w:p>
        </w:tc>
      </w:tr>
      <w:tr>
        <w:tc>
          <w:tcPr/>
          <w:p>
            <w:pPr>
              <w:pStyle w:val="Compact"/>
              <w:jc w:val="left"/>
            </w:pPr>
            <w:r>
              <w:t xml:space="preserve">Human SUPPORTED</w:t>
            </w:r>
          </w:p>
        </w:tc>
        <w:tc>
          <w:tcPr/>
          <w:p>
            <w:pPr>
              <w:pStyle w:val="Compact"/>
              <w:jc w:val="center"/>
            </w:pPr>
            <w:r>
              <w:t xml:space="preserve">65</w:t>
            </w:r>
          </w:p>
        </w:tc>
        <w:tc>
          <w:tcPr/>
          <w:p>
            <w:pPr>
              <w:pStyle w:val="Compact"/>
              <w:jc w:val="center"/>
            </w:pPr>
            <w:r>
              <w:t xml:space="preserve">50</w:t>
            </w:r>
          </w:p>
        </w:tc>
      </w:tr>
      <w:tr>
        <w:tc>
          <w:tcPr/>
          <w:p>
            <w:pPr>
              <w:pStyle w:val="Compact"/>
              <w:jc w:val="left"/>
            </w:pPr>
            <w:r>
              <w:t xml:space="preserve">Human NOT_SUPPORTED</w:t>
            </w:r>
          </w:p>
        </w:tc>
        <w:tc>
          <w:tcPr/>
          <w:p>
            <w:pPr>
              <w:pStyle w:val="Compact"/>
              <w:jc w:val="center"/>
            </w:pPr>
            <w:r>
              <w:t xml:space="preserve">37</w:t>
            </w:r>
          </w:p>
        </w:tc>
        <w:tc>
          <w:tcPr/>
          <w:p>
            <w:pPr>
              <w:pStyle w:val="Compact"/>
              <w:jc w:val="center"/>
            </w:pPr>
            <w:r>
              <w:t xml:space="preserve">48</w:t>
            </w:r>
          </w:p>
        </w:tc>
      </w:tr>
    </w:tbl>
    <w:bookmarkEnd w:id="106"/>
    <w:p>
      <w:pPr>
        <w:pStyle w:val="BodyText"/>
      </w:pPr>
      <w:r>
        <w:rPr>
          <w:iCs/>
          <w:i/>
        </w:rPr>
        <w:t xml:space="preserve">Cohen’s</w:t>
      </w:r>
      <w:r>
        <w:rPr>
          <w:iCs/>
          <w:i/>
        </w:rPr>
        <w:t xml:space="preserve"> </w:t>
      </w:r>
      <m:oMath>
        <m:r>
          <m:t>κ</m:t>
        </m:r>
      </m:oMath>
      <w:r>
        <w:rPr>
          <w:iCs/>
          <w:i/>
        </w:rPr>
        <w:t xml:space="preserve"> </w:t>
      </w:r>
      <w:r>
        <w:rPr>
          <w:iCs/>
          <w:i/>
        </w:rPr>
        <w:t xml:space="preserve">= 0.127 [</w:t>
      </w:r>
      <m:oMath>
        <m:r>
          <m:rPr>
            <m:sty m:val="p"/>
          </m:rPr>
          <m:t>−</m:t>
        </m:r>
      </m:oMath>
      <w:r>
        <w:rPr>
          <w:iCs/>
          <w:i/>
        </w:rPr>
        <w:t xml:space="preserve">0.006, 0.261]; raw agreement 0.565. Under the pre-registered rule (</w:t>
      </w:r>
      <m:oMath>
        <m:r>
          <m:t>κ</m:t>
        </m:r>
        <m:r>
          <m:rPr>
            <m:sty m:val="p"/>
          </m:rPr>
          <m:t>&lt;</m:t>
        </m:r>
        <m:r>
          <m:t>0.2</m:t>
        </m:r>
      </m:oMath>
      <w:r>
        <w:rPr>
          <w:iCs/>
          <w:i/>
        </w:rPr>
        <w:t xml:space="preserve">) the judge results are excluded from the conclusions.</w:t>
      </w:r>
    </w:p>
    <w:bookmarkEnd w:id="107"/>
    <w:bookmarkStart w:id="108" w:name="summary-of-the-predictions"/>
    <w:p>
      <w:pPr>
        <w:pStyle w:val="Heading2"/>
      </w:pPr>
      <w:r>
        <w:t xml:space="preserve">Summary of the predictions</w:t>
      </w:r>
    </w:p>
    <w:p>
      <w:pPr>
        <w:pStyle w:val="FirstParagraph"/>
      </w:pPr>
      <w:r>
        <w:t xml:space="preserve">Table </w:t>
      </w:r>
      <w:hyperlink w:anchor="tab:predictions">
        <w:r>
          <w:rPr>
            <w:rStyle w:val="Hyperlink"/>
          </w:rPr>
          <w:t xml:space="preserve">[tab:predictions]</w:t>
        </w:r>
      </w:hyperlink>
      <w:r>
        <w:t xml:space="preserve"> </w:t>
      </w:r>
      <w:r>
        <w:t xml:space="preserve">lists all six predictions. P3, P4 and P5 held. P1 failed in one of three new cells, P2 failed in both HotpotQA cells, and P6 failed. Where a verdict is not confirmatory, the table marks it.</w:t>
      </w:r>
    </w:p>
    <w:tbl>
      <w:tblPr>
        <w:tblStyle w:val="Table"/>
        <w:tblW w:type="pct" w:w="2750"/>
        <w:tblLook w:firstRow="1" w:lastRow="0" w:firstColumn="0" w:lastColumn="0" w:noHBand="0" w:noVBand="0" w:val="0020"/>
        <w:jc w:val="start"/>
      </w:tblPr>
      <w:tblGrid>
        <w:gridCol w:w="0"/>
        <w:gridCol w:w="0"/>
        <w:gridCol w:w="0"/>
        <w:gridCol w:w="4356"/>
      </w:tblGrid>
      <w:tr>
        <w:trPr>
          <w:tblHeader w:val="true"/>
        </w:trPr>
        <w:tc>
          <w:tcPr/>
          <w:p>
            <w:pPr>
              <w:pStyle w:val="Compact"/>
              <w:jc w:val="left"/>
            </w:pPr>
            <w:r>
              <w:t xml:space="preserve">ID</w:t>
            </w:r>
          </w:p>
        </w:tc>
        <w:tc>
          <w:tcPr/>
          <w:p>
            <w:pPr>
              <w:pStyle w:val="Compact"/>
              <w:jc w:val="left"/>
            </w:pPr>
            <w:r>
              <w:t xml:space="preserve">Scope</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P1</w:t>
            </w:r>
          </w:p>
        </w:tc>
        <w:tc>
          <w:tcPr/>
          <w:p>
            <w:pPr>
              <w:pStyle w:val="Compact"/>
              <w:jc w:val="left"/>
            </w:pPr>
            <w:r>
              <w:t xml:space="preserve">NQ, Qwen</w:t>
            </w:r>
            <m:oMath>
              <m:sSup>
                <m:e>
                  <m:r>
                    <m:t>​</m:t>
                  </m:r>
                </m:e>
                <m:sup>
                  <m:r>
                    <m:rPr>
                      <m:sty m:val="p"/>
                    </m:rPr>
                    <m:t>†</m:t>
                  </m:r>
                </m:sup>
              </m:sSup>
            </m:oMath>
          </w:p>
        </w:tc>
        <w:tc>
          <w:tcPr/>
          <w:p>
            <w:pPr>
              <w:pStyle w:val="Compact"/>
              <w:jc w:val="left"/>
            </w:pPr>
            <w:r>
              <w:t xml:space="preserve">holds</w:t>
            </w:r>
          </w:p>
        </w:tc>
        <w:tc>
          <w:tcPr/>
          <w:p>
            <w:pPr>
              <w:pStyle w:val="Compact"/>
              <w:jc w:val="left"/>
            </w:pPr>
            <w:r>
              <w:t xml:space="preserve">6 ratios; largest upper bound 0.455 (Qwen3-Emb-0.6B)</w:t>
            </w:r>
          </w:p>
        </w:tc>
      </w:tr>
      <w:tr>
        <w:tc>
          <w:tcPr/>
          <w:p>
            <w:pPr>
              <w:pStyle w:val="Compact"/>
              <w:jc w:val="left"/>
            </w:pPr>
            <w:r>
              <w:t xml:space="preserve">P1</w:t>
            </w:r>
          </w:p>
        </w:tc>
        <w:tc>
          <w:tcPr/>
          <w:p>
            <w:pPr>
              <w:pStyle w:val="Compact"/>
              <w:jc w:val="left"/>
            </w:pPr>
            <w:r>
              <w:t xml:space="preserve">NQ, Llama</w:t>
            </w:r>
          </w:p>
        </w:tc>
        <w:tc>
          <w:tcPr/>
          <w:p>
            <w:pPr>
              <w:pStyle w:val="Compact"/>
              <w:jc w:val="left"/>
            </w:pPr>
            <w:r>
              <w:t xml:space="preserve">holds</w:t>
            </w:r>
          </w:p>
        </w:tc>
        <w:tc>
          <w:tcPr/>
          <w:p>
            <w:pPr>
              <w:pStyle w:val="Compact"/>
              <w:jc w:val="left"/>
            </w:pPr>
            <w:r>
              <w:t xml:space="preserve">6 ratios; largest upper bound 0.427 (bge-small)</w:t>
            </w:r>
          </w:p>
        </w:tc>
      </w:tr>
      <w:tr>
        <w:tc>
          <w:tcPr/>
          <w:p>
            <w:pPr>
              <w:pStyle w:val="Compact"/>
              <w:jc w:val="left"/>
            </w:pPr>
            <w:r>
              <w:t xml:space="preserve">P1</w:t>
            </w:r>
          </w:p>
        </w:tc>
        <w:tc>
          <w:tcPr/>
          <w:p>
            <w:pPr>
              <w:pStyle w:val="Compact"/>
              <w:jc w:val="left"/>
            </w:pPr>
            <w:r>
              <w:t xml:space="preserve">HotpotQA, Qwen</w:t>
            </w:r>
          </w:p>
        </w:tc>
        <w:tc>
          <w:tcPr/>
          <w:p>
            <w:pPr>
              <w:pStyle w:val="Compact"/>
              <w:jc w:val="left"/>
            </w:pPr>
            <w:r>
              <w:t xml:space="preserve">holds</w:t>
            </w:r>
          </w:p>
        </w:tc>
        <w:tc>
          <w:tcPr/>
          <w:p>
            <w:pPr>
              <w:pStyle w:val="Compact"/>
              <w:jc w:val="left"/>
            </w:pPr>
            <w:r>
              <w:t xml:space="preserve">5 ratios; largest upper bound 0.996 (bge-large)</w:t>
            </w:r>
          </w:p>
        </w:tc>
      </w:tr>
      <w:tr>
        <w:tc>
          <w:tcPr/>
          <w:p>
            <w:pPr>
              <w:pStyle w:val="Compact"/>
              <w:jc w:val="left"/>
            </w:pPr>
            <w:r>
              <w:t xml:space="preserve">P1</w:t>
            </w:r>
          </w:p>
        </w:tc>
        <w:tc>
          <w:tcPr/>
          <w:p>
            <w:pPr>
              <w:pStyle w:val="Compact"/>
              <w:jc w:val="left"/>
            </w:pPr>
            <w:r>
              <w:t xml:space="preserve">HotpotQA, Llama</w:t>
            </w:r>
          </w:p>
        </w:tc>
        <w:tc>
          <w:tcPr/>
          <w:p>
            <w:pPr>
              <w:pStyle w:val="Compact"/>
              <w:jc w:val="left"/>
            </w:pPr>
            <w:r>
              <w:rPr>
                <w:bCs/>
                <w:b/>
              </w:rPr>
              <w:t xml:space="preserve">fails</w:t>
            </w:r>
          </w:p>
        </w:tc>
        <w:tc>
          <w:tcPr/>
          <w:p>
            <w:pPr>
              <w:pStyle w:val="Compact"/>
              <w:jc w:val="left"/>
            </w:pPr>
            <w:r>
              <w:t xml:space="preserve">5 ratios; largest upper bound 1.096 (bge-large)</w:t>
            </w:r>
          </w:p>
        </w:tc>
      </w:tr>
      <w:tr>
        <w:tc>
          <w:tcPr/>
          <w:p>
            <w:pPr>
              <w:pStyle w:val="Compact"/>
              <w:jc w:val="left"/>
            </w:pPr>
            <w:r>
              <w:t xml:space="preserve">P2</w:t>
            </w:r>
          </w:p>
        </w:tc>
        <w:tc>
          <w:tcPr/>
          <w:p>
            <w:pPr>
              <w:pStyle w:val="Compact"/>
              <w:jc w:val="left"/>
            </w:pPr>
            <w:r>
              <w:t xml:space="preserve">NQ, Qwen</w:t>
            </w:r>
            <m:oMath>
              <m:sSup>
                <m:e>
                  <m:r>
                    <m:t>​</m:t>
                  </m:r>
                </m:e>
                <m:sup>
                  <m:r>
                    <m:rPr>
                      <m:sty m:val="p"/>
                    </m:rPr>
                    <m:t>†</m:t>
                  </m:r>
                </m:sup>
              </m:sSup>
            </m:oMath>
          </w:p>
        </w:tc>
        <w:tc>
          <w:tcPr/>
          <w:p>
            <w:pPr>
              <w:pStyle w:val="Compact"/>
              <w:jc w:val="left"/>
            </w:pPr>
            <w:r>
              <w:t xml:space="preserve">holds</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0.006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0.018 (</w:t>
            </w:r>
            <m:oMath>
              <m:sSub>
                <m:e>
                  <m:r>
                    <m:t>p</m:t>
                  </m:r>
                </m:e>
                <m:sub>
                  <m:r>
                    <m:rPr>
                      <m:nor/>
                      <m:sty m:val="p"/>
                    </m:rPr>
                    <m:t>Holm</m:t>
                  </m:r>
                </m:sub>
              </m:sSub>
            </m:oMath>
            <w:r>
              <w:t xml:space="preserve"> </w:t>
            </w:r>
            <w:r>
              <w:t xml:space="preserve">0.271)</w:t>
            </w:r>
          </w:p>
        </w:tc>
      </w:tr>
      <w:tr>
        <w:tc>
          <w:tcPr/>
          <w:p>
            <w:pPr>
              <w:pStyle w:val="Compact"/>
              <w:jc w:val="left"/>
            </w:pPr>
            <w:r>
              <w:t xml:space="preserve">P2</w:t>
            </w:r>
          </w:p>
        </w:tc>
        <w:tc>
          <w:tcPr/>
          <w:p>
            <w:pPr>
              <w:pStyle w:val="Compact"/>
              <w:jc w:val="left"/>
            </w:pPr>
            <w:r>
              <w:t xml:space="preserve">NQ, Llama</w:t>
            </w:r>
          </w:p>
        </w:tc>
        <w:tc>
          <w:tcPr/>
          <w:p>
            <w:pPr>
              <w:pStyle w:val="Compact"/>
              <w:jc w:val="left"/>
            </w:pPr>
            <w:r>
              <w:t xml:space="preserve">holds</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0.004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0.007 (</w:t>
            </w:r>
            <m:oMath>
              <m:sSub>
                <m:e>
                  <m:r>
                    <m:t>p</m:t>
                  </m:r>
                </m:e>
                <m:sub>
                  <m:r>
                    <m:rPr>
                      <m:nor/>
                      <m:sty m:val="p"/>
                    </m:rPr>
                    <m:t>Holm</m:t>
                  </m:r>
                </m:sub>
              </m:sSub>
            </m:oMath>
            <w:r>
              <w:t xml:space="preserve"> </w:t>
            </w:r>
            <w:r>
              <w:t xml:space="preserve">1.000)</w:t>
            </w:r>
          </w:p>
        </w:tc>
      </w:tr>
      <w:tr>
        <w:tc>
          <w:tcPr/>
          <w:p>
            <w:pPr>
              <w:pStyle w:val="Compact"/>
              <w:jc w:val="left"/>
            </w:pPr>
            <w:r>
              <w:t xml:space="preserve">P2</w:t>
            </w:r>
          </w:p>
        </w:tc>
        <w:tc>
          <w:tcPr/>
          <w:p>
            <w:pPr>
              <w:pStyle w:val="Compact"/>
              <w:jc w:val="left"/>
            </w:pPr>
            <w:r>
              <w:t xml:space="preserve">HotpotQA, Qwen</w:t>
            </w:r>
          </w:p>
        </w:tc>
        <w:tc>
          <w:tcPr/>
          <w:p>
            <w:pPr>
              <w:pStyle w:val="Compact"/>
              <w:jc w:val="left"/>
            </w:pPr>
            <w:r>
              <w:rPr>
                <w:bCs/>
                <w:b/>
              </w:rPr>
              <w:t xml:space="preserve">fails</w:t>
            </w:r>
          </w:p>
        </w:tc>
        <w:tc>
          <w:tcPr/>
          <w:p>
            <w:pPr>
              <w:pStyle w:val="Compact"/>
              <w:jc w:val="left"/>
            </w:pPr>
            <w:r>
              <w:t xml:space="preserve">bge-large</w:t>
            </w:r>
            <w:r>
              <w:t xml:space="preserve"> </w:t>
            </w:r>
            <m:oMath>
              <m:r>
                <m:rPr>
                  <m:sty m:val="p"/>
                </m:rPr>
                <m:t>−</m:t>
              </m:r>
            </m:oMath>
            <w:r>
              <w:t xml:space="preserve"> </w:t>
            </w:r>
            <w:r>
              <w:t xml:space="preserve">e5: +0.028 (</w:t>
            </w:r>
            <m:oMath>
              <m:sSub>
                <m:e>
                  <m:r>
                    <m:t>p</m:t>
                  </m:r>
                </m:e>
                <m:sub>
                  <m:r>
                    <m:rPr>
                      <m:nor/>
                      <m:sty m:val="p"/>
                    </m:rPr>
                    <m:t>Holm</m:t>
                  </m:r>
                </m:sub>
              </m:sSub>
            </m:oMath>
            <w:r>
              <w:t xml:space="preserve"> </w:t>
            </w:r>
            <w:r>
              <w:t xml:space="preserve">0.005); Qwen3-Emb-0.6B</w:t>
            </w:r>
            <w:r>
              <w:t xml:space="preserve"> </w:t>
            </w:r>
            <m:oMath>
              <m:r>
                <m:rPr>
                  <m:sty m:val="p"/>
                </m:rPr>
                <m:t>−</m:t>
              </m:r>
            </m:oMath>
            <w:r>
              <w:t xml:space="preserve"> </w:t>
            </w:r>
            <w:r>
              <w:t xml:space="preserve">e5:</w:t>
            </w:r>
            <w:r>
              <w:t xml:space="preserve"> </w:t>
            </w:r>
            <m:oMath>
              <m:r>
                <m:rPr>
                  <m:sty m:val="p"/>
                </m:rPr>
                <m:t>−</m:t>
              </m:r>
            </m:oMath>
            <w:r>
              <w:t xml:space="preserve">0.030 (</w:t>
            </w:r>
            <m:oMath>
              <m:sSub>
                <m:e>
                  <m:r>
                    <m:t>p</m:t>
                  </m:r>
                </m:e>
                <m:sub>
                  <m:r>
                    <m:rPr>
                      <m:nor/>
                      <m:sty m:val="p"/>
                    </m:rPr>
                    <m:t>Holm</m:t>
                  </m:r>
                </m:sub>
              </m:sSub>
            </m:oMath>
            <w:r>
              <w:t xml:space="preserve"> </w:t>
            </w:r>
            <w:r>
              <w:t xml:space="preserve">0.003)</w:t>
            </w:r>
          </w:p>
        </w:tc>
      </w:tr>
      <w:tr>
        <w:tc>
          <w:tcPr/>
          <w:p>
            <w:pPr>
              <w:pStyle w:val="Compact"/>
              <w:jc w:val="left"/>
            </w:pPr>
            <w:r>
              <w:t xml:space="preserve">P2</w:t>
            </w:r>
          </w:p>
        </w:tc>
        <w:tc>
          <w:tcPr/>
          <w:p>
            <w:pPr>
              <w:pStyle w:val="Compact"/>
              <w:jc w:val="left"/>
            </w:pPr>
            <w:r>
              <w:t xml:space="preserve">HotpotQA, Llama</w:t>
            </w:r>
          </w:p>
        </w:tc>
        <w:tc>
          <w:tcPr/>
          <w:p>
            <w:pPr>
              <w:pStyle w:val="Compact"/>
              <w:jc w:val="left"/>
            </w:pPr>
            <w:r>
              <w:rPr>
                <w:bCs/>
                <w:b/>
              </w:rPr>
              <w:t xml:space="preserve">fails</w:t>
            </w:r>
          </w:p>
        </w:tc>
        <w:tc>
          <w:tcPr/>
          <w:p>
            <w:pPr>
              <w:pStyle w:val="Compact"/>
              <w:jc w:val="left"/>
            </w:pPr>
            <w:r>
              <w:t xml:space="preserve">bge-large</w:t>
            </w:r>
            <w:r>
              <w:t xml:space="preserve"> </w:t>
            </w:r>
            <m:oMath>
              <m:r>
                <m:rPr>
                  <m:sty m:val="p"/>
                </m:rPr>
                <m:t>−</m:t>
              </m:r>
            </m:oMath>
            <w:r>
              <w:t xml:space="preserve"> </w:t>
            </w:r>
            <w:r>
              <w:t xml:space="preserve">e5: +0.022 (</w:t>
            </w:r>
            <m:oMath>
              <m:sSub>
                <m:e>
                  <m:r>
                    <m:t>p</m:t>
                  </m:r>
                </m:e>
                <m:sub>
                  <m:r>
                    <m:rPr>
                      <m:nor/>
                      <m:sty m:val="p"/>
                    </m:rPr>
                    <m:t>Holm</m:t>
                  </m:r>
                </m:sub>
              </m:sSub>
            </m:oMath>
            <w:r>
              <w:t xml:space="preserve"> </w:t>
            </w:r>
            <w:r>
              <w:t xml:space="preserve">0.040); Qwen3-Emb-0.6B</w:t>
            </w:r>
            <w:r>
              <w:t xml:space="preserve"> </w:t>
            </w:r>
            <m:oMath>
              <m:r>
                <m:rPr>
                  <m:sty m:val="p"/>
                </m:rPr>
                <m:t>−</m:t>
              </m:r>
            </m:oMath>
            <w:r>
              <w:t xml:space="preserve"> </w:t>
            </w:r>
            <w:r>
              <w:t xml:space="preserve">e5:</w:t>
            </w:r>
            <w:r>
              <w:t xml:space="preserve"> </w:t>
            </w:r>
            <m:oMath>
              <m:r>
                <m:rPr>
                  <m:sty m:val="p"/>
                </m:rPr>
                <m:t>−</m:t>
              </m:r>
            </m:oMath>
            <w:r>
              <w:t xml:space="preserve">0.042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P3</w:t>
            </w:r>
          </w:p>
        </w:tc>
        <w:tc>
          <w:tcPr/>
          <w:p>
            <w:pPr>
              <w:pStyle w:val="Compact"/>
              <w:jc w:val="left"/>
            </w:pPr>
            <w:r>
              <w:t xml:space="preserve">NQ, 4 retrievers</w:t>
            </w:r>
          </w:p>
        </w:tc>
        <w:tc>
          <w:tcPr/>
          <w:p>
            <w:pPr>
              <w:pStyle w:val="Compact"/>
              <w:jc w:val="left"/>
            </w:pPr>
            <w:r>
              <w:t xml:space="preserve">holds</w:t>
            </w:r>
          </w:p>
        </w:tc>
        <w:tc>
          <w:tcPr/>
          <w:p>
            <w:pPr>
              <w:pStyle w:val="Compact"/>
              <w:jc w:val="left"/>
            </w:pPr>
            <w:r>
              <w:t xml:space="preserve">Kendall’s</w:t>
            </w:r>
            <w:r>
              <w:t xml:space="preserve"> </w:t>
            </w:r>
            <m:oMath>
              <m:r>
                <m:t>τ</m:t>
              </m:r>
            </m:oMath>
            <w:r>
              <w:t xml:space="preserve"> </w:t>
            </w:r>
            <w:r>
              <w:t xml:space="preserve">= 1.00</w:t>
            </w:r>
          </w:p>
        </w:tc>
      </w:tr>
      <w:tr>
        <w:tc>
          <w:tcPr/>
          <w:p>
            <w:pPr>
              <w:pStyle w:val="Compact"/>
              <w:jc w:val="left"/>
            </w:pPr>
            <w:r>
              <w:t xml:space="preserve">P4</w:t>
            </w:r>
          </w:p>
        </w:tc>
        <w:tc>
          <w:tcPr/>
          <w:p>
            <w:pPr>
              <w:pStyle w:val="Compact"/>
              <w:jc w:val="left"/>
            </w:pPr>
            <w:r>
              <w:t xml:space="preserve">NQ, Qwen</w:t>
            </w:r>
          </w:p>
        </w:tc>
        <w:tc>
          <w:tcPr/>
          <w:p>
            <w:pPr>
              <w:pStyle w:val="Compact"/>
              <w:jc w:val="left"/>
            </w:pPr>
            <w:r>
              <w:t xml:space="preserve">holds</w:t>
            </w:r>
          </w:p>
        </w:tc>
        <w:tc>
          <w:tcPr/>
          <w:p>
            <w:pPr>
              <w:pStyle w:val="Compact"/>
              <w:jc w:val="left"/>
            </w:pPr>
            <m:oMath>
              <m:r>
                <m:t>k</m:t>
              </m:r>
              <m:r>
                <m:rPr>
                  <m:sty m:val="p"/>
                </m:rPr>
                <m:t>=</m:t>
              </m:r>
              <m:r>
                <m:t>1</m:t>
              </m:r>
            </m:oMath>
            <w:r>
              <w:t xml:space="preserve"> </w:t>
            </w:r>
            <w:r>
              <w:t xml:space="preserve">below</w:t>
            </w:r>
            <w:r>
              <w:t xml:space="preserve"> </w:t>
            </w:r>
            <m:oMath>
              <m:r>
                <m:t>k</m:t>
              </m:r>
              <m:r>
                <m:rPr>
                  <m:sty m:val="p"/>
                </m:rPr>
                <m:t>=</m:t>
              </m:r>
              <m:r>
                <m:t>5</m:t>
              </m:r>
            </m:oMath>
            <w:r>
              <w:t xml:space="preserve"> </w:t>
            </w:r>
            <w:r>
              <w:t xml:space="preserve">for all 7 retrievers</w:t>
            </w:r>
            <m:oMath>
              <m:sSup>
                <m:e>
                  <m:r>
                    <m:t>​</m:t>
                  </m:r>
                </m:e>
                <m:sup>
                  <m:r>
                    <m:rPr>
                      <m:sty m:val="p"/>
                    </m:rPr>
                    <m:t>‡</m:t>
                  </m:r>
                </m:sup>
              </m:sSup>
            </m:oMath>
            <w:r>
              <w:t xml:space="preserve">;</w:t>
            </w:r>
            <w:r>
              <w:t xml:space="preserve"> </w:t>
            </w:r>
            <m:oMath>
              <m:r>
                <m:t>Δ</m:t>
              </m:r>
            </m:oMath>
            <w:r>
              <w:t xml:space="preserve">EM</w:t>
            </w:r>
            <w:r>
              <w:t xml:space="preserve"> </w:t>
            </w:r>
            <m:oMath>
              <m:r>
                <m:rPr>
                  <m:sty m:val="p"/>
                </m:rPr>
                <m:t>−</m:t>
              </m:r>
            </m:oMath>
            <w:r>
              <w:t xml:space="preserve">0.126 to</w:t>
            </w:r>
            <w:r>
              <w:t xml:space="preserve"> </w:t>
            </w:r>
            <m:oMath>
              <m:r>
                <m:rPr>
                  <m:sty m:val="p"/>
                </m:rPr>
                <m:t>−</m:t>
              </m:r>
            </m:oMath>
            <w:r>
              <w:t xml:space="preserve">0.078; all</w:t>
            </w:r>
            <w:r>
              <w:t xml:space="preserve">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P5</w:t>
            </w:r>
          </w:p>
        </w:tc>
        <w:tc>
          <w:tcPr/>
          <w:p>
            <w:pPr>
              <w:pStyle w:val="Compact"/>
              <w:jc w:val="left"/>
            </w:pPr>
            <w:r>
              <w:t xml:space="preserve">NQ, Qwen, 500 q.</w:t>
            </w:r>
          </w:p>
        </w:tc>
        <w:tc>
          <w:tcPr/>
          <w:p>
            <w:pPr>
              <w:pStyle w:val="Compact"/>
              <w:jc w:val="left"/>
            </w:pPr>
            <w:r>
              <w:t xml:space="preserve">holds</w:t>
            </w:r>
          </w:p>
        </w:tc>
        <w:tc>
          <w:tcPr/>
          <w:p>
            <w:pPr>
              <w:pStyle w:val="Compact"/>
              <w:jc w:val="left"/>
            </w:pPr>
            <w:r>
              <w:t xml:space="preserve">hard vs random negatives:</w:t>
            </w:r>
            <w:r>
              <w:t xml:space="preserve"> </w:t>
            </w:r>
            <m:oMath>
              <m:r>
                <m:t>Δ</m:t>
              </m:r>
            </m:oMath>
            <w:r>
              <w:t xml:space="preserve">EM</w:t>
            </w:r>
            <w:r>
              <w:t xml:space="preserve"> </w:t>
            </w:r>
            <m:oMath>
              <m:r>
                <m:rPr>
                  <m:sty m:val="p"/>
                </m:rPr>
                <m:t>−</m:t>
              </m:r>
            </m:oMath>
            <w:r>
              <w:t xml:space="preserve">0.074,</w:t>
            </w:r>
            <w:r>
              <w:t xml:space="preserve"> </w:t>
            </w:r>
            <m:oMath>
              <m:r>
                <m:t>p</m:t>
              </m:r>
            </m:oMath>
            <w:r>
              <w:t xml:space="preserve"> </w:t>
            </w:r>
            <m:oMath>
              <m:r>
                <m:rPr>
                  <m:sty m:val="p"/>
                </m:rPr>
                <m:t>&lt;</m:t>
              </m:r>
            </m:oMath>
            <w:r>
              <w:t xml:space="preserve">0.001</w:t>
            </w:r>
          </w:p>
        </w:tc>
      </w:tr>
      <w:tr>
        <w:tc>
          <w:tcPr/>
          <w:p>
            <w:pPr>
              <w:pStyle w:val="Compact"/>
              <w:jc w:val="left"/>
            </w:pPr>
            <w:r>
              <w:t xml:space="preserve">P6</w:t>
            </w:r>
          </w:p>
        </w:tc>
        <w:tc>
          <w:tcPr/>
          <w:p>
            <w:pPr>
              <w:pStyle w:val="Compact"/>
              <w:jc w:val="left"/>
            </w:pPr>
            <w:r>
              <w:t xml:space="preserve">NQ, Qwen, 500 q.</w:t>
            </w:r>
          </w:p>
        </w:tc>
        <w:tc>
          <w:tcPr/>
          <w:p>
            <w:pPr>
              <w:pStyle w:val="Compact"/>
              <w:jc w:val="left"/>
            </w:pPr>
            <w:r>
              <w:rPr>
                <w:bCs/>
                <w:b/>
              </w:rPr>
              <w:t xml:space="preserve">fails</w:t>
            </w:r>
          </w:p>
        </w:tc>
        <w:tc>
          <w:tcPr/>
          <w:p>
            <w:pPr>
              <w:pStyle w:val="Compact"/>
              <w:jc w:val="left"/>
            </w:pPr>
            <w:r>
              <w:t xml:space="preserve">gold at position 1/3/5: largest</w:t>
            </w:r>
            <w:r>
              <w:t xml:space="preserve"> </w:t>
            </w:r>
            <m:oMath>
              <m:r>
                <m:rPr>
                  <m:sty m:val="p"/>
                </m:rPr>
                <m:t>|</m:t>
              </m:r>
              <m:r>
                <m:t>Δ</m:t>
              </m:r>
            </m:oMath>
            <w:r>
              <w:t xml:space="preserve">EM</w:t>
            </w:r>
            <m:oMath>
              <m:r>
                <m:rPr>
                  <m:sty m:val="p"/>
                </m:rPr>
                <m:t>|</m:t>
              </m:r>
            </m:oMath>
            <w:r>
              <w:t xml:space="preserve"> </w:t>
            </w:r>
            <w:r>
              <w:t xml:space="preserve">0.016; smallest</w:t>
            </w:r>
            <w:r>
              <w:t xml:space="preserve"> </w:t>
            </w:r>
            <m:oMath>
              <m:sSub>
                <m:e>
                  <m:r>
                    <m:t>p</m:t>
                  </m:r>
                </m:e>
                <m:sub>
                  <m:r>
                    <m:rPr>
                      <m:nor/>
                      <m:sty m:val="p"/>
                    </m:rPr>
                    <m:t>Holm</m:t>
                  </m:r>
                </m:sub>
              </m:sSub>
            </m:oMath>
            <w:r>
              <w:t xml:space="preserve"> </w:t>
            </w:r>
            <w:r>
              <w:t xml:space="preserve">0.94</w:t>
            </w:r>
          </w:p>
        </w:tc>
      </w:tr>
    </w:tbl>
    <w:p>
      <w:pPr>
        <w:pStyle w:val="BodyText"/>
      </w:pPr>
      <w:r>
        <w:rPr>
          <w:iCs/>
          <w:i/>
        </w:rPr>
        <w:t xml:space="preserve">P1: every reportable EM transfer ratio has an upper 95% bound below 1. P2: no Holm-significant EM gain of bge-large or Qwen3-Emb-0.6B over e5-base-v2. P3: the full corpus keeps the nDCG@10 ordering. P4: EM at</w:t>
      </w:r>
      <w:r>
        <w:rPr>
          <w:iCs/>
          <w:i/>
        </w:rPr>
        <w:t xml:space="preserve"> </w:t>
      </w:r>
      <m:oMath>
        <m:r>
          <m:t>k</m:t>
        </m:r>
        <m:r>
          <m:rPr>
            <m:sty m:val="p"/>
          </m:rPr>
          <m:t>=</m:t>
        </m:r>
        <m:r>
          <m:t>1</m:t>
        </m:r>
      </m:oMath>
      <w:r>
        <w:rPr>
          <w:iCs/>
          <w:i/>
        </w:rPr>
        <w:t xml:space="preserve"> </w:t>
      </w:r>
      <w:r>
        <w:rPr>
          <w:iCs/>
          <w:i/>
        </w:rPr>
        <w:t xml:space="preserve">below</w:t>
      </w:r>
      <w:r>
        <w:rPr>
          <w:iCs/>
          <w:i/>
        </w:rPr>
        <w:t xml:space="preserve"> </w:t>
      </w:r>
      <m:oMath>
        <m:r>
          <m:t>k</m:t>
        </m:r>
        <m:r>
          <m:rPr>
            <m:sty m:val="p"/>
          </m:rPr>
          <m:t>=</m:t>
        </m:r>
        <m:r>
          <m:t>5</m:t>
        </m:r>
      </m:oMath>
      <w:r>
        <w:rPr>
          <w:iCs/>
          <w:i/>
        </w:rPr>
        <w:t xml:space="preserve">. P5: hard negatives lower EM. P6: gold position changes EM.</w:t>
      </w:r>
      <w:r>
        <w:rPr>
          <w:iCs/>
          <w:i/>
        </w:rPr>
        <w:t xml:space="preserve"> </w:t>
      </w:r>
      <m:oMath>
        <m:sSup>
          <m:e>
            <m:r>
              <m:t>​</m:t>
            </m:r>
          </m:e>
          <m:sup>
            <m:r>
              <m:rPr>
                <m:sty m:val="p"/>
              </m:rPr>
              <m:t>†</m:t>
            </m:r>
          </m:sup>
        </m:sSup>
      </m:oMath>
      <w:r>
        <w:rPr>
          <w:iCs/>
          <w:i/>
        </w:rPr>
        <w:t xml:space="preserve">Not confirmatory: this cell was observed in Phase 1 of the study, before the predictions were registered.</w:t>
      </w:r>
      <w:r>
        <w:rPr>
          <w:iCs/>
          <w:i/>
        </w:rPr>
        <w:t xml:space="preserve"> </w:t>
      </w:r>
      <m:oMath>
        <m:sSup>
          <m:e>
            <m:r>
              <m:t>​</m:t>
            </m:r>
          </m:e>
          <m:sup>
            <m:r>
              <m:rPr>
                <m:sty m:val="p"/>
              </m:rPr>
              <m:t>‡</m:t>
            </m:r>
          </m:sup>
        </m:sSup>
      </m:oMath>
      <w:r>
        <w:rPr>
          <w:iCs/>
          <w:i/>
        </w:rPr>
        <w:t xml:space="preserve">Confirmatory for bge-small, bge-base, e5-base-v2 and Qwen3-Emb-0.6B only; the other three were observed before registration.</w:t>
      </w:r>
    </w:p>
    <w:bookmarkEnd w:id="108"/>
    <w:bookmarkEnd w:id="109"/>
    <w:bookmarkStart w:id="114" w:name="sec:discussion"/>
    <w:p>
      <w:pPr>
        <w:pStyle w:val="Heading1"/>
      </w:pPr>
      <w:r>
        <w:t xml:space="preserve">Discussion</w:t>
      </w:r>
    </w:p>
    <w:bookmarkStart w:id="110" w:name="what-the-transfer-ratio-shows"/>
    <w:p>
      <w:pPr>
        <w:pStyle w:val="Heading2"/>
      </w:pPr>
      <w:r>
        <w:t xml:space="preserve">What the transfer ratio shows</w:t>
      </w:r>
    </w:p>
    <w:p>
      <w:pPr>
        <w:pStyle w:val="FirstParagraph"/>
      </w:pPr>
      <w:r>
        <w:t xml:space="preserve">On single-hop NQ, a retrieval gain over a small encoder reached the answer at a rate of 0.16 to 0.27 EM points per Hit@5 point, with both readers. Three observations within our setup are consistent with this. (i) The readers fell well short of their gold-passage bound even with good retrieval, so part of the loss lies in reading, not retrieval. (ii) EM given a miss stayed far above closed-book EM. The NQ relevance labels are sparse, so many</w:t>
      </w:r>
      <w:r>
        <w:t xml:space="preserve"> </w:t>
      </w:r>
      <w:r>
        <w:t xml:space="preserve">“</w:t>
      </w:r>
      <w:r>
        <w:t xml:space="preserve">misses</w:t>
      </w:r>
      <w:r>
        <w:t xml:space="preserve">”</w:t>
      </w:r>
      <w:r>
        <w:t xml:space="preserve"> </w:t>
      </w:r>
      <w:r>
        <w:t xml:space="preserve">likely still contained an answer-bearing passage that was not labelled gold, or the reader knew the answer. Hit@5 may therefore overstate the difference between encoders that matters for the reader. (iii) EM given a hit fell slightly as encoders improved, which suggests that the questions that a better encoder newly solves at the retrieval stage are harder to answer. This last point is a hypothesis; we did not test which questions changed status.</w:t>
      </w:r>
    </w:p>
    <w:p>
      <w:pPr>
        <w:pStyle w:val="BodyText"/>
      </w:pPr>
      <w:r>
        <w:t xml:space="preserve">On multi-hop HotpotQA, Hit@5 saturated while Both@5 did not. Between 48% and 70% of the transfer came from higher EM given a hit, and the EM ranking of retrievers followed Both@5 exactly. A reasonable reading is that, for bridge questions, the second supporting passage carries the answer, and Hit@5 does not count it. Under this reading the large HotpotQA ratios are partly an artefact of the denominator: the true retrieval gain is larger than Hit@5 shows. The comparison questions, where both entities are named in the question, were close to their gold bound for every dense encoder. Teams that build multi-hop systems may therefore prefer to measure retrieval with a metric that requires all needed evidence.</w:t>
      </w:r>
    </w:p>
    <w:p>
      <w:pPr>
        <w:pStyle w:val="BodyText"/>
      </w:pPr>
      <w:r>
        <w:t xml:space="preserve">The two datasets thus support different conclusions about the same encoders. A team that judges encoders by single-hop retrieval benchmarks may overrate the answer value of the strongest ones. A team with multi-hop questions may underrate it if it uses Hit@k.</w:t>
      </w:r>
    </w:p>
    <w:bookmarkEnd w:id="110"/>
    <w:bookmarkStart w:id="111" w:name="comparison-with-earlier-work"/>
    <w:p>
      <w:pPr>
        <w:pStyle w:val="Heading2"/>
      </w:pPr>
      <w:r>
        <w:t xml:space="preserve">Comparison with earlier work</w:t>
      </w:r>
    </w:p>
    <w:p>
      <w:pPr>
        <w:pStyle w:val="FirstParagraph"/>
      </w:pPr>
      <w:r>
        <w:t xml:space="preserve">Our NQ results agree with reports that retrieval gains do not carry over fully to answers</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ghosh2026evidence">
        <w:r>
          <w:rPr>
            <w:rStyle w:val="Hyperlink"/>
          </w:rPr>
          <w:t xml:space="preserve">Ghosh, Mukhopadhyay, and Chatterjee 2026</w:t>
        </w:r>
      </w:hyperlink>
      <w:r>
        <w:t xml:space="preserve">)</w:t>
      </w:r>
      <w:r>
        <w:t xml:space="preserve"> </w:t>
      </w:r>
      <w:r>
        <w:t xml:space="preserve">and with the falling recall conversion rate reported by</w:t>
      </w:r>
      <w:r>
        <w:t xml:space="preserve"> </w:t>
      </w:r>
      <w:r>
        <w:t xml:space="preserve">Peng et al. (</w:t>
      </w:r>
      <w:hyperlink w:anchor="ref-peng2026neocorrag">
        <w:r>
          <w:rPr>
            <w:rStyle w:val="Hyperlink"/>
          </w:rPr>
          <w:t xml:space="preserve">2026</w:t>
        </w:r>
      </w:hyperlink>
      <w:r>
        <w:t xml:space="preserve">)</w:t>
      </w:r>
      <w:r>
        <w:t xml:space="preserve">. They do not contradict the strong correlations reported by</w:t>
      </w:r>
      <w:r>
        <w:t xml:space="preserve"> </w:t>
      </w:r>
      <w:r>
        <w:t xml:space="preserve">Samuel et al. (</w:t>
      </w:r>
      <w:hyperlink w:anchor="ref-samuel2026beyond">
        <w:r>
          <w:rPr>
            <w:rStyle w:val="Hyperlink"/>
          </w:rPr>
          <w:t xml:space="preserve">2026</w:t>
        </w:r>
      </w:hyperlink>
      <w:r>
        <w:t xml:space="preserve">)</w:t>
      </w:r>
      <w:r>
        <w:t xml:space="preserve">: the EM ranking of retrievers followed their Hit@5 ranking closely in every cell (Spearman</w:t>
      </w:r>
      <w:r>
        <w:t xml:space="preserve"> </w:t>
      </w:r>
      <m:oMath>
        <m:r>
          <m:t>ρ</m:t>
        </m:r>
      </m:oMath>
      <w:r>
        <w:t xml:space="preserve"> </w:t>
      </w:r>
      <w:r>
        <w:t xml:space="preserve">between 0.89 and 1.00). Correlation concerns the order of systems; the transfer ratio concerns the size of the gain. A metric can rank encoders correctly and still overstate how much answers improve.</w:t>
      </w:r>
    </w:p>
    <w:p>
      <w:pPr>
        <w:pStyle w:val="BodyText"/>
      </w:pPr>
      <w:r>
        <w:t xml:space="preserve">The context experiment agrees with earlier findings on distraction. Top-ranked non-gold passages lowered EM compared with random passages</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repantis2026competition">
        <w:r>
          <w:rPr>
            <w:rStyle w:val="Hyperlink"/>
          </w:rPr>
          <w:t xml:space="preserve">Repantis et al. 2026</w:t>
        </w:r>
      </w:hyperlink>
      <w:r>
        <w:t xml:space="preserve">)</w:t>
      </w:r>
      <w:r>
        <w:t xml:space="preserve">, and random passages did not hurt. Gold position showed no detectable effect among five passages, in line with</w:t>
      </w:r>
      <w:r>
        <w:t xml:space="preserve"> </w:t>
      </w:r>
      <w:r>
        <w:t xml:space="preserve">Cuconasu et al. (</w:t>
      </w:r>
      <w:hyperlink w:anchor="ref-cuconasu2025positional">
        <w:r>
          <w:rPr>
            <w:rStyle w:val="Hyperlink"/>
          </w:rPr>
          <w:t xml:space="preserve">2025</w:t>
        </w:r>
      </w:hyperlink>
      <w:r>
        <w:t xml:space="preserve">)</w:t>
      </w:r>
      <w:r>
        <w:t xml:space="preserve">; with five short passages our setting is far from the long contexts in which position effects were originally shown</w:t>
      </w:r>
      <w:r>
        <w:t xml:space="preserve"> </w:t>
      </w:r>
      <w:r>
        <w:t xml:space="preserve">(</w:t>
      </w:r>
      <w:hyperlink w:anchor="ref-liu2024lost">
        <w:r>
          <w:rPr>
            <w:rStyle w:val="Hyperlink"/>
          </w:rPr>
          <w:t xml:space="preserve">Liu et al. 2024</w:t>
        </w:r>
      </w:hyperlink>
      <w:r>
        <w:t xml:space="preserve">)</w:t>
      </w:r>
      <w:r>
        <w:t xml:space="preserve">. The near-identical results of exact and approximate search agree with</w:t>
      </w:r>
      <w:r>
        <w:t xml:space="preserve"> </w:t>
      </w:r>
      <w:r>
        <w:t xml:space="preserve">Leto et al. (</w:t>
      </w:r>
      <w:hyperlink w:anchor="ref-leto2024toward">
        <w:r>
          <w:rPr>
            <w:rStyle w:val="Hyperlink"/>
          </w:rPr>
          <w:t xml:space="preserve">2024</w:t>
        </w:r>
      </w:hyperlink>
      <w:r>
        <w:t xml:space="preserve">)</w:t>
      </w:r>
      <w:r>
        <w:t xml:space="preserve">.</w:t>
      </w:r>
    </w:p>
    <w:bookmarkEnd w:id="111"/>
    <w:bookmarkStart w:id="112" w:name="practical-implications"/>
    <w:p>
      <w:pPr>
        <w:pStyle w:val="Heading2"/>
      </w:pPr>
      <w:r>
        <w:t xml:space="preserve">Practical implications</w:t>
      </w:r>
    </w:p>
    <w:p>
      <w:pPr>
        <w:pStyle w:val="FirstParagraph"/>
      </w:pPr>
      <w:r>
        <w:t xml:space="preserve">Within our setup, the choice of encoder mattered less for answers than for retrieval, while its cost differed by more than an order of magnitude. For single-hop questions, a base-size encoder such as e5-base-v2 or bge-base gave answers that no larger encoder improved detectably, while encoding 2.9 times faster than bge-large. For multi-hop questions, bge-large gave a small but detectable gain. Qwen3-Embedding-0.6B was the most expensive encoder and gave lower EM than e5-base-v2 on HotpotQA; its instruction and length settings may not suit this task, and we did not tune them. Retrieving ten passages instead of five raised EM for most retrievers and narrowed their differences, which is another lever when the reader’s context allows it, although it nearly doubles the prompt the reader must process. A cross-encoder helped the weak BM25 retrieval stage but not a strong dense one. Approximate search can replace exact search at no measurable cost in answers.</w:t>
      </w:r>
    </w:p>
    <w:bookmarkEnd w:id="112"/>
    <w:bookmarkStart w:id="113" w:name="alternative-explanations"/>
    <w:p>
      <w:pPr>
        <w:pStyle w:val="Heading2"/>
      </w:pPr>
      <w:r>
        <w:t xml:space="preserve">Alternative explanations</w:t>
      </w:r>
    </w:p>
    <w:p>
      <w:pPr>
        <w:pStyle w:val="FirstParagraph"/>
      </w:pPr>
      <w:r>
        <w:t xml:space="preserve">Several features of the design could produce low NQ transfer without a property of the encoders. EM undercounts correct answers</w:t>
      </w:r>
      <w:r>
        <w:t xml:space="preserve"> </w:t>
      </w:r>
      <w:r>
        <w:t xml:space="preserve">(</w:t>
      </w:r>
      <w:hyperlink w:anchor="ref-kamalloo2023">
        <w:r>
          <w:rPr>
            <w:rStyle w:val="Hyperlink"/>
          </w:rPr>
          <w:t xml:space="preserve">Kamalloo et al. 2023</w:t>
        </w:r>
      </w:hyperlink>
      <w:r>
        <w:t xml:space="preserve">)</w:t>
      </w:r>
      <w:r>
        <w:t xml:space="preserve">; the F1 and containment ratios were higher but showed the same contrast between datasets. The sub-corpus inflates dense retrieval scores, but the full-corpus check kept the order of four retrievers, and the inflation was similar for the three dense encoders tested (0.083 to 0.086 in nDCG@10). The readers were 4-bit quantised 7–8B models with one prompt; stronger readers may convert hits into answers at a different rate. The baseline encoder also matters:</w:t>
      </w:r>
      <w:r>
        <w:t xml:space="preserve"> </w:t>
      </w:r>
      <m:oMath>
        <m:r>
          <m:t>T</m:t>
        </m:r>
        <m:d>
          <m:dPr>
            <m:begChr m:val="("/>
            <m:endChr m:val=")"/>
            <m:sepChr m:val=""/>
            <m:grow/>
          </m:dPr>
          <m:e>
            <m:r>
              <m:t>R</m:t>
            </m:r>
          </m:e>
        </m:d>
      </m:oMath>
      <w:r>
        <w:t xml:space="preserve"> </w:t>
      </w:r>
      <w:r>
        <w:t xml:space="preserve">against MiniLM-L6 measures gains above a fairly strong small encoder, and ratios against BM25 would differ.</w:t>
      </w:r>
    </w:p>
    <w:bookmarkEnd w:id="113"/>
    <w:bookmarkEnd w:id="114"/>
    <w:bookmarkStart w:id="121" w:name="sec:limits"/>
    <w:p>
      <w:pPr>
        <w:pStyle w:val="Heading1"/>
      </w:pPr>
      <w:r>
        <w:t xml:space="preserve">Limitations</w:t>
      </w:r>
    </w:p>
    <w:bookmarkStart w:id="115" w:name="scope"/>
    <w:p>
      <w:pPr>
        <w:pStyle w:val="Heading4"/>
      </w:pPr>
      <w:r>
        <w:t xml:space="preserve">Scope</w:t>
      </w:r>
    </w:p>
    <w:p>
      <w:pPr>
        <w:pStyle w:val="FirstParagraph"/>
      </w:pPr>
      <w:r>
        <w:t xml:space="preserve">The study covers two English Wikipedia question-answering datasets, six open encoders up to 0.6B parameters, two 4-bit 7–8B readers, one prompt and</w:t>
      </w:r>
      <w:r>
        <w:t xml:space="preserve"> </w:t>
      </w:r>
      <m:oMath>
        <m:r>
          <m:t>k</m:t>
        </m:r>
        <m:r>
          <m:rPr>
            <m:sty m:val="p"/>
          </m:rPr>
          <m:t>=</m:t>
        </m:r>
        <m:r>
          <m:t>5</m:t>
        </m:r>
      </m:oMath>
      <w:r>
        <w:t xml:space="preserve"> </w:t>
      </w:r>
      <w:r>
        <w:t xml:space="preserve">for the transfer ratios. Results may differ for other domains, longer answers, larger or proprietary readers, other prompts or agentic pipelines. All timings come from one GPU type (Tesla T4) and one CPU configuration.</w:t>
      </w:r>
    </w:p>
    <w:bookmarkEnd w:id="115"/>
    <w:bookmarkStart w:id="116" w:name="corpus-and-labels"/>
    <w:p>
      <w:pPr>
        <w:pStyle w:val="Heading4"/>
      </w:pPr>
      <w:r>
        <w:t xml:space="preserve">Corpus and labels</w:t>
      </w:r>
    </w:p>
    <w:p>
      <w:pPr>
        <w:pStyle w:val="FirstParagraph"/>
      </w:pPr>
      <w:r>
        <w:t xml:space="preserve">Retrieval ran on 300,000-passage sub-corpora that contain every gold passage. The full-corpus check covers retrieval for four retrievers on NQ only; we did not rerun the readers on the full corpus or check HotpotQA. NQ relevance labels are sparse, so some</w:t>
      </w:r>
      <w:r>
        <w:t xml:space="preserve"> </w:t>
      </w:r>
      <w:r>
        <w:t xml:space="preserve">“</w:t>
      </w:r>
      <w:r>
        <w:t xml:space="preserve">misses</w:t>
      </w:r>
      <w:r>
        <w:t xml:space="preserve">”</w:t>
      </w:r>
      <w:r>
        <w:t xml:space="preserve"> </w:t>
      </w:r>
      <w:r>
        <w:t xml:space="preserve">contain the answer. The joined NQ set covers 2,255 of 3,452 judged queries and may differ in difficulty from the excluded queries. A Phase 1 check found Hit@5 differences between joined and unjoined queries from −0.028 to +0.005 across the seven retrievers, and every 95% interval included zero.</w:t>
      </w:r>
    </w:p>
    <w:bookmarkEnd w:id="116"/>
    <w:bookmarkStart w:id="117" w:name="metrics-and-statistics"/>
    <w:p>
      <w:pPr>
        <w:pStyle w:val="Heading4"/>
      </w:pPr>
      <w:r>
        <w:t xml:space="preserve">Metrics and statistics</w:t>
      </w:r>
    </w:p>
    <w:p>
      <w:pPr>
        <w:pStyle w:val="FirstParagraph"/>
      </w:pPr>
      <w:r>
        <w:t xml:space="preserve">EM is strict. We report F1 and answer containment, but did not judge correctness by hand. The transfer ratio is a ratio of means and becomes unstable when the retrieval gain is small; our reporting rule removes the worst cases, but the bge-small intervals on NQ still include zero. The decomposition and the Both@5 ranking are post hoc. Multiplicity is controlled within each family, not across all tests in the paper. Bootstrap intervals, F1, answer containment and the pooled model were checked by a rerun on a second computer, not by an independent implementation.</w:t>
      </w:r>
    </w:p>
    <w:bookmarkEnd w:id="117"/>
    <w:bookmarkStart w:id="118" w:name="context-experiment"/>
    <w:p>
      <w:pPr>
        <w:pStyle w:val="Heading4"/>
      </w:pPr>
      <w:r>
        <w:t xml:space="preserve">Context experiment</w:t>
      </w:r>
    </w:p>
    <w:p>
      <w:pPr>
        <w:pStyle w:val="FirstParagraph"/>
      </w:pPr>
      <w:r>
        <w:t xml:space="preserve">The hard negatives are top-ranked BM25 passages without a gold label. Some may contain the answer; that would raise EM in the hard-negative condition and shrink the measured drop. We could not check this because the passage text is not stored with the outputs. The experiment used one reader and 500 questions.</w:t>
      </w:r>
    </w:p>
    <w:bookmarkEnd w:id="118"/>
    <w:bookmarkStart w:id="119" w:name="judge-and-annotation"/>
    <w:p>
      <w:pPr>
        <w:pStyle w:val="Heading4"/>
      </w:pPr>
      <w:r>
        <w:t xml:space="preserve">Judge and annotation</w:t>
      </w:r>
    </w:p>
    <w:p>
      <w:pPr>
        <w:pStyle w:val="FirstParagraph"/>
      </w:pPr>
      <w:r>
        <w:t xml:space="preserve">The LLM judge was validated against one annotator, the author. With</w:t>
      </w:r>
      <w:r>
        <w:t xml:space="preserve"> </w:t>
      </w:r>
      <m:oMath>
        <m:r>
          <m:t>κ</m:t>
        </m:r>
      </m:oMath>
      <w:r>
        <w:t xml:space="preserve"> </w:t>
      </w:r>
      <w:r>
        <w:t xml:space="preserve">= 0.127 the judge was excluded under the registered rule, so this limitation does not affect the conclusions, but no faithfulness result is reported.</w:t>
      </w:r>
    </w:p>
    <w:bookmarkEnd w:id="119"/>
    <w:bookmarkStart w:id="120" w:name="two-study-phases"/>
    <w:p>
      <w:pPr>
        <w:pStyle w:val="Heading4"/>
      </w:pPr>
      <w:r>
        <w:t xml:space="preserve">Two study phases</w:t>
      </w:r>
    </w:p>
    <w:p>
      <w:pPr>
        <w:pStyle w:val="FirstParagraph"/>
      </w:pPr>
      <w:r>
        <w:t xml:space="preserve">The predictions were registered in dated, version-controlled design documents in our own repository, not in a public registry. The Qwen–NQ cell and part of the</w:t>
      </w:r>
      <w:r>
        <w:t xml:space="preserve"> </w:t>
      </w:r>
      <m:oMath>
        <m:r>
          <m:t>k</m:t>
        </m:r>
      </m:oMath>
      <w:r>
        <w:t xml:space="preserve"> </w:t>
      </w:r>
      <w:r>
        <w:t xml:space="preserve">ablation were run before the predictions were registered, and the software image changed between phases. Within-cell comparisons share one environment. For comparisons across phases, 396 of 397 identical prompts gave identical outputs.</w:t>
      </w:r>
    </w:p>
    <w:bookmarkEnd w:id="120"/>
    <w:bookmarkEnd w:id="121"/>
    <w:bookmarkStart w:id="122" w:name="sec:conclusion"/>
    <w:p>
      <w:pPr>
        <w:pStyle w:val="Heading1"/>
      </w:pPr>
      <w:r>
        <w:t xml:space="preserve">Conclusion</w:t>
      </w:r>
    </w:p>
    <w:p>
      <w:pPr>
        <w:pStyle w:val="FirstParagraph"/>
      </w:pPr>
      <w:r>
        <w:t xml:space="preserve">We measured how much of a retrieval gain reaches the answer when a RAG system swaps one open embedding model for another. On single-hop NQ, between 0.16 and 0.27 EM points followed each Hit@5 point gained over MiniLM-L6, for both readers (RQ1). On multi-hop HotpotQA the ratio was larger; 48% to 70% of it came from higher EM given a hit, in line with better encoders retrieving the second supporting passage more often, which Hit@5 does not count. Among dense encoders, bge-large gave a small EM gain over e5-base-v2 on HotpotQA and none detectable on NQ, and Qwen3-Embedding-0.6B gave lower EM (RQ2). Top-ranked non-gold passages lowered EM, gold position did not change it detectably, a reranker helped only the weak BM25 retrieval stage, and ten passages narrowed the gaps between retrievers (RQ3). Encoding throughput differed 27-fold, while approximate search and the sub-corpus did not change the order of retrievers (RQ4).</w:t>
      </w:r>
    </w:p>
    <w:p>
      <w:pPr>
        <w:pStyle w:val="BodyText"/>
      </w:pPr>
      <w:r>
        <w:t xml:space="preserve">Within this setup, retrieval benchmarks overstate the answer value of stronger encoders on single-hop questions, and Hit@k understates it on multi-hop questions. We recommend that RAG studies report answer gains next to retrieval gains, with paired intervals, and use retrieval metrics that require all evidence a question needs. Future work should test larger readers and other domains, run the readers on the full corpus, and replace EM with validated human or model judgements.</w:t>
      </w:r>
    </w:p>
    <w:bookmarkEnd w:id="122"/>
    <w:bookmarkStart w:id="127" w:name="ethics-statement"/>
    <w:p>
      <w:pPr>
        <w:pStyle w:val="Heading1"/>
      </w:pPr>
      <w:r>
        <w:t xml:space="preserve">Ethics statement</w:t>
      </w:r>
    </w:p>
    <w:bookmarkStart w:id="123" w:name="data-and-licences"/>
    <w:p>
      <w:pPr>
        <w:pStyle w:val="Heading4"/>
      </w:pPr>
      <w:r>
        <w:t xml:space="preserve">Data and licences</w:t>
      </w:r>
    </w:p>
    <w:p>
      <w:pPr>
        <w:pStyle w:val="FirstParagraph"/>
      </w:pPr>
      <w:r>
        <w:t xml:space="preserve">We used public resources under their licences, as listed on their Hugging Face cards (accessed 17 October 2026): the BEIR versions of Natural Questions and HotpotQA (CC BY-SA 4.0), NQ-open (CC BY-SA 3.0) and HotpotQA (CC BY-SA 4.0). The encoders are released under Apache-2.0 (all-MiniLM-L6-v2, Qwen3-Embedding-0.6B) or MIT (bge, e5 and bge-reranker-base); Qwen2.5-7B-Instruct-AWQ and Mistral-7B-Instruct-v0.3 under Apache-2.0; and the Llama-3.1-8B-Instruct AWQ build under the Llama 3.1 Community License. We used each for research evaluation. The questions are public benchmark questions over Wikipedia; we collected no personal data.</w:t>
      </w:r>
    </w:p>
    <w:bookmarkEnd w:id="123"/>
    <w:bookmarkStart w:id="124" w:name="human-annotation"/>
    <w:p>
      <w:pPr>
        <w:pStyle w:val="Heading4"/>
      </w:pPr>
      <w:r>
        <w:t xml:space="preserve">Human annotation</w:t>
      </w:r>
    </w:p>
    <w:p>
      <w:pPr>
        <w:pStyle w:val="FirstParagraph"/>
      </w:pPr>
      <w:r>
        <w:t xml:space="preserve">The 200 judge-validation items were labelled by one member of the study team, with the same instructions the judge received and without seeing its verdicts. No external participants were involved.</w:t>
      </w:r>
    </w:p>
    <w:bookmarkEnd w:id="124"/>
    <w:bookmarkStart w:id="125" w:name="risks"/>
    <w:p>
      <w:pPr>
        <w:pStyle w:val="Heading4"/>
      </w:pPr>
      <w:r>
        <w:t xml:space="preserve">Risks</w:t>
      </w:r>
    </w:p>
    <w:p>
      <w:pPr>
        <w:pStyle w:val="FirstParagraph"/>
      </w:pPr>
      <w:r>
        <w:t xml:space="preserve">The study compares existing models and creates no new model. Readers may over-generalise the comparison to other readers, corpora or languages; we scope each claim to the tested setup. The excluded LLM judge should not be used as evidence that a system gives faithful answers.</w:t>
      </w:r>
    </w:p>
    <w:bookmarkEnd w:id="125"/>
    <w:bookmarkStart w:id="126" w:name="compute"/>
    <w:p>
      <w:pPr>
        <w:pStyle w:val="Heading4"/>
      </w:pPr>
      <w:r>
        <w:t xml:space="preserve">Compute</w:t>
      </w:r>
    </w:p>
    <w:p>
      <w:pPr>
        <w:pStyle w:val="FirstParagraph"/>
      </w:pPr>
      <w:r>
        <w:t xml:space="preserve">All experiments ran on free Kaggle sessions with Tesla T4 GPUs; the study had no monetary cost.</w:t>
      </w:r>
    </w:p>
    <w:bookmarkEnd w:id="126"/>
    <w:bookmarkEnd w:id="127"/>
    <w:bookmarkStart w:id="128" w:name="data-and-code-availability"/>
    <w:p>
      <w:pPr>
        <w:pStyle w:val="Heading1"/>
      </w:pPr>
      <w:r>
        <w:t xml:space="preserve">Data and code availability</w:t>
      </w:r>
    </w:p>
    <w:p>
      <w:pPr>
        <w:pStyle w:val="FirstParagraph"/>
      </w:pPr>
      <w:r>
        <w:t xml:space="preserve">All code, prompts, design documents with their registration dates, raw reader outputs, scored answers and analysis scripts are kept in one version-controlled repository. To preserve double-anonymised review, its link is given to the editor on the separate title page; it will be made public, with an archived DOI, on acceptance. The datasets and models are public under their own licences; the exact revisions are listed in Appendix </w:t>
      </w:r>
      <w:hyperlink w:anchor="app:repro">
        <w:r>
          <w:rPr>
            <w:rStyle w:val="Hyperlink"/>
          </w:rPr>
          <w:t xml:space="preserve">11</w:t>
        </w:r>
      </w:hyperlink>
      <w:r>
        <w:t xml:space="preserve">. Every number in this paper is generated from the committed analysis output.</w:t>
      </w:r>
    </w:p>
    <w:bookmarkEnd w:id="128"/>
    <w:bookmarkStart w:id="12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to write and test analysis and experiment code, to check references against bibliographic databases, and to draft and edit text. After using this tool, the author reviewed and edited the content as needed and takes full responsibility for the content of the published article. Figures and tables were generated by scripts from the experimental data.</w:t>
      </w:r>
    </w:p>
    <w:bookmarkEnd w:id="129"/>
    <w:bookmarkStart w:id="132" w:name="app:prompts"/>
    <w:p>
      <w:pPr>
        <w:pStyle w:val="Heading1"/>
      </w:pPr>
      <w:r>
        <w:t xml:space="preserve">Reader prompts</w:t>
      </w:r>
    </w:p>
    <w:p>
      <w:pPr>
        <w:pStyle w:val="FirstParagraph"/>
      </w:pPr>
      <w:r>
        <w:t xml:space="preserve">Each prompt was rendered with the reader’s own chat template. Passages appear in rank order as</w:t>
      </w:r>
      <w:r>
        <w:t xml:space="preserve"> </w:t>
      </w:r>
      <w:r>
        <w:t xml:space="preserve">“</w:t>
      </w:r>
      <w:r>
        <w:t xml:space="preserve">[</w:t>
      </w:r>
      <m:oMath>
        <m:r>
          <m:t>i</m:t>
        </m:r>
      </m:oMath>
      <w:r>
        <w:t xml:space="preserve">] title</w:t>
      </w:r>
      <w:r>
        <w:t xml:space="preserve">”</w:t>
      </w:r>
      <w:r>
        <w:t xml:space="preserve"> </w:t>
      </w:r>
      <w:r>
        <w:t xml:space="preserve">followed by the passage text on the next line, separated by blank lines.</w:t>
      </w:r>
    </w:p>
    <w:bookmarkStart w:id="130" w:name="a1-with-passages"/>
    <w:p>
      <w:pPr>
        <w:pStyle w:val="Heading4"/>
      </w:pPr>
      <w:r>
        <w:t xml:space="preserve">A1 (with passages)</w:t>
      </w:r>
    </w:p>
    <w:p>
      <w:pPr>
        <w:pStyle w:val="FirstParagraph"/>
      </w:pPr>
      <w:r>
        <w:t xml:space="preserve">System:</w:t>
      </w:r>
      <w:r>
        <w:t xml:space="preserve"> </w:t>
      </w:r>
      <w:r>
        <w:rPr>
          <w:iCs/>
          <w:i/>
        </w:rPr>
        <w:t xml:space="preserve">“</w:t>
      </w:r>
      <w:r>
        <w:rPr>
          <w:iCs/>
          <w:i/>
        </w:rPr>
        <w:t xml:space="preserve">You are a question answering assistant. Answer the question using the passages provided. If the passages do not contain the answer, give your best short answer anyway. Reply with the answer only, as a short phrase of a few words, with no explanation.</w:t>
      </w:r>
      <w:r>
        <w:rPr>
          <w:iCs/>
          <w:i/>
        </w:rPr>
        <w:t xml:space="preserve">”</w:t>
      </w:r>
      <w:r>
        <w:t xml:space="preserve"> </w:t>
      </w:r>
      <w:r>
        <w:t xml:space="preserve">User:</w:t>
      </w:r>
      <w:r>
        <w:t xml:space="preserve"> </w:t>
      </w:r>
      <w:r>
        <w:rPr>
          <w:iCs/>
          <w:i/>
        </w:rPr>
        <w:t xml:space="preserve">“</w:t>
      </w:r>
      <w:r>
        <w:rPr>
          <w:iCs/>
          <w:i/>
        </w:rPr>
        <w:t xml:space="preserve">Passages: … Question: {question} Answer:</w:t>
      </w:r>
      <w:r>
        <w:rPr>
          <w:iCs/>
          <w:i/>
        </w:rPr>
        <w:t xml:space="preserve">”</w:t>
      </w:r>
    </w:p>
    <w:bookmarkEnd w:id="130"/>
    <w:bookmarkStart w:id="131" w:name="a2-closed-book"/>
    <w:p>
      <w:pPr>
        <w:pStyle w:val="Heading4"/>
      </w:pPr>
      <w:r>
        <w:t xml:space="preserve">A2 (closed book)</w:t>
      </w:r>
    </w:p>
    <w:p>
      <w:pPr>
        <w:pStyle w:val="FirstParagraph"/>
      </w:pPr>
      <w:r>
        <w:t xml:space="preserve">System:</w:t>
      </w:r>
      <w:r>
        <w:t xml:space="preserve"> </w:t>
      </w:r>
      <w:r>
        <w:rPr>
          <w:iCs/>
          <w:i/>
        </w:rPr>
        <w:t xml:space="preserve">“</w:t>
      </w:r>
      <w:r>
        <w:rPr>
          <w:iCs/>
          <w:i/>
        </w:rPr>
        <w:t xml:space="preserve">You are a question answering assistant. Reply with the answer only, as a short phrase of a few words, with no explanation.</w:t>
      </w:r>
      <w:r>
        <w:rPr>
          <w:iCs/>
          <w:i/>
        </w:rPr>
        <w:t xml:space="preserve">”</w:t>
      </w:r>
      <w:r>
        <w:t xml:space="preserve"> </w:t>
      </w:r>
      <w:r>
        <w:t xml:space="preserve">User:</w:t>
      </w:r>
      <w:r>
        <w:t xml:space="preserve"> </w:t>
      </w:r>
      <w:r>
        <w:rPr>
          <w:iCs/>
          <w:i/>
        </w:rPr>
        <w:t xml:space="preserve">“</w:t>
      </w:r>
      <w:r>
        <w:rPr>
          <w:iCs/>
          <w:i/>
        </w:rPr>
        <w:t xml:space="preserve">Question: {question} Answer:</w:t>
      </w:r>
      <w:r>
        <w:rPr>
          <w:iCs/>
          <w:i/>
        </w:rPr>
        <w:t xml:space="preserve">”</w:t>
      </w:r>
    </w:p>
    <w:p>
      <w:pPr>
        <w:pStyle w:val="BodyText"/>
      </w:pPr>
      <w:r>
        <w:t xml:space="preserve">The gold-passage condition uses A1 with the gold passages only.</w:t>
      </w:r>
    </w:p>
    <w:bookmarkEnd w:id="131"/>
    <w:bookmarkEnd w:id="132"/>
    <w:bookmarkStart w:id="133" w:name="app:judge"/>
    <w:p>
      <w:pPr>
        <w:pStyle w:val="Heading1"/>
      </w:pPr>
      <w:r>
        <w:t xml:space="preserve">Judge prompt and annotation instructions</w:t>
      </w:r>
    </w:p>
    <w:p>
      <w:pPr>
        <w:pStyle w:val="FirstParagraph"/>
      </w:pPr>
      <w:r>
        <w:t xml:space="preserve">The LLM judge (Mistral-7B-Instruct-v0.3, greedy decoding, at most 8 new tokens) received one user message:</w:t>
      </w:r>
    </w:p>
    <w:p>
      <w:pPr>
        <w:pStyle w:val="BlockText"/>
      </w:pPr>
      <w:r>
        <w:rPr>
          <w:iCs/>
          <w:i/>
        </w:rPr>
        <w:t xml:space="preserve">You will be given PASSAGES, a QUESTION, and an ANSWER. Decide whether the ANSWER is fully supported by the PASSAGES. An answer is SUPPORTED only if the passages state it or directly imply it. Do not use outside knowledge. Do not judge whether the answer is true in the real world.</w:t>
      </w:r>
      <w:r>
        <w:br/>
      </w:r>
      <w:r>
        <w:rPr>
          <w:iCs/>
          <w:i/>
        </w:rPr>
        <w:t xml:space="preserve">PASSAGES:</w:t>
      </w:r>
      <w:r>
        <w:t xml:space="preserve"> </w:t>
      </w:r>
      <w:r>
        <w:t xml:space="preserve">[the same five passages the reader saw, formatted as in Appendix </w:t>
      </w:r>
      <w:hyperlink w:anchor="app:prompts">
        <w:r>
          <w:rPr>
            <w:rStyle w:val="Hyperlink"/>
          </w:rPr>
          <w:t xml:space="preserve">9</w:t>
        </w:r>
      </w:hyperlink>
      <w:r>
        <w:t xml:space="preserve">]</w:t>
      </w:r>
      <w:r>
        <w:br/>
      </w:r>
      <w:r>
        <w:rPr>
          <w:iCs/>
          <w:i/>
        </w:rPr>
        <w:t xml:space="preserve">QUESTION:</w:t>
      </w:r>
      <w:r>
        <w:t xml:space="preserve"> </w:t>
      </w:r>
      <w:r>
        <w:t xml:space="preserve">{question}</w:t>
      </w:r>
      <w:r>
        <w:t xml:space="preserve"> </w:t>
      </w:r>
      <w:r>
        <w:rPr>
          <w:iCs/>
          <w:i/>
        </w:rPr>
        <w:t xml:space="preserve">ANSWER:</w:t>
      </w:r>
      <w:r>
        <w:t xml:space="preserve"> </w:t>
      </w:r>
      <w:r>
        <w:t xml:space="preserve">{answer}</w:t>
      </w:r>
      <w:r>
        <w:br/>
      </w:r>
      <w:r>
        <w:rPr>
          <w:iCs/>
          <w:i/>
        </w:rPr>
        <w:t xml:space="preserve">Reply with exactly one word: SUPPORTED or NOT_SUPPORTED.</w:t>
      </w:r>
    </w:p>
    <w:p>
      <w:pPr>
        <w:pStyle w:val="FirstParagraph"/>
      </w:pPr>
      <w:r>
        <w:t xml:space="preserve">The verdict was the label SUPPORTED or NOT_SUPPORTED found at the start of the output; there were no parse failures. The human annotator saw the same text, without the judge’s verdict, plus the instruction:</w:t>
      </w:r>
      <w:r>
        <w:t xml:space="preserve"> </w:t>
      </w:r>
      <w:r>
        <w:rPr>
          <w:iCs/>
          <w:i/>
        </w:rPr>
        <w:t xml:space="preserve">“</w:t>
      </w:r>
      <w:r>
        <w:rPr>
          <w:iCs/>
          <w:i/>
        </w:rPr>
        <w:t xml:space="preserve">Label each item SUPPORTED or NOT_SUPPORTED. If unsure, choose NOT_SUPPORTED and add a note.</w:t>
      </w:r>
      <w:r>
        <w:rPr>
          <w:iCs/>
          <w:i/>
        </w:rPr>
        <w:t xml:space="preserve">”</w:t>
      </w:r>
      <w:r>
        <w:t xml:space="preserve"> </w:t>
      </w:r>
      <w:r>
        <w:t xml:space="preserve">The 200 items were drawn by a seeded, stratified sampler that over-represents NOT_SUPPORTED verdicts; population-weighted statistics use the inverse inclusion probabilities.</w:t>
      </w:r>
    </w:p>
    <w:bookmarkEnd w:id="133"/>
    <w:bookmarkStart w:id="136" w:name="app:repro"/>
    <w:p>
      <w:pPr>
        <w:pStyle w:val="Heading1"/>
      </w:pPr>
      <w:r>
        <w:t xml:space="preserve">Models, data and software</w:t>
      </w:r>
    </w:p>
    <w:bookmarkStart w:id="134" w:name="tab:revisions"/>
    <w:p>
      <w:pPr>
        <w:pStyle w:val="TableCaption"/>
      </w:pPr>
      <w:r>
        <w:t xml:space="preserve">Pinned revisions (leading eight characters of the Hugging Face commit).</w:t>
      </w:r>
    </w:p>
    <w:tbl>
      <w:tblPr>
        <w:tblStyle w:val="Table"/>
        <w:tblW w:type="auto" w:w="0"/>
        <w:tblLook w:firstRow="1" w:lastRow="0" w:firstColumn="0" w:lastColumn="0" w:noHBand="0" w:noVBand="0" w:val="0020"/>
        <w:jc w:val="start"/>
        <w:tblCaption w:val="Pinned revisions (leading eight characters of the Hugging Face commit)."/>
      </w:tblPr>
      <w:tblGrid>
        <w:gridCol w:w="3960"/>
        <w:gridCol w:w="3960"/>
      </w:tblGrid>
      <w:tr>
        <w:trPr>
          <w:tblHeader w:val="true"/>
        </w:trPr>
        <w:tc>
          <w:tcPr/>
          <w:p>
            <w:pPr>
              <w:pStyle w:val="Compact"/>
              <w:jc w:val="left"/>
            </w:pPr>
            <w:r>
              <w:t xml:space="preserve">Resource</w:t>
            </w:r>
          </w:p>
        </w:tc>
        <w:tc>
          <w:tcPr/>
          <w:p>
            <w:pPr>
              <w:pStyle w:val="Compact"/>
              <w:jc w:val="left"/>
            </w:pPr>
            <w:r>
              <w:t xml:space="preserve">Revision</w:t>
            </w:r>
          </w:p>
        </w:tc>
      </w:tr>
      <w:tr>
        <w:tc>
          <w:tcPr/>
          <w:p>
            <w:pPr>
              <w:pStyle w:val="Compact"/>
              <w:jc w:val="left"/>
            </w:pPr>
            <w:r>
              <w:t xml:space="preserve">sentence-transformers/all-MiniLM-L6-v2</w:t>
            </w:r>
          </w:p>
        </w:tc>
        <w:tc>
          <w:tcPr/>
          <w:p>
            <w:pPr>
              <w:pStyle w:val="Compact"/>
              <w:jc w:val="left"/>
            </w:pPr>
            <w:r>
              <w:t xml:space="preserve">1110a243</w:t>
            </w:r>
          </w:p>
        </w:tc>
      </w:tr>
      <w:tr>
        <w:tc>
          <w:tcPr/>
          <w:p>
            <w:pPr>
              <w:pStyle w:val="Compact"/>
              <w:jc w:val="left"/>
            </w:pPr>
            <w:r>
              <w:t xml:space="preserve">BAAI/bge-small-en-v1.5</w:t>
            </w:r>
          </w:p>
        </w:tc>
        <w:tc>
          <w:tcPr/>
          <w:p>
            <w:pPr>
              <w:pStyle w:val="Compact"/>
              <w:jc w:val="left"/>
            </w:pPr>
            <w:r>
              <w:t xml:space="preserve">5c38ec7c</w:t>
            </w:r>
          </w:p>
        </w:tc>
      </w:tr>
      <w:tr>
        <w:tc>
          <w:tcPr/>
          <w:p>
            <w:pPr>
              <w:pStyle w:val="Compact"/>
              <w:jc w:val="left"/>
            </w:pPr>
            <w:r>
              <w:t xml:space="preserve">BAAI/bge-base-en-v1.5</w:t>
            </w:r>
          </w:p>
        </w:tc>
        <w:tc>
          <w:tcPr/>
          <w:p>
            <w:pPr>
              <w:pStyle w:val="Compact"/>
              <w:jc w:val="left"/>
            </w:pPr>
            <w:r>
              <w:t xml:space="preserve">a5beb1e3</w:t>
            </w:r>
          </w:p>
        </w:tc>
      </w:tr>
      <w:tr>
        <w:tc>
          <w:tcPr/>
          <w:p>
            <w:pPr>
              <w:pStyle w:val="Compact"/>
              <w:jc w:val="left"/>
            </w:pPr>
            <w:r>
              <w:t xml:space="preserve">BAAI/bge-large-en-v1.5</w:t>
            </w:r>
          </w:p>
        </w:tc>
        <w:tc>
          <w:tcPr/>
          <w:p>
            <w:pPr>
              <w:pStyle w:val="Compact"/>
              <w:jc w:val="left"/>
            </w:pPr>
            <w:r>
              <w:t xml:space="preserve">d4aa6901</w:t>
            </w:r>
          </w:p>
        </w:tc>
      </w:tr>
      <w:tr>
        <w:tc>
          <w:tcPr/>
          <w:p>
            <w:pPr>
              <w:pStyle w:val="Compact"/>
              <w:jc w:val="left"/>
            </w:pPr>
            <w:r>
              <w:t xml:space="preserve">intfloat/e5-base-v2</w:t>
            </w:r>
          </w:p>
        </w:tc>
        <w:tc>
          <w:tcPr/>
          <w:p>
            <w:pPr>
              <w:pStyle w:val="Compact"/>
              <w:jc w:val="left"/>
            </w:pPr>
            <w:r>
              <w:t xml:space="preserve">f52bf8ec</w:t>
            </w:r>
          </w:p>
        </w:tc>
      </w:tr>
      <w:tr>
        <w:tc>
          <w:tcPr/>
          <w:p>
            <w:pPr>
              <w:pStyle w:val="Compact"/>
              <w:jc w:val="left"/>
            </w:pPr>
            <w:r>
              <w:t xml:space="preserve">Qwen/Qwen3-Embedding-0.6B</w:t>
            </w:r>
          </w:p>
        </w:tc>
        <w:tc>
          <w:tcPr/>
          <w:p>
            <w:pPr>
              <w:pStyle w:val="Compact"/>
              <w:jc w:val="left"/>
            </w:pPr>
            <w:r>
              <w:t xml:space="preserve">97b0c614</w:t>
            </w:r>
          </w:p>
        </w:tc>
      </w:tr>
      <w:tr>
        <w:tc>
          <w:tcPr/>
          <w:p>
            <w:pPr>
              <w:pStyle w:val="Compact"/>
              <w:jc w:val="left"/>
            </w:pPr>
            <w:r>
              <w:t xml:space="preserve">Qwen/Qwen2.5-7B-Instruct-AWQ</w:t>
            </w:r>
          </w:p>
        </w:tc>
        <w:tc>
          <w:tcPr/>
          <w:p>
            <w:pPr>
              <w:pStyle w:val="Compact"/>
              <w:jc w:val="left"/>
            </w:pPr>
            <w:r>
              <w:t xml:space="preserve">b2503754</w:t>
            </w:r>
          </w:p>
        </w:tc>
      </w:tr>
      <w:tr>
        <w:tc>
          <w:tcPr/>
          <w:p>
            <w:pPr>
              <w:pStyle w:val="Compact"/>
              <w:jc w:val="left"/>
            </w:pPr>
            <w:r>
              <w:t xml:space="preserve">hugging-quants/Meta-Llama-3.1-8B-Instruct-AWQ-INT4</w:t>
            </w:r>
          </w:p>
        </w:tc>
        <w:tc>
          <w:tcPr/>
          <w:p>
            <w:pPr>
              <w:pStyle w:val="Compact"/>
              <w:jc w:val="left"/>
            </w:pPr>
            <w:r>
              <w:t xml:space="preserve">db1f81ad</w:t>
            </w:r>
          </w:p>
        </w:tc>
      </w:tr>
      <w:tr>
        <w:tc>
          <w:tcPr/>
          <w:p>
            <w:pPr>
              <w:pStyle w:val="Compact"/>
              <w:jc w:val="left"/>
            </w:pPr>
            <w:r>
              <w:t xml:space="preserve">BAAI/bge-reranker-base</w:t>
            </w:r>
          </w:p>
        </w:tc>
        <w:tc>
          <w:tcPr/>
          <w:p>
            <w:pPr>
              <w:pStyle w:val="Compact"/>
              <w:jc w:val="left"/>
            </w:pPr>
            <w:r>
              <w:t xml:space="preserve">2cfc18c9</w:t>
            </w:r>
          </w:p>
        </w:tc>
      </w:tr>
      <w:tr>
        <w:tc>
          <w:tcPr/>
          <w:p>
            <w:pPr>
              <w:pStyle w:val="Compact"/>
              <w:jc w:val="left"/>
            </w:pPr>
            <w:r>
              <w:t xml:space="preserve">mistralai/Mistral-7B-Instruct-v0.3 (judge)</w:t>
            </w:r>
          </w:p>
        </w:tc>
        <w:tc>
          <w:tcPr/>
          <w:p>
            <w:pPr>
              <w:pStyle w:val="Compact"/>
              <w:jc w:val="left"/>
            </w:pPr>
            <w:r>
              <w:t xml:space="preserve">c170c708</w:t>
            </w:r>
          </w:p>
        </w:tc>
      </w:tr>
      <w:tr>
        <w:tc>
          <w:tcPr/>
          <w:p>
            <w:pPr>
              <w:pStyle w:val="Compact"/>
              <w:jc w:val="left"/>
            </w:pPr>
            <w:r>
              <w:t xml:space="preserve">BeIR/nq</w:t>
            </w:r>
          </w:p>
        </w:tc>
        <w:tc>
          <w:tcPr/>
          <w:p>
            <w:pPr>
              <w:pStyle w:val="Compact"/>
              <w:jc w:val="left"/>
            </w:pPr>
            <w:r>
              <w:t xml:space="preserve">b7253e6c</w:t>
            </w:r>
          </w:p>
        </w:tc>
      </w:tr>
      <w:tr>
        <w:tc>
          <w:tcPr/>
          <w:p>
            <w:pPr>
              <w:pStyle w:val="Compact"/>
              <w:jc w:val="left"/>
            </w:pPr>
            <w:r>
              <w:t xml:space="preserve">BeIR/nq-qrels</w:t>
            </w:r>
          </w:p>
        </w:tc>
        <w:tc>
          <w:tcPr/>
          <w:p>
            <w:pPr>
              <w:pStyle w:val="Compact"/>
              <w:jc w:val="left"/>
            </w:pPr>
            <w:r>
              <w:t xml:space="preserve">519acd4e</w:t>
            </w:r>
          </w:p>
        </w:tc>
      </w:tr>
      <w:tr>
        <w:tc>
          <w:tcPr/>
          <w:p>
            <w:pPr>
              <w:pStyle w:val="Compact"/>
              <w:jc w:val="left"/>
            </w:pPr>
            <w:r>
              <w:t xml:space="preserve">google-research-datasets/nq_open</w:t>
            </w:r>
          </w:p>
        </w:tc>
        <w:tc>
          <w:tcPr/>
          <w:p>
            <w:pPr>
              <w:pStyle w:val="Compact"/>
              <w:jc w:val="left"/>
            </w:pPr>
            <w:r>
              <w:t xml:space="preserve">5dd9790a</w:t>
            </w:r>
          </w:p>
        </w:tc>
      </w:tr>
      <w:tr>
        <w:tc>
          <w:tcPr/>
          <w:p>
            <w:pPr>
              <w:pStyle w:val="Compact"/>
              <w:jc w:val="left"/>
            </w:pPr>
            <w:r>
              <w:t xml:space="preserve">BeIR/hotpotqa</w:t>
            </w:r>
          </w:p>
        </w:tc>
        <w:tc>
          <w:tcPr/>
          <w:p>
            <w:pPr>
              <w:pStyle w:val="Compact"/>
              <w:jc w:val="left"/>
            </w:pPr>
            <w:r>
              <w:t xml:space="preserve">a7e8bab2</w:t>
            </w:r>
          </w:p>
        </w:tc>
      </w:tr>
      <w:tr>
        <w:tc>
          <w:tcPr/>
          <w:p>
            <w:pPr>
              <w:pStyle w:val="Compact"/>
              <w:jc w:val="left"/>
            </w:pPr>
            <w:r>
              <w:t xml:space="preserve">BeIR/hotpotqa-qrels</w:t>
            </w:r>
          </w:p>
        </w:tc>
        <w:tc>
          <w:tcPr/>
          <w:p>
            <w:pPr>
              <w:pStyle w:val="Compact"/>
              <w:jc w:val="left"/>
            </w:pPr>
            <w:r>
              <w:t xml:space="preserve">b15429e9</w:t>
            </w:r>
          </w:p>
        </w:tc>
      </w:tr>
      <w:tr>
        <w:tc>
          <w:tcPr/>
          <w:p>
            <w:pPr>
              <w:pStyle w:val="Compact"/>
              <w:jc w:val="left"/>
            </w:pPr>
            <w:r>
              <w:t xml:space="preserve">hotpotqa/hotpot_qa</w:t>
            </w:r>
          </w:p>
        </w:tc>
        <w:tc>
          <w:tcPr/>
          <w:p>
            <w:pPr>
              <w:pStyle w:val="Compact"/>
              <w:jc w:val="left"/>
            </w:pPr>
            <w:r>
              <w:t xml:space="preserve">1908d6af</w:t>
            </w:r>
          </w:p>
        </w:tc>
      </w:tr>
    </w:tbl>
    <w:bookmarkEnd w:id="134"/>
    <w:p>
      <w:pPr>
        <w:pStyle w:val="BodyText"/>
      </w:pPr>
      <w:r>
        <w:t xml:space="preserve">Retrieval used bm25s 0.3.11 and faiss-cpu 1.15.1; readers used vLLM 0.30.0 with PyTorch 2.13.0 (CUDA 13.0) and Transformers 5.17.0, in half precision with a maximum model length of 4,096 tokens.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Retriever</w:t>
            </w:r>
          </w:p>
        </w:tc>
        <w:tc>
          <w:tcPr/>
          <w:p>
            <w:pPr>
              <w:pStyle w:val="Compact"/>
              <w:jc w:val="left"/>
            </w:pPr>
            <w:r>
              <w:t xml:space="preserve">Model</w:t>
            </w:r>
          </w:p>
        </w:tc>
        <w:tc>
          <w:tcPr/>
          <w:p>
            <w:pPr>
              <w:pStyle w:val="Compact"/>
              <w:jc w:val="left"/>
            </w:pPr>
            <w:r>
              <w:t xml:space="preserve">Revision</w:t>
            </w:r>
          </w:p>
        </w:tc>
        <w:tc>
          <w:tcPr/>
          <w:p>
            <w:pPr>
              <w:pStyle w:val="Compact"/>
              <w:jc w:val="right"/>
            </w:pPr>
            <w:r>
              <w:t xml:space="preserve">Params (M)</w:t>
            </w:r>
          </w:p>
        </w:tc>
        <w:tc>
          <w:tcPr/>
          <w:p>
            <w:pPr>
              <w:pStyle w:val="Compact"/>
              <w:jc w:val="right"/>
            </w:pPr>
            <w:r>
              <w:t xml:space="preserve">Dim</w:t>
            </w:r>
          </w:p>
        </w:tc>
        <w:tc>
          <w:tcPr/>
          <w:p>
            <w:pPr>
              <w:pStyle w:val="Compact"/>
              <w:jc w:val="left"/>
            </w:pPr>
            <w:r>
              <w:t xml:space="preserve">Query prefix</w:t>
            </w:r>
          </w:p>
        </w:tc>
      </w:tr>
      <w:tr>
        <w:tc>
          <w:tcPr/>
          <w:p>
            <w:pPr>
              <w:pStyle w:val="Compact"/>
              <w:jc w:val="left"/>
            </w:pPr>
            <w:r>
              <w:t xml:space="preserve">BM25</w:t>
            </w:r>
          </w:p>
        </w:tc>
        <w:tc>
          <w:tcPr/>
          <w:p>
            <w:pPr>
              <w:pStyle w:val="Compact"/>
              <w:jc w:val="left"/>
            </w:pPr>
            <w:r>
              <w:t xml:space="preserve">bm25s 0.3.11,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MiniLM-L6</w:t>
            </w:r>
          </w:p>
        </w:tc>
        <w:tc>
          <w:tcPr/>
          <w:p>
            <w:pPr>
              <w:pStyle w:val="Compact"/>
              <w:jc w:val="left"/>
            </w:pPr>
            <w:r>
              <w:t xml:space="preserve">sentence-transformers/all-MiniLM-L6-v2</w:t>
            </w:r>
          </w:p>
        </w:tc>
        <w:tc>
          <w:tcPr/>
          <w:p>
            <w:pPr>
              <w:pStyle w:val="Compact"/>
              <w:jc w:val="left"/>
            </w:pPr>
            <w:r>
              <w:t xml:space="preserve">1110a243</w:t>
            </w:r>
          </w:p>
        </w:tc>
        <w:tc>
          <w:tcPr/>
          <w:p>
            <w:pPr>
              <w:pStyle w:val="Compact"/>
              <w:jc w:val="right"/>
            </w:pPr>
            <w:r>
              <w:t xml:space="preserve">23</w:t>
            </w:r>
          </w:p>
        </w:tc>
        <w:tc>
          <w:tcPr/>
          <w:p>
            <w:pPr>
              <w:pStyle w:val="Compact"/>
              <w:jc w:val="right"/>
            </w:pPr>
            <w:r>
              <w:t xml:space="preserve">384</w:t>
            </w:r>
          </w:p>
        </w:tc>
        <w:tc>
          <w:tcPr/>
          <w:p>
            <w:pPr>
              <w:pStyle w:val="Compact"/>
              <w:jc w:val="left"/>
            </w:pPr>
            <w:r>
              <w:t xml:space="preserve">none</w:t>
            </w:r>
          </w:p>
        </w:tc>
      </w:tr>
      <w:tr>
        <w:tc>
          <w:tcPr/>
          <w:p>
            <w:pPr>
              <w:pStyle w:val="Compact"/>
              <w:jc w:val="left"/>
            </w:pPr>
            <w:r>
              <w:t xml:space="preserve">bge-small</w:t>
            </w:r>
          </w:p>
        </w:tc>
        <w:tc>
          <w:tcPr/>
          <w:p>
            <w:pPr>
              <w:pStyle w:val="Compact"/>
              <w:jc w:val="left"/>
            </w:pPr>
            <w:r>
              <w:t xml:space="preserve">BAAI/bge-small-en-v1.5</w:t>
            </w:r>
          </w:p>
        </w:tc>
        <w:tc>
          <w:tcPr/>
          <w:p>
            <w:pPr>
              <w:pStyle w:val="Compact"/>
              <w:jc w:val="left"/>
            </w:pPr>
            <w:r>
              <w:t xml:space="preserve">5c38ec7c</w:t>
            </w:r>
          </w:p>
        </w:tc>
        <w:tc>
          <w:tcPr/>
          <w:p>
            <w:pPr>
              <w:pStyle w:val="Compact"/>
              <w:jc w:val="right"/>
            </w:pPr>
            <w:r>
              <w:t xml:space="preserve">33</w:t>
            </w:r>
          </w:p>
        </w:tc>
        <w:tc>
          <w:tcPr/>
          <w:p>
            <w:pPr>
              <w:pStyle w:val="Compact"/>
              <w:jc w:val="right"/>
            </w:pPr>
            <w:r>
              <w:t xml:space="preserve">384</w:t>
            </w:r>
          </w:p>
        </w:tc>
        <w:tc>
          <w:tcPr/>
          <w:p>
            <w:pPr>
              <w:pStyle w:val="Compact"/>
              <w:jc w:val="left"/>
            </w:pPr>
            <w:r>
              <w:t xml:space="preserve">BGE instruction</w:t>
            </w:r>
          </w:p>
        </w:tc>
      </w:tr>
      <w:tr>
        <w:tc>
          <w:tcPr/>
          <w:p>
            <w:pPr>
              <w:pStyle w:val="Compact"/>
              <w:jc w:val="left"/>
            </w:pPr>
            <w:r>
              <w:t xml:space="preserve">bge-base</w:t>
            </w:r>
          </w:p>
        </w:tc>
        <w:tc>
          <w:tcPr/>
          <w:p>
            <w:pPr>
              <w:pStyle w:val="Compact"/>
              <w:jc w:val="left"/>
            </w:pPr>
            <w:r>
              <w:t xml:space="preserve">BAAI/bge-base-en-v1.5</w:t>
            </w:r>
          </w:p>
        </w:tc>
        <w:tc>
          <w:tcPr/>
          <w:p>
            <w:pPr>
              <w:pStyle w:val="Compact"/>
              <w:jc w:val="left"/>
            </w:pPr>
            <w:r>
              <w:t xml:space="preserve">a5beb1e3</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BGE instruction</w:t>
            </w:r>
          </w:p>
        </w:tc>
      </w:tr>
      <w:tr>
        <w:tc>
          <w:tcPr/>
          <w:p>
            <w:pPr>
              <w:pStyle w:val="Compact"/>
              <w:jc w:val="left"/>
            </w:pPr>
            <w:r>
              <w:t xml:space="preserve">bge-large</w:t>
            </w:r>
          </w:p>
        </w:tc>
        <w:tc>
          <w:tcPr/>
          <w:p>
            <w:pPr>
              <w:pStyle w:val="Compact"/>
              <w:jc w:val="left"/>
            </w:pPr>
            <w:r>
              <w:t xml:space="preserve">BAAI/bge-large-en-v1.5</w:t>
            </w:r>
          </w:p>
        </w:tc>
        <w:tc>
          <w:tcPr/>
          <w:p>
            <w:pPr>
              <w:pStyle w:val="Compact"/>
              <w:jc w:val="left"/>
            </w:pPr>
            <w:r>
              <w:t xml:space="preserve">d4aa6901</w:t>
            </w:r>
          </w:p>
        </w:tc>
        <w:tc>
          <w:tcPr/>
          <w:p>
            <w:pPr>
              <w:pStyle w:val="Compact"/>
              <w:jc w:val="right"/>
            </w:pPr>
            <w:r>
              <w:t xml:space="preserve">335</w:t>
            </w:r>
          </w:p>
        </w:tc>
        <w:tc>
          <w:tcPr/>
          <w:p>
            <w:pPr>
              <w:pStyle w:val="Compact"/>
              <w:jc w:val="right"/>
            </w:pPr>
            <w:r>
              <w:t xml:space="preserve">1024</w:t>
            </w:r>
          </w:p>
        </w:tc>
        <w:tc>
          <w:tcPr/>
          <w:p>
            <w:pPr>
              <w:pStyle w:val="Compact"/>
              <w:jc w:val="left"/>
            </w:pPr>
            <w:r>
              <w:t xml:space="preserve">BGE instruction</w:t>
            </w:r>
          </w:p>
        </w:tc>
      </w:tr>
      <w:tr>
        <w:tc>
          <w:tcPr/>
          <w:p>
            <w:pPr>
              <w:pStyle w:val="Compact"/>
              <w:jc w:val="left"/>
            </w:pPr>
            <w:r>
              <w:t xml:space="preserve">e5-base-v2</w:t>
            </w:r>
          </w:p>
        </w:tc>
        <w:tc>
          <w:tcPr/>
          <w:p>
            <w:pPr>
              <w:pStyle w:val="Compact"/>
              <w:jc w:val="left"/>
            </w:pPr>
            <w:r>
              <w:t xml:space="preserve">intfloat/e5-base-v2</w:t>
            </w:r>
          </w:p>
        </w:tc>
        <w:tc>
          <w:tcPr/>
          <w:p>
            <w:pPr>
              <w:pStyle w:val="Compact"/>
              <w:jc w:val="left"/>
            </w:pPr>
            <w:r>
              <w:t xml:space="preserve">f52bf8ec</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w:t>
            </w:r>
            <w:r>
              <w:t xml:space="preserve">query:</w:t>
            </w:r>
            <w:r>
              <w:t xml:space="preserve"> </w:t>
            </w:r>
            <w:r>
              <w:t xml:space="preserve">”</w:t>
            </w:r>
          </w:p>
        </w:tc>
      </w:tr>
      <w:tr>
        <w:tc>
          <w:tcPr/>
          <w:p>
            <w:pPr>
              <w:pStyle w:val="Compact"/>
              <w:jc w:val="left"/>
            </w:pPr>
            <w:r>
              <w:t xml:space="preserve">Qwen3-Emb-0.6B</w:t>
            </w:r>
          </w:p>
        </w:tc>
        <w:tc>
          <w:tcPr/>
          <w:p>
            <w:pPr>
              <w:pStyle w:val="Compact"/>
              <w:jc w:val="left"/>
            </w:pPr>
            <w:r>
              <w:t xml:space="preserve">Qwen/Qwen3-Embedding-0.6B</w:t>
            </w:r>
          </w:p>
        </w:tc>
        <w:tc>
          <w:tcPr/>
          <w:p>
            <w:pPr>
              <w:pStyle w:val="Compact"/>
              <w:jc w:val="left"/>
            </w:pPr>
            <w:r>
              <w:t xml:space="preserve">97b0c614</w:t>
            </w:r>
          </w:p>
        </w:tc>
        <w:tc>
          <w:tcPr/>
          <w:p>
            <w:pPr>
              <w:pStyle w:val="Compact"/>
              <w:jc w:val="right"/>
            </w:pPr>
            <w:r>
              <w:t xml:space="preserve">596</w:t>
            </w:r>
          </w:p>
        </w:tc>
        <w:tc>
          <w:tcPr/>
          <w:p>
            <w:pPr>
              <w:pStyle w:val="Compact"/>
              <w:jc w:val="right"/>
            </w:pPr>
            <w:r>
              <w:t xml:space="preserve">1024</w:t>
            </w:r>
          </w:p>
        </w:tc>
        <w:tc>
          <w:tcPr/>
          <w:p>
            <w:pPr>
              <w:pStyle w:val="Compact"/>
              <w:jc w:val="left"/>
            </w:pPr>
            <w:r>
              <w:t xml:space="preserve">task instruction</w:t>
            </w:r>
          </w:p>
        </w:tc>
      </w:tr>
    </w:tbl>
    <w:p>
      <w:pPr>
        <w:pStyle w:val="BodyText"/>
      </w:pPr>
      <w:r>
        <w:rPr>
          <w:iCs/>
          <w:i/>
        </w:rPr>
        <w:t xml:space="preserve">BGE instruction:</w:t>
      </w:r>
      <w:r>
        <w:rPr>
          <w:iCs/>
          <w:i/>
        </w:rPr>
        <w:t xml:space="preserve"> </w:t>
      </w:r>
      <w:r>
        <w:rPr>
          <w:iCs/>
          <w:i/>
          <w:iCs/>
          <w:i/>
        </w:rPr>
        <w:t xml:space="preserve">Represent this sentence for searching relevant passages:</w:t>
      </w:r>
      <w:r>
        <w:rPr>
          <w:iCs/>
          <w:i/>
        </w:rPr>
        <w:t xml:space="preserve">. e5-base-v2 also prefixes passages with</w:t>
      </w:r>
      <w:r>
        <w:rPr>
          <w:iCs/>
          <w:i/>
        </w:rPr>
        <w:t xml:space="preserve"> </w:t>
      </w:r>
      <w:r>
        <w:rPr>
          <w:iCs/>
          <w:i/>
        </w:rPr>
        <w:t xml:space="preserve">“</w:t>
      </w:r>
      <w:r>
        <w:rPr>
          <w:iCs/>
          <w:i/>
        </w:rPr>
        <w:t xml:space="preserve">passage:</w:t>
      </w:r>
      <w:r>
        <w:rPr>
          <w:iCs/>
          <w:i/>
        </w:rPr>
        <w:t xml:space="preserve"> </w:t>
      </w:r>
      <w:r>
        <w:rPr>
          <w:iCs/>
          <w:i/>
        </w:rPr>
        <w:t xml:space="preserve">”</w:t>
      </w:r>
      <w:r>
        <w:rPr>
          <w:iCs/>
          <w:i/>
        </w:rPr>
        <w:t xml:space="preserve">. Qwen3-Embedding uses a task instruction per dataset.</w:t>
      </w:r>
    </w:p>
    <w:bookmarkStart w:id="135" w:name="tab:data"/>
    <w:p>
      <w:pPr>
        <w:pStyle w:val="TableCaption"/>
      </w:pPr>
      <w:r>
        <w:t xml:space="preserve">Data and sub-corpora.</w:t>
      </w:r>
    </w:p>
    <w:tbl>
      <w:tblPr>
        <w:tblStyle w:val="Table"/>
        <w:tblW w:type="auto" w:w="0"/>
        <w:tblLook w:firstRow="1" w:lastRow="0" w:firstColumn="0" w:lastColumn="0" w:noHBand="0" w:noVBand="0" w:val="0020"/>
        <w:jc w:val="start"/>
        <w:tblCaption w:val="Data and sub-corpora."/>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NQ</w:t>
            </w:r>
          </w:p>
        </w:tc>
        <w:tc>
          <w:tcPr/>
          <w:p>
            <w:pPr>
              <w:pStyle w:val="Compact"/>
              <w:jc w:val="left"/>
            </w:pPr>
            <w:r>
              <w:t xml:space="preserve">HotpotQA</w:t>
            </w:r>
          </w:p>
        </w:tc>
      </w:tr>
      <w:tr>
        <w:tc>
          <w:tcPr/>
          <w:p>
            <w:pPr>
              <w:pStyle w:val="Compact"/>
              <w:jc w:val="left"/>
            </w:pPr>
            <w:r>
              <w:t xml:space="preserve">Full corpus (passages)</w:t>
            </w:r>
          </w:p>
        </w:tc>
        <w:tc>
          <w:tcPr/>
          <w:p>
            <w:pPr>
              <w:pStyle w:val="Compact"/>
              <w:jc w:val="left"/>
            </w:pPr>
            <w:r>
              <w:t xml:space="preserve">2,681,468</w:t>
            </w:r>
          </w:p>
        </w:tc>
        <w:tc>
          <w:tcPr/>
          <w:p>
            <w:pPr>
              <w:pStyle w:val="Compact"/>
              <w:jc w:val="left"/>
            </w:pPr>
            <w:r>
              <w:t xml:space="preserve">5,233,329</w:t>
            </w:r>
          </w:p>
        </w:tc>
      </w:tr>
      <w:tr>
        <w:tc>
          <w:tcPr/>
          <w:p>
            <w:pPr>
              <w:pStyle w:val="Compact"/>
              <w:jc w:val="left"/>
            </w:pPr>
            <w:r>
              <w:t xml:space="preserve">Judged test queries</w:t>
            </w:r>
          </w:p>
        </w:tc>
        <w:tc>
          <w:tcPr/>
          <w:p>
            <w:pPr>
              <w:pStyle w:val="Compact"/>
              <w:jc w:val="left"/>
            </w:pPr>
            <w:r>
              <w:t xml:space="preserve">3,452</w:t>
            </w:r>
          </w:p>
        </w:tc>
        <w:tc>
          <w:tcPr/>
          <w:p>
            <w:pPr>
              <w:pStyle w:val="Compact"/>
              <w:jc w:val="left"/>
            </w:pPr>
            <w:r>
              <w:t xml:space="preserve">7,405</w:t>
            </w:r>
          </w:p>
        </w:tc>
      </w:tr>
      <w:tr>
        <w:tc>
          <w:tcPr/>
          <w:p>
            <w:pPr>
              <w:pStyle w:val="Compact"/>
              <w:jc w:val="left"/>
            </w:pPr>
            <w:r>
              <w:t xml:space="preserve">Queries joined to reference answers</w:t>
            </w:r>
          </w:p>
        </w:tc>
        <w:tc>
          <w:tcPr/>
          <w:p>
            <w:pPr>
              <w:pStyle w:val="Compact"/>
              <w:jc w:val="left"/>
            </w:pPr>
            <w:r>
              <w:t xml:space="preserve">2,255</w:t>
            </w:r>
          </w:p>
        </w:tc>
        <w:tc>
          <w:tcPr/>
          <w:p>
            <w:pPr>
              <w:pStyle w:val="Compact"/>
              <w:jc w:val="left"/>
            </w:pPr>
            <w:r>
              <w:t xml:space="preserve">7,405</w:t>
            </w:r>
          </w:p>
        </w:tc>
      </w:tr>
      <w:tr>
        <w:tc>
          <w:tcPr/>
          <w:p>
            <w:pPr>
              <w:pStyle w:val="Compact"/>
              <w:jc w:val="left"/>
            </w:pPr>
            <w:r>
              <w:t xml:space="preserve">Generation queries</w:t>
            </w:r>
          </w:p>
        </w:tc>
        <w:tc>
          <w:tcPr/>
          <w:p>
            <w:pPr>
              <w:pStyle w:val="Compact"/>
              <w:jc w:val="left"/>
            </w:pPr>
            <w:r>
              <w:t xml:space="preserve">2,255</w:t>
            </w:r>
          </w:p>
        </w:tc>
        <w:tc>
          <w:tcPr/>
          <w:p>
            <w:pPr>
              <w:pStyle w:val="Compact"/>
              <w:jc w:val="left"/>
            </w:pPr>
            <w:r>
              <w:t xml:space="preserve">2,000 (1,616 bridge, 384 comparison)</w:t>
            </w:r>
          </w:p>
        </w:tc>
      </w:tr>
      <w:tr>
        <w:tc>
          <w:tcPr/>
          <w:p>
            <w:pPr>
              <w:pStyle w:val="Compact"/>
              <w:jc w:val="left"/>
            </w:pPr>
            <w:r>
              <w:t xml:space="preserve">Unique gold passages per judged query</w:t>
            </w:r>
          </w:p>
        </w:tc>
        <w:tc>
          <w:tcPr/>
          <w:p>
            <w:pPr>
              <w:pStyle w:val="Compact"/>
              <w:jc w:val="left"/>
            </w:pPr>
            <w:r>
              <w:t xml:space="preserve">1.22</w:t>
            </w:r>
          </w:p>
        </w:tc>
        <w:tc>
          <w:tcPr/>
          <w:p>
            <w:pPr>
              <w:pStyle w:val="Compact"/>
              <w:jc w:val="left"/>
            </w:pPr>
            <w:r>
              <w:t xml:space="preserve">1.86</w:t>
            </w:r>
          </w:p>
        </w:tc>
      </w:tr>
      <w:tr>
        <w:tc>
          <w:tcPr/>
          <w:p>
            <w:pPr>
              <w:pStyle w:val="Compact"/>
              <w:jc w:val="left"/>
            </w:pPr>
            <w:r>
              <w:t xml:space="preserve">Sub-corpus size</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gold passages</w:t>
            </w:r>
          </w:p>
        </w:tc>
        <w:tc>
          <w:tcPr/>
          <w:p>
            <w:pPr>
              <w:pStyle w:val="Compact"/>
              <w:jc w:val="left"/>
            </w:pPr>
            <w:r>
              <w:t xml:space="preserve">4,201</w:t>
            </w:r>
          </w:p>
        </w:tc>
        <w:tc>
          <w:tcPr/>
          <w:p>
            <w:pPr>
              <w:pStyle w:val="Compact"/>
              <w:jc w:val="left"/>
            </w:pPr>
            <w:r>
              <w:t xml:space="preserve">13,783</w:t>
            </w:r>
          </w:p>
        </w:tc>
      </w:tr>
      <w:tr>
        <w:tc>
          <w:tcPr/>
          <w:p>
            <w:pPr>
              <w:pStyle w:val="Compact"/>
              <w:jc w:val="left"/>
            </w:pPr>
            <w:r>
              <w:t xml:space="preserve">BM25 non-gold passages (depth</w:t>
            </w:r>
            <w:r>
              <w:t xml:space="preserve"> </w:t>
            </w:r>
            <m:oMath>
              <m:r>
                <m:t>d</m:t>
              </m:r>
            </m:oMath>
            <w:r>
              <w:t xml:space="preserve">)</w:t>
            </w:r>
          </w:p>
        </w:tc>
        <w:tc>
          <w:tcPr/>
          <w:p>
            <w:pPr>
              <w:pStyle w:val="Compact"/>
              <w:jc w:val="left"/>
            </w:pPr>
            <w:r>
              <w:t xml:space="preserve">127,791 (</w:t>
            </w:r>
            <m:oMath>
              <m:r>
                <m:t>d</m:t>
              </m:r>
            </m:oMath>
            <w:r>
              <w:t xml:space="preserve"> </w:t>
            </w:r>
            <w:r>
              <w:t xml:space="preserve">= 42)</w:t>
            </w:r>
          </w:p>
        </w:tc>
        <w:tc>
          <w:tcPr/>
          <w:p>
            <w:pPr>
              <w:pStyle w:val="Compact"/>
              <w:jc w:val="left"/>
            </w:pPr>
            <w:r>
              <w:t xml:space="preserve">118,726 (</w:t>
            </w:r>
            <m:oMath>
              <m:r>
                <m:t>d</m:t>
              </m:r>
            </m:oMath>
            <w:r>
              <w:t xml:space="preserve"> </w:t>
            </w:r>
            <w:r>
              <w:t xml:space="preserve">= 19)</w:t>
            </w:r>
          </w:p>
        </w:tc>
      </w:tr>
      <w:tr>
        <w:tc>
          <w:tcPr/>
          <w:p>
            <w:pPr>
              <w:pStyle w:val="Compact"/>
              <w:jc w:val="left"/>
            </w:pPr>
            <w:r>
              <w:t xml:space="preserve">random passages</w:t>
            </w:r>
          </w:p>
        </w:tc>
        <w:tc>
          <w:tcPr/>
          <w:p>
            <w:pPr>
              <w:pStyle w:val="Compact"/>
              <w:jc w:val="left"/>
            </w:pPr>
            <w:r>
              <w:t xml:space="preserve">168,008</w:t>
            </w:r>
          </w:p>
        </w:tc>
        <w:tc>
          <w:tcPr/>
          <w:p>
            <w:pPr>
              <w:pStyle w:val="Compact"/>
              <w:jc w:val="left"/>
            </w:pPr>
            <w:r>
              <w:t xml:space="preserve">167,491</w:t>
            </w:r>
          </w:p>
        </w:tc>
      </w:tr>
      <w:tr>
        <w:tc>
          <w:tcPr/>
          <w:p>
            <w:pPr>
              <w:pStyle w:val="Compact"/>
              <w:jc w:val="left"/>
            </w:pPr>
            <w:r>
              <w:t xml:space="preserve">Reference answers</w:t>
            </w:r>
          </w:p>
        </w:tc>
        <w:tc>
          <w:tcPr/>
          <w:p>
            <w:pPr>
              <w:pStyle w:val="Compact"/>
              <w:jc w:val="left"/>
            </w:pPr>
            <w:r>
              <w:t xml:space="preserve">NQ-open (validation)</w:t>
            </w:r>
          </w:p>
        </w:tc>
        <w:tc>
          <w:tcPr/>
          <w:p>
            <w:pPr>
              <w:pStyle w:val="Compact"/>
              <w:jc w:val="left"/>
            </w:pPr>
            <w:r>
              <w:t xml:space="preserve">HotpotQA fullwiki (validation)</w:t>
            </w:r>
          </w:p>
        </w:tc>
      </w:tr>
    </w:tbl>
    <w:bookmarkEnd w:id="135"/>
    <w:p>
      <w:pPr>
        <w:pStyle w:val="BodyText"/>
      </w:pPr>
      <w:r>
        <w:rPr>
          <w:iCs/>
          <w:i/>
        </w:rPr>
        <w:t xml:space="preserve">Corpus sizes as distributed by BEIR. Joins: NQ by normalised question text, HotpotQA by question id.</w:t>
      </w:r>
    </w:p>
    <w:bookmarkEnd w:id="136"/>
    <w:bookmarkStart w:id="137" w:name="app:prereg"/>
    <w:p>
      <w:pPr>
        <w:pStyle w:val="Heading1"/>
      </w:pPr>
      <w:r>
        <w:t xml:space="preserve">Design documents</w:t>
      </w:r>
    </w:p>
    <w:p>
      <w:pPr>
        <w:pStyle w:val="FirstParagraph"/>
      </w:pPr>
      <w:r>
        <w:t xml:space="preserve">The design document and its addenda are dated and versioned in the study repository. Each was written before the stage it governs.</w:t>
      </w:r>
    </w:p>
    <w:p>
      <w:pPr>
        <w:numPr>
          <w:ilvl w:val="0"/>
          <w:numId w:val="1003"/>
        </w:numPr>
      </w:pPr>
      <w:r>
        <w:rPr>
          <w:bCs/>
          <w:b/>
        </w:rPr>
        <w:t xml:space="preserve">v0.2 (26 September 2026).</w:t>
      </w:r>
      <w:r>
        <w:t xml:space="preserve"> </w:t>
      </w:r>
      <w:r>
        <w:t xml:space="preserve">Research questions, retrievers, reader, judge, metrics, statistical tests, the transfer-ratio reporting rule and the pilot plan.</w:t>
      </w:r>
    </w:p>
    <w:p>
      <w:pPr>
        <w:numPr>
          <w:ilvl w:val="0"/>
          <w:numId w:val="1003"/>
        </w:numPr>
      </w:pPr>
      <w:r>
        <w:rPr>
          <w:bCs/>
          <w:b/>
        </w:rPr>
        <w:t xml:space="preserve">v0.2.1–v0.2.2 (26 September 2026).</w:t>
      </w:r>
      <w:r>
        <w:t xml:space="preserve"> </w:t>
      </w:r>
      <w:r>
        <w:t xml:space="preserve">Follow-up rules (abstention-prompt check, judge fallback, GPU stopping rules) and the change of the NQ join gate (deviation 1).</w:t>
      </w:r>
    </w:p>
    <w:p>
      <w:pPr>
        <w:numPr>
          <w:ilvl w:val="0"/>
          <w:numId w:val="1003"/>
        </w:numPr>
      </w:pPr>
      <w:r>
        <w:rPr>
          <w:bCs/>
          <w:b/>
        </w:rPr>
        <w:t xml:space="preserve">v0.2.3 (27 September 2026).</w:t>
      </w:r>
      <w:r>
        <w:t xml:space="preserve"> </w:t>
      </w:r>
      <w:r>
        <w:t xml:space="preserve">Pilot verification; the sub-corpus membership rule for all judged queries; dropping the RAGAS cross-check.</w:t>
      </w:r>
    </w:p>
    <w:p>
      <w:pPr>
        <w:numPr>
          <w:ilvl w:val="0"/>
          <w:numId w:val="1003"/>
        </w:numPr>
      </w:pPr>
      <w:r>
        <w:rPr>
          <w:bCs/>
          <w:b/>
        </w:rPr>
        <w:t xml:space="preserve">v0.2.4 (27–29 September 2026).</w:t>
      </w:r>
      <w:r>
        <w:t xml:space="preserve"> </w:t>
      </w:r>
      <w:r>
        <w:t xml:space="preserve">Execution records of Phase 1, the failed initial reading session, the cost-estimate error and the cut dimension ablation.</w:t>
      </w:r>
    </w:p>
    <w:p>
      <w:pPr>
        <w:numPr>
          <w:ilvl w:val="0"/>
          <w:numId w:val="1003"/>
        </w:numPr>
      </w:pPr>
      <w:r>
        <w:rPr>
          <w:bCs/>
          <w:b/>
        </w:rPr>
        <w:t xml:space="preserve">v0.3 (12 October 2026).</w:t>
      </w:r>
      <w:r>
        <w:t xml:space="preserve"> </w:t>
      </w:r>
      <w:r>
        <w:t xml:space="preserve">Phase 2 experiments E1–E12 and predictions P1–P6, written before any Phase 2 run.</w:t>
      </w:r>
    </w:p>
    <w:p>
      <w:pPr>
        <w:numPr>
          <w:ilvl w:val="0"/>
          <w:numId w:val="1003"/>
        </w:numPr>
      </w:pPr>
      <w:r>
        <w:rPr>
          <w:bCs/>
          <w:b/>
        </w:rPr>
        <w:t xml:space="preserve">v0.3.1 (12 and 14 October 2026).</w:t>
      </w:r>
      <w:r>
        <w:t xml:space="preserve"> </w:t>
      </w:r>
      <w:r>
        <w:t xml:space="preserve">The Python 3.13 image change and the torchaudio fix.</w:t>
      </w:r>
    </w:p>
    <w:p>
      <w:pPr>
        <w:numPr>
          <w:ilvl w:val="0"/>
          <w:numId w:val="1003"/>
        </w:numPr>
      </w:pPr>
      <w:r>
        <w:rPr>
          <w:bCs/>
          <w:b/>
        </w:rPr>
        <w:t xml:space="preserve">v0.3.2 (15 October 2026).</w:t>
      </w:r>
      <w:r>
        <w:t xml:space="preserve"> </w:t>
      </w:r>
      <w:r>
        <w:t xml:space="preserve">Implementation of E5, E6, E7, E9 and E12 before the session that ran them, including the reduced scope of E6.</w:t>
      </w:r>
    </w:p>
    <w:p>
      <w:pPr>
        <w:pStyle w:val="FirstParagraph"/>
      </w:pPr>
      <w:r>
        <w:t xml:space="preserve">Pilot numbers were used only for planning and are not reported as results.</w:t>
      </w:r>
    </w:p>
    <w:bookmarkEnd w:id="137"/>
    <w:bookmarkStart w:id="240" w:name="app:tables"/>
    <w:p>
      <w:pPr>
        <w:pStyle w:val="Heading1"/>
      </w:pPr>
      <w:r>
        <w:t xml:space="preserve">Additional tables</w:t>
      </w:r>
    </w:p>
    <w:p>
      <w:pPr>
        <w:pStyle w:val="FirstParagraph"/>
      </w:pPr>
      <w:r>
        <w:t xml:space="preserve">Table </w:t>
      </w:r>
      <w:hyperlink w:anchor="tab:ci">
        <w:r>
          <w:rPr>
            <w:rStyle w:val="Hyperlink"/>
          </w:rPr>
          <w:t xml:space="preserve">[tab:ci]</w:t>
        </w:r>
      </w:hyperlink>
      <w:r>
        <w:t xml:space="preserve"> </w:t>
      </w:r>
      <w:r>
        <w:t xml:space="preserve">gives the bootstrap intervals for Table </w:t>
      </w:r>
      <w:hyperlink w:anchor="tab:main">
        <w:r>
          <w:rPr>
            <w:rStyle w:val="Hyperlink"/>
          </w:rPr>
          <w:t xml:space="preserve">[tab:main]</w:t>
        </w:r>
      </w:hyperlink>
      <w:r>
        <w:t xml:space="preserve">. Table </w:t>
      </w:r>
      <w:hyperlink w:anchor="tab:transferalt">
        <w:r>
          <w:rPr>
            <w:rStyle w:val="Hyperlink"/>
          </w:rPr>
          <w:t xml:space="preserve">[tab:transferalt]</w:t>
        </w:r>
      </w:hyperlink>
      <w:r>
        <w:t xml:space="preserve"> </w:t>
      </w:r>
      <w:r>
        <w:t xml:space="preserve">repeats the transfer ratios with token F1 and answer containment. Table </w:t>
      </w:r>
      <w:hyperlink w:anchor="tab:decomp">
        <w:r>
          <w:rPr>
            <w:rStyle w:val="Hyperlink"/>
          </w:rPr>
          <w:t xml:space="preserve">[tab:decomp]</w:t>
        </w:r>
      </w:hyperlink>
      <w:r>
        <w:t xml:space="preserve"> </w:t>
      </w:r>
      <w:r>
        <w:t xml:space="preserve">gives EM given a hit and given a miss, which enter Eq. </w:t>
      </w:r>
      <w:hyperlink w:anchor="eq:decomp">
        <w:r>
          <w:rPr>
            <w:rStyle w:val="Hyperlink"/>
          </w:rPr>
          <w:t xml:space="preserve">[eq:decomp]</w:t>
        </w:r>
      </w:hyperlink>
      <w:r>
        <w:t xml:space="preserve">. Table </w:t>
      </w:r>
      <w:hyperlink w:anchor="tab:idk">
        <w:r>
          <w:rPr>
            <w:rStyle w:val="Hyperlink"/>
          </w:rPr>
          <w:t xml:space="preserve">10</w:t>
        </w:r>
      </w:hyperlink>
      <w:r>
        <w:t xml:space="preserve"> </w:t>
      </w:r>
      <w:r>
        <w:t xml:space="preserve">gives the abstention-prompt check, Table </w:t>
      </w:r>
      <w:hyperlink w:anchor="tab:transferk">
        <w:r>
          <w:rPr>
            <w:rStyle w:val="Hyperlink"/>
          </w:rPr>
          <w:t xml:space="preserve">[tab:transferk]</w:t>
        </w:r>
      </w:hyperlink>
      <w:r>
        <w:t xml:space="preserve"> </w:t>
      </w:r>
      <w:r>
        <w:t xml:space="preserve">the exploratory transfer ratios at each</w:t>
      </w:r>
      <w:r>
        <w:t xml:space="preserve"> </w:t>
      </w:r>
      <m:oMath>
        <m:r>
          <m:t>k</m:t>
        </m:r>
      </m:oMath>
      <w:r>
        <w:t xml:space="preserve">, Table </w:t>
      </w:r>
      <w:hyperlink w:anchor="tab:pairwise">
        <w:r>
          <w:rPr>
            <w:rStyle w:val="Hyperlink"/>
          </w:rPr>
          <w:t xml:space="preserve">[tab:pairwise]</w:t>
        </w:r>
      </w:hyperlink>
      <w:r>
        <w:t xml:space="preserve"> </w:t>
      </w:r>
      <w:r>
        <w:t xml:space="preserve">all pairwise EM tests, and Table </w:t>
      </w:r>
      <w:hyperlink w:anchor="tab:judgerates">
        <w:r>
          <w:rPr>
            <w:rStyle w:val="Hyperlink"/>
          </w:rPr>
          <w:t xml:space="preserve">11</w:t>
        </w:r>
      </w:hyperlink>
      <w:r>
        <w:t xml:space="preserve"> </w:t>
      </w:r>
      <w:r>
        <w:t xml:space="preserve">the excluded judge labels.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[0.340, 0.380]</w:t>
            </w:r>
          </w:p>
        </w:tc>
        <w:tc>
          <w:tcPr/>
          <w:p>
            <w:pPr>
              <w:pStyle w:val="Compact"/>
              <w:jc w:val="center"/>
            </w:pPr>
            <w:r>
              <w:t xml:space="preserve">[0.321, 0.360]</w:t>
            </w:r>
          </w:p>
        </w:tc>
        <w:tc>
          <w:tcPr/>
          <w:p>
            <w:pPr>
              <w:pStyle w:val="Compact"/>
              <w:jc w:val="center"/>
            </w:pPr>
            <w:r>
              <w:t xml:space="preserve">[0.318, 0.359]</w:t>
            </w:r>
          </w:p>
        </w:tc>
        <w:tc>
          <w:tcPr/>
          <w:p>
            <w:pPr>
              <w:pStyle w:val="Compact"/>
              <w:jc w:val="center"/>
            </w:pPr>
            <w:r>
              <w:t xml:space="preserve">[0.315, 0.356]</w:t>
            </w:r>
          </w:p>
        </w:tc>
      </w:tr>
      <w:tr>
        <w:tc>
          <w:tcPr/>
          <w:p>
            <w:pPr>
              <w:pStyle w:val="Compact"/>
              <w:jc w:val="left"/>
            </w:pPr>
            <w:r>
              <w:t xml:space="preserve">MiniLM-L6</w:t>
            </w:r>
          </w:p>
        </w:tc>
        <w:tc>
          <w:tcPr/>
          <w:p>
            <w:pPr>
              <w:pStyle w:val="Compact"/>
              <w:jc w:val="center"/>
            </w:pPr>
            <w:r>
              <w:t xml:space="preserve">[0.451, 0.492]</w:t>
            </w:r>
          </w:p>
        </w:tc>
        <w:tc>
          <w:tcPr/>
          <w:p>
            <w:pPr>
              <w:pStyle w:val="Compact"/>
              <w:jc w:val="center"/>
            </w:pPr>
            <w:r>
              <w:t xml:space="preserve">[0.427, 0.469]</w:t>
            </w:r>
          </w:p>
        </w:tc>
        <w:tc>
          <w:tcPr/>
          <w:p>
            <w:pPr>
              <w:pStyle w:val="Compact"/>
              <w:jc w:val="center"/>
            </w:pPr>
            <w:r>
              <w:t xml:space="preserve">[0.284, 0.325]</w:t>
            </w:r>
          </w:p>
        </w:tc>
        <w:tc>
          <w:tcPr/>
          <w:p>
            <w:pPr>
              <w:pStyle w:val="Compact"/>
              <w:jc w:val="center"/>
            </w:pPr>
            <w:r>
              <w:t xml:space="preserve">[0.278, 0.318]</w:t>
            </w:r>
          </w:p>
        </w:tc>
      </w:tr>
      <w:tr>
        <w:tc>
          <w:tcPr/>
          <w:p>
            <w:pPr>
              <w:pStyle w:val="Compact"/>
              <w:jc w:val="left"/>
            </w:pPr>
            <w:r>
              <w:t xml:space="preserve">bge-small</w:t>
            </w:r>
          </w:p>
        </w:tc>
        <w:tc>
          <w:tcPr/>
          <w:p>
            <w:pPr>
              <w:pStyle w:val="Compact"/>
              <w:jc w:val="center"/>
            </w:pPr>
            <w:r>
              <w:t xml:space="preserve">[0.463, 0.505]</w:t>
            </w:r>
          </w:p>
        </w:tc>
        <w:tc>
          <w:tcPr/>
          <w:p>
            <w:pPr>
              <w:pStyle w:val="Compact"/>
              <w:jc w:val="center"/>
            </w:pPr>
            <w:r>
              <w:t xml:space="preserve">[0.439, 0.481]</w:t>
            </w:r>
          </w:p>
        </w:tc>
        <w:tc>
          <w:tcPr/>
          <w:p>
            <w:pPr>
              <w:pStyle w:val="Compact"/>
              <w:jc w:val="center"/>
            </w:pPr>
            <w:r>
              <w:t xml:space="preserve">[0.372, 0.415]</w:t>
            </w:r>
          </w:p>
        </w:tc>
        <w:tc>
          <w:tcPr/>
          <w:p>
            <w:pPr>
              <w:pStyle w:val="Compact"/>
              <w:jc w:val="center"/>
            </w:pPr>
            <w:r>
              <w:t xml:space="preserve">[0.370, 0.413]</w:t>
            </w:r>
          </w:p>
        </w:tc>
      </w:tr>
      <w:tr>
        <w:tc>
          <w:tcPr/>
          <w:p>
            <w:pPr>
              <w:pStyle w:val="Compact"/>
              <w:jc w:val="left"/>
            </w:pPr>
            <w:r>
              <w:t xml:space="preserve">bge-base</w:t>
            </w:r>
          </w:p>
        </w:tc>
        <w:tc>
          <w:tcPr/>
          <w:p>
            <w:pPr>
              <w:pStyle w:val="Compact"/>
              <w:jc w:val="center"/>
            </w:pPr>
            <w:r>
              <w:t xml:space="preserve">[0.473, 0.513]</w:t>
            </w:r>
          </w:p>
        </w:tc>
        <w:tc>
          <w:tcPr/>
          <w:p>
            <w:pPr>
              <w:pStyle w:val="Compact"/>
              <w:jc w:val="center"/>
            </w:pPr>
            <w:r>
              <w:t xml:space="preserve">[0.456, 0.497]</w:t>
            </w:r>
          </w:p>
        </w:tc>
        <w:tc>
          <w:tcPr/>
          <w:p>
            <w:pPr>
              <w:pStyle w:val="Compact"/>
              <w:jc w:val="center"/>
            </w:pPr>
            <w:r>
              <w:t xml:space="preserve">[0.383, 0.426]</w:t>
            </w:r>
          </w:p>
        </w:tc>
        <w:tc>
          <w:tcPr/>
          <w:p>
            <w:pPr>
              <w:pStyle w:val="Compact"/>
              <w:jc w:val="center"/>
            </w:pPr>
            <w:r>
              <w:t xml:space="preserve">[0.394, 0.438]</w:t>
            </w:r>
          </w:p>
        </w:tc>
      </w:tr>
      <w:tr>
        <w:tc>
          <w:tcPr/>
          <w:p>
            <w:pPr>
              <w:pStyle w:val="Compact"/>
              <w:jc w:val="left"/>
            </w:pPr>
            <w:r>
              <w:t xml:space="preserve">bge-large</w:t>
            </w:r>
          </w:p>
        </w:tc>
        <w:tc>
          <w:tcPr/>
          <w:p>
            <w:pPr>
              <w:pStyle w:val="Compact"/>
              <w:jc w:val="center"/>
            </w:pPr>
            <w:r>
              <w:t xml:space="preserve">[0.482, 0.524]</w:t>
            </w:r>
          </w:p>
        </w:tc>
        <w:tc>
          <w:tcPr/>
          <w:p>
            <w:pPr>
              <w:pStyle w:val="Compact"/>
              <w:jc w:val="center"/>
            </w:pPr>
            <w:r>
              <w:t xml:space="preserve">[0.448, 0.489]</w:t>
            </w:r>
          </w:p>
        </w:tc>
        <w:tc>
          <w:tcPr/>
          <w:p>
            <w:pPr>
              <w:pStyle w:val="Compact"/>
              <w:jc w:val="center"/>
            </w:pPr>
            <w:r>
              <w:t xml:space="preserve">[0.402, 0.446]</w:t>
            </w:r>
          </w:p>
        </w:tc>
        <w:tc>
          <w:tcPr/>
          <w:p>
            <w:pPr>
              <w:pStyle w:val="Compact"/>
              <w:jc w:val="center"/>
            </w:pPr>
            <w:r>
              <w:t xml:space="preserve">[0.408, 0.453]</w:t>
            </w:r>
          </w:p>
        </w:tc>
      </w:tr>
      <w:tr>
        <w:tc>
          <w:tcPr/>
          <w:p>
            <w:pPr>
              <w:pStyle w:val="Compact"/>
              <w:jc w:val="left"/>
            </w:pPr>
            <w:r>
              <w:t xml:space="preserve">e5-base-v2</w:t>
            </w:r>
          </w:p>
        </w:tc>
        <w:tc>
          <w:tcPr/>
          <w:p>
            <w:pPr>
              <w:pStyle w:val="Compact"/>
              <w:jc w:val="center"/>
            </w:pPr>
            <w:r>
              <w:t xml:space="preserve">[0.489, 0.530]</w:t>
            </w:r>
          </w:p>
        </w:tc>
        <w:tc>
          <w:tcPr/>
          <w:p>
            <w:pPr>
              <w:pStyle w:val="Compact"/>
              <w:jc w:val="center"/>
            </w:pPr>
            <w:r>
              <w:t xml:space="preserve">[0.452, 0.493]</w:t>
            </w:r>
          </w:p>
        </w:tc>
        <w:tc>
          <w:tcPr/>
          <w:p>
            <w:pPr>
              <w:pStyle w:val="Compact"/>
              <w:jc w:val="center"/>
            </w:pPr>
            <w:r>
              <w:t xml:space="preserve">[0.374, 0.417]</w:t>
            </w:r>
          </w:p>
        </w:tc>
        <w:tc>
          <w:tcPr/>
          <w:p>
            <w:pPr>
              <w:pStyle w:val="Compact"/>
              <w:jc w:val="center"/>
            </w:pPr>
            <w:r>
              <w:t xml:space="preserve">[0.387, 0.430]</w:t>
            </w:r>
          </w:p>
        </w:tc>
      </w:tr>
      <w:tr>
        <w:tc>
          <w:tcPr/>
          <w:p>
            <w:pPr>
              <w:pStyle w:val="Compact"/>
              <w:jc w:val="left"/>
            </w:pPr>
            <w:r>
              <w:t xml:space="preserve">Qwen3-Emb-0.6B</w:t>
            </w:r>
          </w:p>
        </w:tc>
        <w:tc>
          <w:tcPr/>
          <w:p>
            <w:pPr>
              <w:pStyle w:val="Compact"/>
              <w:jc w:val="center"/>
            </w:pPr>
            <w:r>
              <w:t xml:space="preserve">[0.471, 0.512]</w:t>
            </w:r>
          </w:p>
        </w:tc>
        <w:tc>
          <w:tcPr/>
          <w:p>
            <w:pPr>
              <w:pStyle w:val="Compact"/>
              <w:jc w:val="center"/>
            </w:pPr>
            <w:r>
              <w:t xml:space="preserve">[0.445, 0.487]</w:t>
            </w:r>
          </w:p>
        </w:tc>
        <w:tc>
          <w:tcPr/>
          <w:p>
            <w:pPr>
              <w:pStyle w:val="Compact"/>
              <w:jc w:val="center"/>
            </w:pPr>
            <w:r>
              <w:t xml:space="preserve">[0.345, 0.388]</w:t>
            </w:r>
          </w:p>
        </w:tc>
        <w:tc>
          <w:tcPr/>
          <w:p>
            <w:pPr>
              <w:pStyle w:val="Compact"/>
              <w:jc w:val="center"/>
            </w:pPr>
            <w:r>
              <w:t xml:space="preserve">[0.345, 0.388]</w:t>
            </w:r>
          </w:p>
        </w:tc>
      </w:tr>
      <w:tr>
        <w:tc>
          <w:tcPr/>
          <w:p>
            <w:pPr>
              <w:pStyle w:val="Compact"/>
              <w:jc w:val="left"/>
            </w:pPr>
            <w:r>
              <w:t xml:space="preserve">Closed book</w:t>
            </w:r>
          </w:p>
        </w:tc>
        <w:tc>
          <w:tcPr/>
          <w:p>
            <w:pPr>
              <w:pStyle w:val="Compact"/>
              <w:jc w:val="center"/>
            </w:pPr>
            <w:r>
              <w:t xml:space="preserve">[0.135, 0.164]</w:t>
            </w:r>
          </w:p>
        </w:tc>
        <w:tc>
          <w:tcPr/>
          <w:p>
            <w:pPr>
              <w:pStyle w:val="Compact"/>
              <w:jc w:val="center"/>
            </w:pPr>
            <w:r>
              <w:t xml:space="preserve">[0.180, 0.213]</w:t>
            </w:r>
          </w:p>
        </w:tc>
        <w:tc>
          <w:tcPr/>
          <w:p>
            <w:pPr>
              <w:pStyle w:val="Compact"/>
              <w:jc w:val="center"/>
            </w:pPr>
            <w:r>
              <w:t xml:space="preserve">[0.143, 0.174]</w:t>
            </w:r>
          </w:p>
        </w:tc>
        <w:tc>
          <w:tcPr/>
          <w:p>
            <w:pPr>
              <w:pStyle w:val="Compact"/>
              <w:jc w:val="center"/>
            </w:pPr>
            <w:r>
              <w:t xml:space="preserve">[0.133, 0.165]</w:t>
            </w:r>
          </w:p>
        </w:tc>
      </w:tr>
      <w:tr>
        <w:tc>
          <w:tcPr/>
          <w:p>
            <w:pPr>
              <w:pStyle w:val="Compact"/>
              <w:jc w:val="left"/>
            </w:pPr>
            <w:r>
              <w:t xml:space="preserve">Gold passages</w:t>
            </w:r>
          </w:p>
        </w:tc>
        <w:tc>
          <w:tcPr/>
          <w:p>
            <w:pPr>
              <w:pStyle w:val="Compact"/>
              <w:jc w:val="center"/>
            </w:pPr>
            <w:r>
              <w:t xml:space="preserve">[0.633, 0.673]</w:t>
            </w:r>
          </w:p>
        </w:tc>
        <w:tc>
          <w:tcPr/>
          <w:p>
            <w:pPr>
              <w:pStyle w:val="Compact"/>
              <w:jc w:val="center"/>
            </w:pPr>
            <w:r>
              <w:t xml:space="preserve">[0.593, 0.633]</w:t>
            </w:r>
          </w:p>
        </w:tc>
        <w:tc>
          <w:tcPr/>
          <w:p>
            <w:pPr>
              <w:pStyle w:val="Compact"/>
              <w:jc w:val="center"/>
            </w:pPr>
            <w:r>
              <w:t xml:space="preserve">[0.607, 0.649]</w:t>
            </w:r>
          </w:p>
        </w:tc>
        <w:tc>
          <w:tcPr/>
          <w:p>
            <w:pPr>
              <w:pStyle w:val="Compact"/>
              <w:jc w:val="center"/>
            </w:pPr>
            <w:r>
              <w:t xml:space="preserve">[0.602, 0.645]</w:t>
            </w:r>
          </w:p>
        </w:tc>
      </w:tr>
      <w:tr>
        <w:tc>
          <w:tcPr/>
          <w:p>
            <w:pPr>
              <w:pStyle w:val="Compact"/>
              <w:jc w:val="left"/>
            </w:pPr>
            <w:r>
              <w:t xml:space="preserve">Retrieval</w:t>
            </w:r>
          </w:p>
        </w:tc>
        <w:tc>
          <w:tcPr/>
          <w:p>
            <w:pPr>
              <w:pStyle w:val="Compact"/>
              <w:jc w:val="center"/>
            </w:pPr>
            <w:r>
              <w:t xml:space="preserve">NQ Hit@5</w:t>
            </w:r>
          </w:p>
        </w:tc>
        <w:tc>
          <w:tcPr/>
          <w:p>
            <w:pPr>
              <w:pStyle w:val="Compact"/>
            </w:pPr>
          </w:p>
        </w:tc>
        <w:tc>
          <w:tcPr/>
          <w:p>
            <w:pPr>
              <w:pStyle w:val="Compact"/>
              <w:jc w:val="center"/>
            </w:pPr>
            <w:r>
              <w:t xml:space="preserve">HotpotQA Hit@5</w:t>
            </w:r>
          </w:p>
        </w:tc>
        <w:tc>
          <w:tcPr/>
          <w:p>
            <w:pPr>
              <w:pStyle w:val="Compact"/>
              <w:jc w:val="center"/>
            </w:pPr>
            <w:r>
              <w:t xml:space="preserve">HotpotQA Both@5</w:t>
            </w:r>
          </w:p>
        </w:tc>
      </w:tr>
      <w:tr>
        <w:tc>
          <w:tcPr/>
          <w:p>
            <w:pPr>
              <w:pStyle w:val="Compact"/>
              <w:jc w:val="left"/>
            </w:pPr>
            <w:r>
              <w:t xml:space="preserve">BM25</w:t>
            </w:r>
          </w:p>
        </w:tc>
        <w:tc>
          <w:tcPr/>
          <w:p>
            <w:pPr>
              <w:pStyle w:val="Compact"/>
              <w:jc w:val="center"/>
            </w:pPr>
            <w:r>
              <w:t xml:space="preserve">[0.343, 0.383]</w:t>
            </w:r>
          </w:p>
        </w:tc>
        <w:tc>
          <w:tcPr/>
          <w:p>
            <w:pPr>
              <w:pStyle w:val="Compact"/>
            </w:pPr>
          </w:p>
        </w:tc>
        <w:tc>
          <w:tcPr/>
          <w:p>
            <w:pPr>
              <w:pStyle w:val="Compact"/>
              <w:jc w:val="center"/>
            </w:pPr>
            <w:r>
              <w:t xml:space="preserve">[0.816, 0.849]</w:t>
            </w:r>
          </w:p>
        </w:tc>
        <w:tc>
          <w:tcPr/>
          <w:p>
            <w:pPr>
              <w:pStyle w:val="Compact"/>
              <w:jc w:val="center"/>
            </w:pPr>
            <w:r>
              <w:t xml:space="preserve">[0.244, 0.283]</w:t>
            </w:r>
          </w:p>
        </w:tc>
      </w:tr>
      <w:tr>
        <w:tc>
          <w:tcPr/>
          <w:p>
            <w:pPr>
              <w:pStyle w:val="Compact"/>
              <w:jc w:val="left"/>
            </w:pPr>
            <w:r>
              <w:t xml:space="preserve">MiniLM-L6</w:t>
            </w:r>
          </w:p>
        </w:tc>
        <w:tc>
          <w:tcPr/>
          <w:p>
            <w:pPr>
              <w:pStyle w:val="Compact"/>
              <w:jc w:val="center"/>
            </w:pPr>
            <w:r>
              <w:t xml:space="preserve">[0.645, 0.683]</w:t>
            </w:r>
          </w:p>
        </w:tc>
        <w:tc>
          <w:tcPr/>
          <w:p>
            <w:pPr>
              <w:pStyle w:val="Compact"/>
            </w:pPr>
          </w:p>
        </w:tc>
        <w:tc>
          <w:tcPr/>
          <w:p>
            <w:pPr>
              <w:pStyle w:val="Compact"/>
              <w:jc w:val="center"/>
            </w:pPr>
            <w:r>
              <w:t xml:space="preserve">[0.799, 0.834]</w:t>
            </w:r>
          </w:p>
        </w:tc>
        <w:tc>
          <w:tcPr/>
          <w:p>
            <w:pPr>
              <w:pStyle w:val="Compact"/>
              <w:jc w:val="center"/>
            </w:pPr>
            <w:r>
              <w:t xml:space="preserve">[0.212, 0.248]</w:t>
            </w:r>
          </w:p>
        </w:tc>
      </w:tr>
      <w:tr>
        <w:tc>
          <w:tcPr/>
          <w:p>
            <w:pPr>
              <w:pStyle w:val="Compact"/>
              <w:jc w:val="left"/>
            </w:pPr>
            <w:r>
              <w:t xml:space="preserve">bge-small</w:t>
            </w:r>
          </w:p>
        </w:tc>
        <w:tc>
          <w:tcPr/>
          <w:p>
            <w:pPr>
              <w:pStyle w:val="Compact"/>
              <w:jc w:val="center"/>
            </w:pPr>
            <w:r>
              <w:t xml:space="preserve">[0.710, 0.747]</w:t>
            </w:r>
          </w:p>
        </w:tc>
        <w:tc>
          <w:tcPr/>
          <w:p>
            <w:pPr>
              <w:pStyle w:val="Compact"/>
            </w:pPr>
          </w:p>
        </w:tc>
        <w:tc>
          <w:tcPr/>
          <w:p>
            <w:pPr>
              <w:pStyle w:val="Compact"/>
              <w:jc w:val="center"/>
            </w:pPr>
            <w:r>
              <w:t xml:space="preserve">[0.944, 0.963]</w:t>
            </w:r>
          </w:p>
        </w:tc>
        <w:tc>
          <w:tcPr/>
          <w:p>
            <w:pPr>
              <w:pStyle w:val="Compact"/>
              <w:jc w:val="center"/>
            </w:pPr>
            <w:r>
              <w:t xml:space="preserve">[0.519, 0.563]</w:t>
            </w:r>
          </w:p>
        </w:tc>
      </w:tr>
      <w:tr>
        <w:tc>
          <w:tcPr/>
          <w:p>
            <w:pPr>
              <w:pStyle w:val="Compact"/>
              <w:jc w:val="left"/>
            </w:pPr>
            <w:r>
              <w:t xml:space="preserve">bge-base</w:t>
            </w:r>
          </w:p>
        </w:tc>
        <w:tc>
          <w:tcPr/>
          <w:p>
            <w:pPr>
              <w:pStyle w:val="Compact"/>
              <w:jc w:val="center"/>
            </w:pPr>
            <w:r>
              <w:t xml:space="preserve">[0.753, 0.788]</w:t>
            </w:r>
          </w:p>
        </w:tc>
        <w:tc>
          <w:tcPr/>
          <w:p>
            <w:pPr>
              <w:pStyle w:val="Compact"/>
            </w:pPr>
          </w:p>
        </w:tc>
        <w:tc>
          <w:tcPr/>
          <w:p>
            <w:pPr>
              <w:pStyle w:val="Compact"/>
              <w:jc w:val="center"/>
            </w:pPr>
            <w:r>
              <w:t xml:space="preserve">[0.949, 0.967]</w:t>
            </w:r>
          </w:p>
        </w:tc>
        <w:tc>
          <w:tcPr/>
          <w:p>
            <w:pPr>
              <w:pStyle w:val="Compact"/>
              <w:jc w:val="center"/>
            </w:pPr>
            <w:r>
              <w:t xml:space="preserve">[0.550, 0.594]</w:t>
            </w:r>
          </w:p>
        </w:tc>
      </w:tr>
      <w:tr>
        <w:tc>
          <w:tcPr/>
          <w:p>
            <w:pPr>
              <w:pStyle w:val="Compact"/>
              <w:jc w:val="left"/>
            </w:pPr>
            <w:r>
              <w:t xml:space="preserve">bge-large</w:t>
            </w:r>
          </w:p>
        </w:tc>
        <w:tc>
          <w:tcPr/>
          <w:p>
            <w:pPr>
              <w:pStyle w:val="Compact"/>
              <w:jc w:val="center"/>
            </w:pPr>
            <w:r>
              <w:t xml:space="preserve">[0.779, 0.812]</w:t>
            </w:r>
          </w:p>
        </w:tc>
        <w:tc>
          <w:tcPr/>
          <w:p>
            <w:pPr>
              <w:pStyle w:val="Compact"/>
            </w:pPr>
          </w:p>
        </w:tc>
        <w:tc>
          <w:tcPr/>
          <w:p>
            <w:pPr>
              <w:pStyle w:val="Compact"/>
              <w:jc w:val="center"/>
            </w:pPr>
            <w:r>
              <w:t xml:space="preserve">[0.952, 0.969]</w:t>
            </w:r>
          </w:p>
        </w:tc>
        <w:tc>
          <w:tcPr/>
          <w:p>
            <w:pPr>
              <w:pStyle w:val="Compact"/>
              <w:jc w:val="center"/>
            </w:pPr>
            <w:r>
              <w:t xml:space="preserve">[0.599, 0.642]</w:t>
            </w:r>
          </w:p>
        </w:tc>
      </w:tr>
      <w:tr>
        <w:tc>
          <w:tcPr/>
          <w:p>
            <w:pPr>
              <w:pStyle w:val="Compact"/>
              <w:jc w:val="left"/>
            </w:pPr>
            <w:r>
              <w:t xml:space="preserve">e5-base-v2</w:t>
            </w:r>
          </w:p>
        </w:tc>
        <w:tc>
          <w:tcPr/>
          <w:p>
            <w:pPr>
              <w:pStyle w:val="Compact"/>
              <w:jc w:val="center"/>
            </w:pPr>
            <w:r>
              <w:t xml:space="preserve">[0.800, 0.832]</w:t>
            </w:r>
          </w:p>
        </w:tc>
        <w:tc>
          <w:tcPr/>
          <w:p>
            <w:pPr>
              <w:pStyle w:val="Compact"/>
            </w:pPr>
          </w:p>
        </w:tc>
        <w:tc>
          <w:tcPr/>
          <w:p>
            <w:pPr>
              <w:pStyle w:val="Compact"/>
              <w:jc w:val="center"/>
            </w:pPr>
            <w:r>
              <w:t xml:space="preserve">[0.941, 0.960]</w:t>
            </w:r>
          </w:p>
        </w:tc>
        <w:tc>
          <w:tcPr/>
          <w:p>
            <w:pPr>
              <w:pStyle w:val="Compact"/>
              <w:jc w:val="center"/>
            </w:pPr>
            <w:r>
              <w:t xml:space="preserve">[0.522, 0.567]</w:t>
            </w:r>
          </w:p>
        </w:tc>
      </w:tr>
      <w:tr>
        <w:tc>
          <w:tcPr/>
          <w:p>
            <w:pPr>
              <w:pStyle w:val="Compact"/>
              <w:jc w:val="left"/>
            </w:pPr>
            <w:r>
              <w:t xml:space="preserve">Qwen3-Emb-0.6B</w:t>
            </w:r>
          </w:p>
        </w:tc>
        <w:tc>
          <w:tcPr/>
          <w:p>
            <w:pPr>
              <w:pStyle w:val="Compact"/>
              <w:jc w:val="center"/>
            </w:pPr>
            <w:r>
              <w:t xml:space="preserve">[0.726, 0.762]</w:t>
            </w:r>
          </w:p>
        </w:tc>
        <w:tc>
          <w:tcPr/>
          <w:p>
            <w:pPr>
              <w:pStyle w:val="Compact"/>
            </w:pPr>
          </w:p>
        </w:tc>
        <w:tc>
          <w:tcPr/>
          <w:p>
            <w:pPr>
              <w:pStyle w:val="Compact"/>
              <w:jc w:val="center"/>
            </w:pPr>
            <w:r>
              <w:t xml:space="preserve">[0.934, 0.955]</w:t>
            </w:r>
          </w:p>
        </w:tc>
        <w:tc>
          <w:tcPr/>
          <w:p>
            <w:pPr>
              <w:pStyle w:val="Compact"/>
              <w:jc w:val="center"/>
            </w:pPr>
            <w:r>
              <w:t xml:space="preserve">[0.422, 0.467]</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gridSpan w:val="5"/>
          </w:tcPr>
          <w:p>
            <w:pPr>
              <w:pStyle w:val="Compact"/>
              <w:jc w:val="left"/>
            </w:pPr>
            <w:r>
              <w:rPr>
                <w:iCs/>
                <w:i/>
              </w:rPr>
              <w:t xml:space="preserve">Token F1</w:t>
            </w:r>
          </w:p>
        </w:tc>
      </w:tr>
      <w:tr>
        <w:tc>
          <w:tcPr/>
          <w:p>
            <w:pPr>
              <w:pStyle w:val="Compact"/>
              <w:jc w:val="left"/>
            </w:pPr>
            <w:r>
              <w:t xml:space="preserve">BM25</w:t>
            </w:r>
          </w:p>
        </w:tc>
        <w:tc>
          <w:tcPr/>
          <w:p>
            <w:pPr>
              <w:pStyle w:val="Compact"/>
              <w:jc w:val="center"/>
            </w:pPr>
            <w:r>
              <w:t xml:space="preserve">0.43 [0.37, 0.48]</w:t>
            </w:r>
          </w:p>
        </w:tc>
        <w:tc>
          <w:tcPr/>
          <w:p>
            <w:pPr>
              <w:pStyle w:val="Compact"/>
              <w:jc w:val="center"/>
            </w:pPr>
            <w:r>
              <w:t xml:space="preserve">0.43 [0.37, 0.49]</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0.26 [0.02, 0.49]</w:t>
            </w:r>
          </w:p>
        </w:tc>
        <w:tc>
          <w:tcPr/>
          <w:p>
            <w:pPr>
              <w:pStyle w:val="Compact"/>
              <w:jc w:val="center"/>
            </w:pPr>
            <w:r>
              <w:t xml:space="preserve">0.23 [0.00, 0.45]</w:t>
            </w:r>
          </w:p>
        </w:tc>
        <w:tc>
          <w:tcPr/>
          <w:p>
            <w:pPr>
              <w:pStyle w:val="Compact"/>
              <w:jc w:val="center"/>
            </w:pPr>
            <w:r>
              <w:t xml:space="preserve">0.76 [0.62, 0.92]</w:t>
            </w:r>
          </w:p>
        </w:tc>
        <w:tc>
          <w:tcPr/>
          <w:p>
            <w:pPr>
              <w:pStyle w:val="Compact"/>
              <w:jc w:val="center"/>
            </w:pPr>
            <w:r>
              <w:t xml:space="preserve">0.85 [0.70, 1.01]</w:t>
            </w:r>
          </w:p>
        </w:tc>
      </w:tr>
      <w:tr>
        <w:tc>
          <w:tcPr/>
          <w:p>
            <w:pPr>
              <w:pStyle w:val="Compact"/>
              <w:jc w:val="left"/>
            </w:pPr>
            <w:r>
              <w:t xml:space="preserve">bge-base</w:t>
            </w:r>
          </w:p>
        </w:tc>
        <w:tc>
          <w:tcPr/>
          <w:p>
            <w:pPr>
              <w:pStyle w:val="Compact"/>
              <w:jc w:val="center"/>
            </w:pPr>
            <w:r>
              <w:t xml:space="preserve">0.26 [0.11, 0.40]</w:t>
            </w:r>
          </w:p>
        </w:tc>
        <w:tc>
          <w:tcPr/>
          <w:p>
            <w:pPr>
              <w:pStyle w:val="Compact"/>
              <w:jc w:val="center"/>
            </w:pPr>
            <w:r>
              <w:t xml:space="preserve">0.33 [0.19, 0.47]</w:t>
            </w:r>
          </w:p>
        </w:tc>
        <w:tc>
          <w:tcPr/>
          <w:p>
            <w:pPr>
              <w:pStyle w:val="Compact"/>
              <w:jc w:val="center"/>
            </w:pPr>
            <w:r>
              <w:t xml:space="preserve">0.79 [0.65, 0.95]</w:t>
            </w:r>
          </w:p>
        </w:tc>
        <w:tc>
          <w:tcPr/>
          <w:p>
            <w:pPr>
              <w:pStyle w:val="Compact"/>
              <w:jc w:val="center"/>
            </w:pPr>
            <w:r>
              <w:t xml:space="preserve">0.95 [0.80, 1.11]</w:t>
            </w:r>
          </w:p>
        </w:tc>
      </w:tr>
      <w:tr>
        <w:tc>
          <w:tcPr/>
          <w:p>
            <w:pPr>
              <w:pStyle w:val="Compact"/>
              <w:jc w:val="left"/>
            </w:pPr>
            <w:r>
              <w:t xml:space="preserve">bge-large</w:t>
            </w:r>
          </w:p>
        </w:tc>
        <w:tc>
          <w:tcPr/>
          <w:p>
            <w:pPr>
              <w:pStyle w:val="Compact"/>
              <w:jc w:val="center"/>
            </w:pPr>
            <w:r>
              <w:t xml:space="preserve">0.27 [0.15, 0.39]</w:t>
            </w:r>
          </w:p>
        </w:tc>
        <w:tc>
          <w:tcPr/>
          <w:p>
            <w:pPr>
              <w:pStyle w:val="Compact"/>
              <w:jc w:val="center"/>
            </w:pPr>
            <w:r>
              <w:t xml:space="preserve">0.25 [0.13, 0.36]</w:t>
            </w:r>
          </w:p>
        </w:tc>
        <w:tc>
          <w:tcPr/>
          <w:p>
            <w:pPr>
              <w:pStyle w:val="Compact"/>
              <w:jc w:val="center"/>
            </w:pPr>
            <w:r>
              <w:t xml:space="preserve">0.97 [0.82, 1.14]</w:t>
            </w:r>
          </w:p>
        </w:tc>
        <w:tc>
          <w:tcPr/>
          <w:p>
            <w:pPr>
              <w:pStyle w:val="Compact"/>
              <w:jc w:val="center"/>
            </w:pPr>
            <w:r>
              <w:t xml:space="preserve">1.10 [0.95, 1.28]</w:t>
            </w:r>
          </w:p>
        </w:tc>
      </w:tr>
      <w:tr>
        <w:tc>
          <w:tcPr/>
          <w:p>
            <w:pPr>
              <w:pStyle w:val="Compact"/>
              <w:jc w:val="left"/>
            </w:pPr>
            <w:r>
              <w:t xml:space="preserve">e5-base-v2</w:t>
            </w:r>
          </w:p>
        </w:tc>
        <w:tc>
          <w:tcPr/>
          <w:p>
            <w:pPr>
              <w:pStyle w:val="Compact"/>
              <w:jc w:val="center"/>
            </w:pPr>
            <w:r>
              <w:t xml:space="preserve">0.30 [0.20, 0.39]</w:t>
            </w:r>
          </w:p>
        </w:tc>
        <w:tc>
          <w:tcPr/>
          <w:p>
            <w:pPr>
              <w:pStyle w:val="Compact"/>
              <w:jc w:val="center"/>
            </w:pPr>
            <w:r>
              <w:t xml:space="preserve">0.26 [0.17, 0.36]</w:t>
            </w:r>
          </w:p>
        </w:tc>
        <w:tc>
          <w:tcPr/>
          <w:p>
            <w:pPr>
              <w:pStyle w:val="Compact"/>
              <w:jc w:val="center"/>
            </w:pPr>
            <w:r>
              <w:t xml:space="preserve">0.77 [0.62, 0.92]</w:t>
            </w:r>
          </w:p>
        </w:tc>
        <w:tc>
          <w:tcPr/>
          <w:p>
            <w:pPr>
              <w:pStyle w:val="Compact"/>
              <w:jc w:val="center"/>
            </w:pPr>
            <w:r>
              <w:t xml:space="preserve">0.97 [0.82, 1.13]</w:t>
            </w:r>
          </w:p>
        </w:tc>
      </w:tr>
      <w:tr>
        <w:tc>
          <w:tcPr/>
          <w:p>
            <w:pPr>
              <w:pStyle w:val="Compact"/>
              <w:jc w:val="left"/>
            </w:pPr>
            <w:r>
              <w:t xml:space="preserve">Qwen3-Emb-0.6B</w:t>
            </w:r>
          </w:p>
        </w:tc>
        <w:tc>
          <w:tcPr/>
          <w:p>
            <w:pPr>
              <w:pStyle w:val="Compact"/>
              <w:jc w:val="center"/>
            </w:pPr>
            <w:r>
              <w:t xml:space="preserve">0.26 [0.07, 0.45]</w:t>
            </w:r>
          </w:p>
        </w:tc>
        <w:tc>
          <w:tcPr/>
          <w:p>
            <w:pPr>
              <w:pStyle w:val="Compact"/>
              <w:jc w:val="center"/>
            </w:pPr>
            <w:r>
              <w:t xml:space="preserve">0.29 [0.11, 0.47]</w:t>
            </w:r>
          </w:p>
        </w:tc>
        <w:tc>
          <w:tcPr/>
          <w:p>
            <w:pPr>
              <w:pStyle w:val="Compact"/>
              <w:jc w:val="center"/>
            </w:pPr>
            <w:r>
              <w:t xml:space="preserve">0.52 [0.38, 0.66]</w:t>
            </w:r>
          </w:p>
        </w:tc>
        <w:tc>
          <w:tcPr/>
          <w:p>
            <w:pPr>
              <w:pStyle w:val="Compact"/>
              <w:jc w:val="center"/>
            </w:pPr>
            <w:r>
              <w:t xml:space="preserve">0.66 [0.52, 0.81]</w:t>
            </w:r>
          </w:p>
        </w:tc>
      </w:tr>
      <w:tr>
        <w:tc>
          <w:tcPr>
            <w:gridSpan w:val="5"/>
          </w:tcPr>
          <w:p>
            <w:pPr>
              <w:pStyle w:val="Compact"/>
              <w:jc w:val="left"/>
            </w:pPr>
            <w:r>
              <w:rPr>
                <w:iCs/>
                <w:i/>
              </w:rPr>
              <w:t xml:space="preserve">Answer containment</w:t>
            </w:r>
          </w:p>
        </w:tc>
      </w:tr>
      <w:tr>
        <w:tc>
          <w:tcPr/>
          <w:p>
            <w:pPr>
              <w:pStyle w:val="Compact"/>
              <w:jc w:val="left"/>
            </w:pPr>
            <w:r>
              <w:t xml:space="preserve">BM25</w:t>
            </w:r>
          </w:p>
        </w:tc>
        <w:tc>
          <w:tcPr/>
          <w:p>
            <w:pPr>
              <w:pStyle w:val="Compact"/>
              <w:jc w:val="center"/>
            </w:pPr>
            <w:r>
              <w:t xml:space="preserve">0.45 [0.39, 0.52]</w:t>
            </w:r>
          </w:p>
        </w:tc>
        <w:tc>
          <w:tcPr/>
          <w:p>
            <w:pPr>
              <w:pStyle w:val="Compact"/>
              <w:jc w:val="center"/>
            </w:pPr>
            <w:r>
              <w:t xml:space="preserve">0.46 [0.39, 0.52]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0.27 [0.01, 0.52]</w:t>
            </w:r>
          </w:p>
        </w:tc>
        <w:tc>
          <w:tcPr/>
          <w:p>
            <w:pPr>
              <w:pStyle w:val="Compact"/>
              <w:jc w:val="center"/>
            </w:pPr>
            <w:r>
              <w:t xml:space="preserve">0.32 [0.07, 0.57]</w:t>
            </w:r>
          </w:p>
        </w:tc>
        <w:tc>
          <w:tcPr/>
          <w:p>
            <w:pPr>
              <w:pStyle w:val="Compact"/>
              <w:jc w:val="center"/>
            </w:pPr>
            <w:r>
              <w:t xml:space="preserve">0.68 [0.53, 0.84]</w:t>
            </w:r>
          </w:p>
        </w:tc>
        <w:tc>
          <w:tcPr/>
          <w:p>
            <w:pPr>
              <w:pStyle w:val="Compact"/>
              <w:jc w:val="center"/>
            </w:pPr>
            <w:r>
              <w:t xml:space="preserve">0.75 [0.61, 0.92]</w:t>
            </w:r>
          </w:p>
        </w:tc>
      </w:tr>
      <w:tr>
        <w:tc>
          <w:tcPr/>
          <w:p>
            <w:pPr>
              <w:pStyle w:val="Compact"/>
              <w:jc w:val="left"/>
            </w:pPr>
            <w:r>
              <w:t xml:space="preserve">bge-base</w:t>
            </w:r>
          </w:p>
        </w:tc>
        <w:tc>
          <w:tcPr/>
          <w:p>
            <w:pPr>
              <w:pStyle w:val="Compact"/>
              <w:jc w:val="center"/>
            </w:pPr>
            <w:r>
              <w:t xml:space="preserve">0.34 [0.18, 0.49]</w:t>
            </w:r>
          </w:p>
        </w:tc>
        <w:tc>
          <w:tcPr/>
          <w:p>
            <w:pPr>
              <w:pStyle w:val="Compact"/>
              <w:jc w:val="center"/>
            </w:pPr>
            <w:r>
              <w:t xml:space="preserve">0.38 [0.23, 0.53]</w:t>
            </w:r>
          </w:p>
        </w:tc>
        <w:tc>
          <w:tcPr/>
          <w:p>
            <w:pPr>
              <w:pStyle w:val="Compact"/>
              <w:jc w:val="center"/>
            </w:pPr>
            <w:r>
              <w:t xml:space="preserve">0.72 [0.57, 0.88]</w:t>
            </w:r>
          </w:p>
        </w:tc>
        <w:tc>
          <w:tcPr/>
          <w:p>
            <w:pPr>
              <w:pStyle w:val="Compact"/>
              <w:jc w:val="center"/>
            </w:pPr>
            <w:r>
              <w:t xml:space="preserve">0.90 [0.75, 1.07]</w:t>
            </w:r>
          </w:p>
        </w:tc>
      </w:tr>
      <w:tr>
        <w:tc>
          <w:tcPr/>
          <w:p>
            <w:pPr>
              <w:pStyle w:val="Compact"/>
              <w:jc w:val="left"/>
            </w:pPr>
            <w:r>
              <w:t xml:space="preserve">bge-large</w:t>
            </w:r>
          </w:p>
        </w:tc>
        <w:tc>
          <w:tcPr/>
          <w:p>
            <w:pPr>
              <w:pStyle w:val="Compact"/>
              <w:jc w:val="center"/>
            </w:pPr>
            <w:r>
              <w:t xml:space="preserve">0.34 [0.21, 0.46]</w:t>
            </w:r>
          </w:p>
        </w:tc>
        <w:tc>
          <w:tcPr/>
          <w:p>
            <w:pPr>
              <w:pStyle w:val="Compact"/>
              <w:jc w:val="center"/>
            </w:pPr>
            <w:r>
              <w:t xml:space="preserve">0.33 [0.21, 0.46]</w:t>
            </w:r>
          </w:p>
        </w:tc>
        <w:tc>
          <w:tcPr/>
          <w:p>
            <w:pPr>
              <w:pStyle w:val="Compact"/>
              <w:jc w:val="center"/>
            </w:pPr>
            <w:r>
              <w:t xml:space="preserve">0.88 [0.73, 1.04]</w:t>
            </w:r>
          </w:p>
        </w:tc>
        <w:tc>
          <w:tcPr/>
          <w:p>
            <w:pPr>
              <w:pStyle w:val="Compact"/>
              <w:jc w:val="center"/>
            </w:pPr>
            <w:r>
              <w:t xml:space="preserve">1.01 [0.86, 1.18]</w:t>
            </w:r>
          </w:p>
        </w:tc>
      </w:tr>
      <w:tr>
        <w:tc>
          <w:tcPr/>
          <w:p>
            <w:pPr>
              <w:pStyle w:val="Compact"/>
              <w:jc w:val="left"/>
            </w:pPr>
            <w:r>
              <w:t xml:space="preserve">e5-base-v2</w:t>
            </w:r>
          </w:p>
        </w:tc>
        <w:tc>
          <w:tcPr/>
          <w:p>
            <w:pPr>
              <w:pStyle w:val="Compact"/>
              <w:jc w:val="center"/>
            </w:pPr>
            <w:r>
              <w:t xml:space="preserve">0.36 [0.26, 0.47]</w:t>
            </w:r>
          </w:p>
        </w:tc>
        <w:tc>
          <w:tcPr/>
          <w:p>
            <w:pPr>
              <w:pStyle w:val="Compact"/>
              <w:jc w:val="center"/>
            </w:pPr>
            <w:r>
              <w:t xml:space="preserve">0.33 [0.23, 0.43]</w:t>
            </w:r>
          </w:p>
        </w:tc>
        <w:tc>
          <w:tcPr/>
          <w:p>
            <w:pPr>
              <w:pStyle w:val="Compact"/>
              <w:jc w:val="center"/>
            </w:pPr>
            <w:r>
              <w:t xml:space="preserve">0.71 [0.57, 0.87]</w:t>
            </w:r>
          </w:p>
        </w:tc>
        <w:tc>
          <w:tcPr/>
          <w:p>
            <w:pPr>
              <w:pStyle w:val="Compact"/>
              <w:jc w:val="center"/>
            </w:pPr>
            <w:r>
              <w:t xml:space="preserve">0.91 [0.75, 1.07]</w:t>
            </w:r>
          </w:p>
        </w:tc>
      </w:tr>
      <w:tr>
        <w:tc>
          <w:tcPr/>
          <w:p>
            <w:pPr>
              <w:pStyle w:val="Compact"/>
              <w:jc w:val="left"/>
            </w:pPr>
            <w:r>
              <w:t xml:space="preserve">Qwen3-Emb-0.6B</w:t>
            </w:r>
          </w:p>
        </w:tc>
        <w:tc>
          <w:tcPr/>
          <w:p>
            <w:pPr>
              <w:pStyle w:val="Compact"/>
              <w:jc w:val="center"/>
            </w:pPr>
            <w:r>
              <w:t xml:space="preserve">0.28 [0.08, 0.48]</w:t>
            </w:r>
          </w:p>
        </w:tc>
        <w:tc>
          <w:tcPr/>
          <w:p>
            <w:pPr>
              <w:pStyle w:val="Compact"/>
              <w:jc w:val="center"/>
            </w:pPr>
            <w:r>
              <w:t xml:space="preserve">0.39 [0.20, 0.60]</w:t>
            </w:r>
          </w:p>
        </w:tc>
        <w:tc>
          <w:tcPr/>
          <w:p>
            <w:pPr>
              <w:pStyle w:val="Compact"/>
              <w:jc w:val="center"/>
            </w:pPr>
            <w:r>
              <w:t xml:space="preserve">0.49 [0.35, 0.64]</w:t>
            </w:r>
          </w:p>
        </w:tc>
        <w:tc>
          <w:tcPr/>
          <w:p>
            <w:pPr>
              <w:pStyle w:val="Compact"/>
              <w:jc w:val="center"/>
            </w:pPr>
            <w:r>
              <w:t xml:space="preserve">0.58 [0.45, 0.74]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0.632 / 0.204</w:t>
            </w:r>
          </w:p>
        </w:tc>
        <w:tc>
          <w:tcPr/>
          <w:p>
            <w:pPr>
              <w:pStyle w:val="Compact"/>
              <w:jc w:val="center"/>
            </w:pPr>
            <w:r>
              <w:t xml:space="preserve">0.591 / 0.197</w:t>
            </w:r>
          </w:p>
        </w:tc>
        <w:tc>
          <w:tcPr/>
          <w:p>
            <w:pPr>
              <w:pStyle w:val="Compact"/>
              <w:jc w:val="center"/>
            </w:pPr>
            <w:r>
              <w:t xml:space="preserve">0.381 / 0.129</w:t>
            </w:r>
          </w:p>
        </w:tc>
        <w:tc>
          <w:tcPr/>
          <w:p>
            <w:pPr>
              <w:pStyle w:val="Compact"/>
              <w:jc w:val="center"/>
            </w:pPr>
            <w:r>
              <w:t xml:space="preserve">0.382 / 0.105</w:t>
            </w:r>
          </w:p>
        </w:tc>
      </w:tr>
      <w:tr>
        <w:tc>
          <w:tcPr/>
          <w:p>
            <w:pPr>
              <w:pStyle w:val="Compact"/>
              <w:jc w:val="left"/>
            </w:pPr>
            <w:r>
              <w:t xml:space="preserve">MiniLM-L6</w:t>
            </w:r>
          </w:p>
        </w:tc>
        <w:tc>
          <w:tcPr/>
          <w:p>
            <w:pPr>
              <w:pStyle w:val="Compact"/>
              <w:jc w:val="center"/>
            </w:pPr>
            <w:r>
              <w:t xml:space="preserve">0.584 / 0.249</w:t>
            </w:r>
          </w:p>
        </w:tc>
        <w:tc>
          <w:tcPr/>
          <w:p>
            <w:pPr>
              <w:pStyle w:val="Compact"/>
              <w:jc w:val="center"/>
            </w:pPr>
            <w:r>
              <w:t xml:space="preserve">0.554 / 0.237</w:t>
            </w:r>
          </w:p>
        </w:tc>
        <w:tc>
          <w:tcPr/>
          <w:p>
            <w:pPr>
              <w:pStyle w:val="Compact"/>
              <w:jc w:val="center"/>
            </w:pPr>
            <w:r>
              <w:t xml:space="preserve">0.350 / 0.098</w:t>
            </w:r>
          </w:p>
        </w:tc>
        <w:tc>
          <w:tcPr/>
          <w:p>
            <w:pPr>
              <w:pStyle w:val="Compact"/>
              <w:jc w:val="center"/>
            </w:pPr>
            <w:r>
              <w:t xml:space="preserve">0.348 / 0.071</w:t>
            </w:r>
          </w:p>
        </w:tc>
      </w:tr>
      <w:tr>
        <w:tc>
          <w:tcPr/>
          <w:p>
            <w:pPr>
              <w:pStyle w:val="Compact"/>
              <w:jc w:val="left"/>
            </w:pPr>
            <w:r>
              <w:t xml:space="preserve">bge-small</w:t>
            </w:r>
          </w:p>
        </w:tc>
        <w:tc>
          <w:tcPr/>
          <w:p>
            <w:pPr>
              <w:pStyle w:val="Compact"/>
              <w:jc w:val="center"/>
            </w:pPr>
            <w:r>
              <w:t xml:space="preserve">0.568 / 0.259</w:t>
            </w:r>
          </w:p>
        </w:tc>
        <w:tc>
          <w:tcPr/>
          <w:p>
            <w:pPr>
              <w:pStyle w:val="Compact"/>
              <w:jc w:val="center"/>
            </w:pPr>
            <w:r>
              <w:t xml:space="preserve">0.542 / 0.239</w:t>
            </w:r>
          </w:p>
        </w:tc>
        <w:tc>
          <w:tcPr/>
          <w:p>
            <w:pPr>
              <w:pStyle w:val="Compact"/>
              <w:jc w:val="center"/>
            </w:pPr>
            <w:r>
              <w:t xml:space="preserve">0.411 / 0.043</w:t>
            </w:r>
          </w:p>
        </w:tc>
        <w:tc>
          <w:tcPr/>
          <w:p>
            <w:pPr>
              <w:pStyle w:val="Compact"/>
              <w:jc w:val="center"/>
            </w:pPr>
            <w:r>
              <w:t xml:space="preserve">0.409 / 0.043</w:t>
            </w:r>
          </w:p>
        </w:tc>
      </w:tr>
      <w:tr>
        <w:tc>
          <w:tcPr/>
          <w:p>
            <w:pPr>
              <w:pStyle w:val="Compact"/>
              <w:jc w:val="left"/>
            </w:pPr>
            <w:r>
              <w:t xml:space="preserve">bge-base</w:t>
            </w:r>
          </w:p>
        </w:tc>
        <w:tc>
          <w:tcPr/>
          <w:p>
            <w:pPr>
              <w:pStyle w:val="Compact"/>
              <w:jc w:val="center"/>
            </w:pPr>
            <w:r>
              <w:t xml:space="preserve">0.564 / 0.257</w:t>
            </w:r>
          </w:p>
        </w:tc>
        <w:tc>
          <w:tcPr/>
          <w:p>
            <w:pPr>
              <w:pStyle w:val="Compact"/>
              <w:jc w:val="center"/>
            </w:pPr>
            <w:r>
              <w:t xml:space="preserve">0.538 / 0.270</w:t>
            </w:r>
          </w:p>
        </w:tc>
        <w:tc>
          <w:tcPr/>
          <w:p>
            <w:pPr>
              <w:pStyle w:val="Compact"/>
              <w:jc w:val="center"/>
            </w:pPr>
            <w:r>
              <w:t xml:space="preserve">0.419 / 0.060</w:t>
            </w:r>
          </w:p>
        </w:tc>
        <w:tc>
          <w:tcPr/>
          <w:p>
            <w:pPr>
              <w:pStyle w:val="Compact"/>
              <w:jc w:val="center"/>
            </w:pPr>
            <w:r>
              <w:t xml:space="preserve">0.432 / 0.048</w:t>
            </w:r>
          </w:p>
        </w:tc>
      </w:tr>
      <w:tr>
        <w:tc>
          <w:tcPr/>
          <w:p>
            <w:pPr>
              <w:pStyle w:val="Compact"/>
              <w:jc w:val="left"/>
            </w:pPr>
            <w:r>
              <w:t xml:space="preserve">bge-large</w:t>
            </w:r>
          </w:p>
        </w:tc>
        <w:tc>
          <w:tcPr/>
          <w:p>
            <w:pPr>
              <w:pStyle w:val="Compact"/>
              <w:jc w:val="center"/>
            </w:pPr>
            <w:r>
              <w:t xml:space="preserve">0.568 / 0.252</w:t>
            </w:r>
          </w:p>
        </w:tc>
        <w:tc>
          <w:tcPr/>
          <w:p>
            <w:pPr>
              <w:pStyle w:val="Compact"/>
              <w:jc w:val="center"/>
            </w:pPr>
            <w:r>
              <w:t xml:space="preserve">0.533 / 0.220</w:t>
            </w:r>
          </w:p>
        </w:tc>
        <w:tc>
          <w:tcPr/>
          <w:p>
            <w:pPr>
              <w:pStyle w:val="Compact"/>
              <w:jc w:val="center"/>
            </w:pPr>
            <w:r>
              <w:t xml:space="preserve">0.438 / 0.076</w:t>
            </w:r>
          </w:p>
        </w:tc>
        <w:tc>
          <w:tcPr/>
          <w:p>
            <w:pPr>
              <w:pStyle w:val="Compact"/>
              <w:jc w:val="center"/>
            </w:pPr>
            <w:r>
              <w:t xml:space="preserve">0.446 / 0.063</w:t>
            </w:r>
          </w:p>
        </w:tc>
      </w:tr>
      <w:tr>
        <w:tc>
          <w:tcPr/>
          <w:p>
            <w:pPr>
              <w:pStyle w:val="Compact"/>
              <w:jc w:val="left"/>
            </w:pPr>
            <w:r>
              <w:t xml:space="preserve">e5-base-v2</w:t>
            </w:r>
          </w:p>
        </w:tc>
        <w:tc>
          <w:tcPr/>
          <w:p>
            <w:pPr>
              <w:pStyle w:val="Compact"/>
              <w:jc w:val="center"/>
            </w:pPr>
            <w:r>
              <w:t xml:space="preserve">0.569 / 0.244</w:t>
            </w:r>
          </w:p>
        </w:tc>
        <w:tc>
          <w:tcPr/>
          <w:p>
            <w:pPr>
              <w:pStyle w:val="Compact"/>
              <w:jc w:val="center"/>
            </w:pPr>
            <w:r>
              <w:t xml:space="preserve">0.525 / 0.237</w:t>
            </w:r>
          </w:p>
        </w:tc>
        <w:tc>
          <w:tcPr/>
          <w:p>
            <w:pPr>
              <w:pStyle w:val="Compact"/>
              <w:jc w:val="center"/>
            </w:pPr>
            <w:r>
              <w:t xml:space="preserve">0.415 / 0.030</w:t>
            </w:r>
          </w:p>
        </w:tc>
        <w:tc>
          <w:tcPr/>
          <w:p>
            <w:pPr>
              <w:pStyle w:val="Compact"/>
              <w:jc w:val="center"/>
            </w:pPr>
            <w:r>
              <w:t xml:space="preserve">0.428 / 0.040</w:t>
            </w:r>
          </w:p>
        </w:tc>
      </w:tr>
      <w:tr>
        <w:tc>
          <w:tcPr/>
          <w:p>
            <w:pPr>
              <w:pStyle w:val="Compact"/>
              <w:jc w:val="left"/>
            </w:pPr>
            <w:r>
              <w:t xml:space="preserve">Qwen3-Emb-0.6B</w:t>
            </w:r>
          </w:p>
        </w:tc>
        <w:tc>
          <w:tcPr/>
          <w:p>
            <w:pPr>
              <w:pStyle w:val="Compact"/>
              <w:jc w:val="center"/>
            </w:pPr>
            <w:r>
              <w:t xml:space="preserve">0.572 / 0.260</w:t>
            </w:r>
          </w:p>
        </w:tc>
        <w:tc>
          <w:tcPr/>
          <w:p>
            <w:pPr>
              <w:pStyle w:val="Compact"/>
              <w:jc w:val="center"/>
            </w:pPr>
            <w:r>
              <w:t xml:space="preserve">0.538 / 0.256</w:t>
            </w:r>
          </w:p>
        </w:tc>
        <w:tc>
          <w:tcPr/>
          <w:p>
            <w:pPr>
              <w:pStyle w:val="Compact"/>
              <w:jc w:val="center"/>
            </w:pPr>
            <w:r>
              <w:t xml:space="preserve">0.383 / 0.090</w:t>
            </w:r>
          </w:p>
        </w:tc>
        <w:tc>
          <w:tcPr/>
          <w:p>
            <w:pPr>
              <w:pStyle w:val="Compact"/>
              <w:jc w:val="center"/>
            </w:pPr>
            <w:r>
              <w:t xml:space="preserve">0.383 / 0.072</w:t>
            </w:r>
          </w:p>
        </w:tc>
      </w:tr>
    </w:tbl>
    <w:p>
      <w:pPr>
        <w:pStyle w:val="BodyText"/>
      </w:pPr>
      <w:r>
        <w:rPr>
          <w:iCs/>
          <w:i/>
        </w:rPr>
        <w:t xml:space="preserve">Closed-book EM for comparison: NQ 0.149 (Qwen), 0.197 (Llama); HotpotQA 0.158 (Qwen), 0.148 (Llama).</w:t>
      </w:r>
    </w:p>
    <w:bookmarkStart w:id="138" w:name="tab:idk"/>
    <w:p>
      <w:pPr>
        <w:pStyle w:val="TableCaption"/>
      </w:pPr>
      <w:r>
        <w:t xml:space="preserve">Abstention prompt A3 (</w:t>
      </w:r>
      <w:r>
        <w:t xml:space="preserve">“</w:t>
      </w:r>
      <w:r>
        <w:t xml:space="preserve">I don’t know</w:t>
      </w:r>
      <w:r>
        <w:t xml:space="preserve">”</w:t>
      </w:r>
      <w:r>
        <w:t xml:space="preserve"> </w:t>
      </w:r>
      <w:r>
        <w:t xml:space="preserve">allowed), Qwen reader, NQ, leading 200 queries of the seeded order (Phase 1).</w:t>
      </w:r>
    </w:p>
    <w:tbl>
      <w:tblPr>
        <w:tblStyle w:val="Table"/>
        <w:tblW w:type="auto" w:w="0"/>
        <w:tblLook w:firstRow="1" w:lastRow="0" w:firstColumn="0" w:lastColumn="0" w:noHBand="0" w:noVBand="0" w:val="0020"/>
        <w:jc w:val="start"/>
        <w:tblCaption w:val="Abstention prompt A3 (“I don’t know” allowed), Qwen reader, NQ, leading 200 queries of the seeded order (Phase 1)."/>
      </w:tblPr>
      <w:tblGrid>
        <w:gridCol w:w="990"/>
        <w:gridCol w:w="990"/>
        <w:gridCol w:w="990"/>
        <w:gridCol w:w="990"/>
        <w:gridCol w:w="990"/>
        <w:gridCol w:w="990"/>
        <w:gridCol w:w="990"/>
        <w:gridCol w:w="99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IDK rate</w:t>
            </w:r>
          </w:p>
        </w:tc>
        <w:tc>
          <w:tcPr/>
          <w:p>
            <w:pPr>
              <w:pStyle w:val="Compact"/>
              <w:jc w:val="center"/>
            </w:pPr>
            <w:r>
              <w:t xml:space="preserve">IDK</w:t>
            </w:r>
            <w:r>
              <w:t xml:space="preserve"> </w:t>
            </w:r>
            <m:oMath>
              <m:r>
                <m:rPr>
                  <m:sty m:val="p"/>
                </m:rPr>
                <m:t>∣</m:t>
              </m:r>
            </m:oMath>
            <w:r>
              <w:t xml:space="preserve"> </w:t>
            </w:r>
            <w:r>
              <w:t xml:space="preserve">hit (</w:t>
            </w:r>
            <m:oMath>
              <m:r>
                <m:t>n</m:t>
              </m:r>
            </m:oMath>
            <w:r>
              <w:t xml:space="preserve">)</w:t>
            </w:r>
          </w:p>
        </w:tc>
        <w:tc>
          <w:tcPr/>
          <w:p>
            <w:pPr>
              <w:pStyle w:val="Compact"/>
              <w:jc w:val="center"/>
            </w:pPr>
            <w:r>
              <w:t xml:space="preserve">IDK</w:t>
            </w:r>
            <w:r>
              <w:t xml:space="preserve"> </w:t>
            </w:r>
            <m:oMath>
              <m:r>
                <m:rPr>
                  <m:sty m:val="p"/>
                </m:rPr>
                <m:t>∣</m:t>
              </m:r>
            </m:oMath>
            <w:r>
              <w:t xml:space="preserve"> </w:t>
            </w:r>
            <w:r>
              <w:t xml:space="preserve">miss (</w:t>
            </w:r>
            <m:oMath>
              <m:r>
                <m:t>n</m:t>
              </m:r>
            </m:oMath>
            <w:r>
              <w:t xml:space="preserve">)</w:t>
            </w:r>
          </w:p>
        </w:tc>
        <w:tc>
          <w:tcPr/>
          <w:p>
            <w:pPr>
              <w:pStyle w:val="Compact"/>
              <w:jc w:val="center"/>
            </w:pPr>
            <w:r>
              <w:t xml:space="preserve">EM (A1)</w:t>
            </w:r>
          </w:p>
        </w:tc>
        <w:tc>
          <w:tcPr/>
          <w:p>
            <w:pPr>
              <w:pStyle w:val="Compact"/>
              <w:jc w:val="center"/>
            </w:pPr>
            <w:r>
              <w:t xml:space="preserve">EM (A3)</w:t>
            </w:r>
          </w:p>
        </w:tc>
        <w:tc>
          <w:tcPr/>
          <w:p>
            <w:pPr>
              <w:pStyle w:val="Compact"/>
              <w:jc w:val="center"/>
            </w:pPr>
            <m:oMath>
              <m:r>
                <m:t>p</m:t>
              </m:r>
            </m:oMath>
          </w:p>
        </w:tc>
      </w:tr>
      <w:tr>
        <w:tc>
          <w:tcPr/>
          <w:p>
            <w:pPr>
              <w:pStyle w:val="Compact"/>
              <w:jc w:val="left"/>
            </w:pPr>
            <w:r>
              <w:t xml:space="preserve">BM25</w:t>
            </w:r>
          </w:p>
        </w:tc>
        <w:tc>
          <w:tcPr/>
          <w:p>
            <w:pPr>
              <w:pStyle w:val="Compact"/>
              <w:jc w:val="right"/>
            </w:pPr>
            <w:r>
              <w:t xml:space="preserve">200</w:t>
            </w:r>
          </w:p>
        </w:tc>
        <w:tc>
          <w:tcPr/>
          <w:p>
            <w:pPr>
              <w:pStyle w:val="Compact"/>
              <w:jc w:val="center"/>
            </w:pPr>
            <w:r>
              <w:t xml:space="preserve">0.215</w:t>
            </w:r>
          </w:p>
        </w:tc>
        <w:tc>
          <w:tcPr/>
          <w:p>
            <w:pPr>
              <w:pStyle w:val="Compact"/>
              <w:jc w:val="center"/>
            </w:pPr>
            <w:r>
              <w:t xml:space="preserve">0.013 (79)</w:t>
            </w:r>
          </w:p>
        </w:tc>
        <w:tc>
          <w:tcPr/>
          <w:p>
            <w:pPr>
              <w:pStyle w:val="Compact"/>
              <w:jc w:val="center"/>
            </w:pPr>
            <w:r>
              <w:t xml:space="preserve">0.347 (121)</w:t>
            </w:r>
          </w:p>
        </w:tc>
        <w:tc>
          <w:tcPr/>
          <w:p>
            <w:pPr>
              <w:pStyle w:val="Compact"/>
              <w:jc w:val="center"/>
            </w:pPr>
            <w:r>
              <w:t xml:space="preserve">0.390</w:t>
            </w:r>
          </w:p>
        </w:tc>
        <w:tc>
          <w:tcPr/>
          <w:p>
            <w:pPr>
              <w:pStyle w:val="Compact"/>
              <w:jc w:val="center"/>
            </w:pPr>
            <w:r>
              <w:t xml:space="preserve">0.380</w:t>
            </w:r>
          </w:p>
        </w:tc>
        <w:tc>
          <w:tcPr/>
          <w:p>
            <w:pPr>
              <w:pStyle w:val="Compact"/>
              <w:jc w:val="center"/>
            </w:pPr>
            <w:r>
              <w:t xml:space="preserve">0.69</w:t>
            </w:r>
          </w:p>
        </w:tc>
      </w:tr>
      <w:tr>
        <w:tc>
          <w:tcPr/>
          <w:p>
            <w:pPr>
              <w:pStyle w:val="Compact"/>
              <w:jc w:val="left"/>
            </w:pPr>
            <w:r>
              <w:t xml:space="preserve">MiniLM-L6</w:t>
            </w:r>
          </w:p>
        </w:tc>
        <w:tc>
          <w:tcPr/>
          <w:p>
            <w:pPr>
              <w:pStyle w:val="Compact"/>
              <w:jc w:val="right"/>
            </w:pPr>
            <w:r>
              <w:t xml:space="preserve">200</w:t>
            </w:r>
          </w:p>
        </w:tc>
        <w:tc>
          <w:tcPr/>
          <w:p>
            <w:pPr>
              <w:pStyle w:val="Compact"/>
              <w:jc w:val="center"/>
            </w:pPr>
            <w:r>
              <w:t xml:space="preserve">0.115</w:t>
            </w:r>
          </w:p>
        </w:tc>
        <w:tc>
          <w:tcPr/>
          <w:p>
            <w:pPr>
              <w:pStyle w:val="Compact"/>
              <w:jc w:val="center"/>
            </w:pPr>
            <w:r>
              <w:t xml:space="preserve">0.016 (124)</w:t>
            </w:r>
          </w:p>
        </w:tc>
        <w:tc>
          <w:tcPr/>
          <w:p>
            <w:pPr>
              <w:pStyle w:val="Compact"/>
              <w:jc w:val="center"/>
            </w:pPr>
            <w:r>
              <w:t xml:space="preserve">0.276 (76)</w:t>
            </w:r>
          </w:p>
        </w:tc>
        <w:tc>
          <w:tcPr/>
          <w:p>
            <w:pPr>
              <w:pStyle w:val="Compact"/>
              <w:jc w:val="center"/>
            </w:pPr>
            <w:r>
              <w:t xml:space="preserve">0.470</w:t>
            </w:r>
          </w:p>
        </w:tc>
        <w:tc>
          <w:tcPr/>
          <w:p>
            <w:pPr>
              <w:pStyle w:val="Compact"/>
              <w:jc w:val="center"/>
            </w:pPr>
            <w:r>
              <w:t xml:space="preserve">0.455</w:t>
            </w:r>
          </w:p>
        </w:tc>
        <w:tc>
          <w:tcPr/>
          <w:p>
            <w:pPr>
              <w:pStyle w:val="Compact"/>
              <w:jc w:val="center"/>
            </w:pPr>
            <w:r>
              <w:t xml:space="preserve">0.45</w:t>
            </w:r>
          </w:p>
        </w:tc>
      </w:tr>
      <w:tr>
        <w:tc>
          <w:tcPr/>
          <w:p>
            <w:pPr>
              <w:pStyle w:val="Compact"/>
              <w:jc w:val="left"/>
            </w:pPr>
            <w:r>
              <w:t xml:space="preserve">bge-large</w:t>
            </w:r>
          </w:p>
        </w:tc>
        <w:tc>
          <w:tcPr/>
          <w:p>
            <w:pPr>
              <w:pStyle w:val="Compact"/>
              <w:jc w:val="right"/>
            </w:pPr>
            <w:r>
              <w:t xml:space="preserve">200</w:t>
            </w:r>
          </w:p>
        </w:tc>
        <w:tc>
          <w:tcPr/>
          <w:p>
            <w:pPr>
              <w:pStyle w:val="Compact"/>
              <w:jc w:val="center"/>
            </w:pPr>
            <w:r>
              <w:t xml:space="preserve">0.045</w:t>
            </w:r>
          </w:p>
        </w:tc>
        <w:tc>
          <w:tcPr/>
          <w:p>
            <w:pPr>
              <w:pStyle w:val="Compact"/>
              <w:jc w:val="center"/>
            </w:pPr>
            <w:r>
              <w:t xml:space="preserve">0.024 (164)</w:t>
            </w:r>
          </w:p>
        </w:tc>
        <w:tc>
          <w:tcPr/>
          <w:p>
            <w:pPr>
              <w:pStyle w:val="Compact"/>
              <w:jc w:val="center"/>
            </w:pPr>
            <w:r>
              <w:t xml:space="preserve">0.139 (36)</w:t>
            </w:r>
          </w:p>
        </w:tc>
        <w:tc>
          <w:tcPr/>
          <w:p>
            <w:pPr>
              <w:pStyle w:val="Compact"/>
              <w:jc w:val="center"/>
            </w:pPr>
            <w:r>
              <w:t xml:space="preserve">0.495</w:t>
            </w:r>
          </w:p>
        </w:tc>
        <w:tc>
          <w:tcPr/>
          <w:p>
            <w:pPr>
              <w:pStyle w:val="Compact"/>
              <w:jc w:val="center"/>
            </w:pPr>
            <w:r>
              <w:t xml:space="preserve">0.465</w:t>
            </w:r>
          </w:p>
        </w:tc>
        <w:tc>
          <w:tcPr/>
          <w:p>
            <w:pPr>
              <w:pStyle w:val="Compact"/>
              <w:jc w:val="center"/>
            </w:pPr>
            <w:r>
              <w:t xml:space="preserve">0.07</w:t>
            </w:r>
          </w:p>
        </w:tc>
      </w:tr>
      <w:tr>
        <w:tc>
          <w:tcPr/>
          <w:p>
            <w:pPr>
              <w:pStyle w:val="Compact"/>
              <w:jc w:val="left"/>
            </w:pPr>
            <w:r>
              <w:t xml:space="preserve">Gold passages</w:t>
            </w:r>
          </w:p>
        </w:tc>
        <w:tc>
          <w:tcPr/>
          <w:p>
            <w:pPr>
              <w:pStyle w:val="Compact"/>
              <w:jc w:val="right"/>
            </w:pPr>
            <w:r>
              <w:t xml:space="preserve">200</w:t>
            </w:r>
          </w:p>
        </w:tc>
        <w:tc>
          <w:tcPr/>
          <w:p>
            <w:pPr>
              <w:pStyle w:val="Compact"/>
              <w:jc w:val="center"/>
            </w:pPr>
            <w:r>
              <w:t xml:space="preserve">0.060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38"/>
    <w:p>
      <w:pPr>
        <w:pStyle w:val="BodyText"/>
      </w:pPr>
      <m:oMath>
        <m:r>
          <m:t>p</m:t>
        </m:r>
      </m:oMath>
      <w:r>
        <w:rPr>
          <w:iCs/>
          <w:i/>
        </w:rPr>
        <w:t xml:space="preserve">: exact McNemar test of EM under A3 against the main prompt A1, unadjusted.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m:oMath>
              <m:r>
                <m:t>k</m:t>
              </m:r>
              <m:r>
                <m:rPr>
                  <m:sty m:val="p"/>
                </m:rPr>
                <m:t>=</m:t>
              </m:r>
              <m:r>
                <m:t>1</m:t>
              </m:r>
            </m:oMath>
          </w:p>
        </w:tc>
        <w:tc>
          <w:tcPr/>
          <w:p>
            <w:pPr>
              <w:pStyle w:val="Compact"/>
              <w:jc w:val="center"/>
            </w:pPr>
            <m:oMath>
              <m:r>
                <m:t>k</m:t>
              </m:r>
              <m:r>
                <m:rPr>
                  <m:sty m:val="p"/>
                </m:rPr>
                <m:t>=</m:t>
              </m:r>
              <m:r>
                <m:t>3</m:t>
              </m:r>
            </m:oMath>
          </w:p>
        </w:tc>
        <w:tc>
          <w:tcPr/>
          <w:p>
            <w:pPr>
              <w:pStyle w:val="Compact"/>
              <w:jc w:val="center"/>
            </w:pPr>
            <m:oMath>
              <m:r>
                <m:t>k</m:t>
              </m:r>
              <m:r>
                <m:rPr>
                  <m:sty m:val="p"/>
                </m:rPr>
                <m:t>=</m:t>
              </m:r>
              <m:r>
                <m:t>5</m:t>
              </m:r>
            </m:oMath>
          </w:p>
        </w:tc>
        <w:tc>
          <w:tcPr/>
          <w:p>
            <w:pPr>
              <w:pStyle w:val="Compact"/>
              <w:jc w:val="center"/>
            </w:pPr>
            <m:oMath>
              <m:r>
                <m:t>k</m:t>
              </m:r>
              <m:r>
                <m:rPr>
                  <m:sty m:val="p"/>
                </m:rPr>
                <m:t>=</m:t>
              </m:r>
              <m:r>
                <m:t>10</m:t>
              </m:r>
            </m:oMath>
          </w:p>
        </w:tc>
      </w:tr>
      <w:tr>
        <w:tc>
          <w:tcPr/>
          <w:p>
            <w:pPr>
              <w:pStyle w:val="Compact"/>
              <w:jc w:val="left"/>
            </w:pPr>
            <w:r>
              <w:t xml:space="preserve">BM25</w:t>
            </w:r>
          </w:p>
        </w:tc>
        <w:tc>
          <w:tcPr/>
          <w:p>
            <w:pPr>
              <w:pStyle w:val="Compact"/>
              <w:jc w:val="center"/>
            </w:pPr>
            <w:r>
              <w:t xml:space="preserve">0.71 [0.61, 0.83]</w:t>
            </w:r>
          </w:p>
        </w:tc>
        <w:tc>
          <w:tcPr/>
          <w:p>
            <w:pPr>
              <w:pStyle w:val="Compact"/>
              <w:jc w:val="center"/>
            </w:pPr>
            <w:r>
              <w:t xml:space="preserve">0.48 [0.41, 0.55]</w:t>
            </w:r>
          </w:p>
        </w:tc>
        <w:tc>
          <w:tcPr/>
          <w:p>
            <w:pPr>
              <w:pStyle w:val="Compact"/>
              <w:jc w:val="center"/>
            </w:pPr>
            <w:r>
              <w:t xml:space="preserve">0.37 [0.31, 0.43]</w:t>
            </w:r>
          </w:p>
        </w:tc>
        <w:tc>
          <w:tcPr/>
          <w:p>
            <w:pPr>
              <w:pStyle w:val="Compact"/>
              <w:jc w:val="center"/>
            </w:pPr>
            <w:r>
              <w:t xml:space="preserve">0.32 [0.26, 0.38]</w:t>
            </w:r>
          </w:p>
        </w:tc>
      </w:tr>
      <w:tr>
        <w:tc>
          <w:tcPr/>
          <w:p>
            <w:pPr>
              <w:pStyle w:val="Compact"/>
              <w:jc w:val="left"/>
            </w:pPr>
            <w:r>
              <w:t xml:space="preserve">bge-small</w:t>
            </w:r>
          </w:p>
        </w:tc>
        <w:tc>
          <w:tcPr/>
          <w:p>
            <w:pPr>
              <w:pStyle w:val="Compact"/>
              <w:jc w:val="center"/>
            </w:pPr>
            <w:r>
              <w:t xml:space="preserve">0.83 [0.56, 1.22]</w:t>
            </w:r>
          </w:p>
        </w:tc>
        <w:tc>
          <w:tcPr/>
          <w:p>
            <w:pPr>
              <w:pStyle w:val="Compact"/>
              <w:jc w:val="center"/>
            </w:pPr>
            <w:r>
              <w:t xml:space="preserve">0.37 [0.16, 0.59]</w:t>
            </w:r>
          </w:p>
        </w:tc>
        <w:tc>
          <w:tcPr/>
          <w:p>
            <w:pPr>
              <w:pStyle w:val="Compact"/>
              <w:jc w:val="center"/>
            </w:pPr>
            <w:r>
              <w:t xml:space="preserve">0.19 [</w:t>
            </w:r>
            <m:oMath>
              <m:r>
                <m:rPr>
                  <m:sty m:val="p"/>
                </m:rPr>
                <m:t>−</m:t>
              </m:r>
            </m:oMath>
            <w:r>
              <w:t xml:space="preserve">0.07, 0.44]</w:t>
            </w:r>
          </w:p>
        </w:tc>
        <w:tc>
          <w:tcPr/>
          <w:p>
            <w:pPr>
              <w:pStyle w:val="Compact"/>
              <w:jc w:val="center"/>
            </w:pPr>
            <w:r>
              <w:t xml:space="preserve">0.10 [</w:t>
            </w:r>
            <m:oMath>
              <m:r>
                <m:rPr>
                  <m:sty m:val="p"/>
                </m:rPr>
                <m:t>−</m:t>
              </m:r>
            </m:oMath>
            <w:r>
              <w:t xml:space="preserve">0.24, 0.42]</w:t>
            </w:r>
          </w:p>
        </w:tc>
      </w:tr>
      <w:tr>
        <w:tc>
          <w:tcPr/>
          <w:p>
            <w:pPr>
              <w:pStyle w:val="Compact"/>
              <w:jc w:val="left"/>
            </w:pPr>
            <w:r>
              <w:t xml:space="preserve">bge-base</w:t>
            </w:r>
          </w:p>
        </w:tc>
        <w:tc>
          <w:tcPr/>
          <w:p>
            <w:pPr>
              <w:pStyle w:val="Compact"/>
              <w:jc w:val="center"/>
            </w:pPr>
            <w:r>
              <w:t xml:space="preserve">0.61 [0.45, 0.78]</w:t>
            </w:r>
          </w:p>
        </w:tc>
        <w:tc>
          <w:tcPr/>
          <w:p>
            <w:pPr>
              <w:pStyle w:val="Compact"/>
              <w:jc w:val="center"/>
            </w:pPr>
            <w:r>
              <w:t xml:space="preserve">0.32 [0.19, 0.46]</w:t>
            </w:r>
          </w:p>
        </w:tc>
        <w:tc>
          <w:tcPr/>
          <w:p>
            <w:pPr>
              <w:pStyle w:val="Compact"/>
              <w:jc w:val="center"/>
            </w:pPr>
            <w:r>
              <w:t xml:space="preserve">0.20 [0.04, 0.36]</w:t>
            </w:r>
          </w:p>
        </w:tc>
        <w:tc>
          <w:tcPr/>
          <w:p>
            <w:pPr>
              <w:pStyle w:val="Compact"/>
              <w:jc w:val="center"/>
            </w:pPr>
            <w:r>
              <w:t xml:space="preserve">0.05 [</w:t>
            </w:r>
            <m:oMath>
              <m:r>
                <m:rPr>
                  <m:sty m:val="p"/>
                </m:rPr>
                <m:t>−</m:t>
              </m:r>
            </m:oMath>
            <w:r>
              <w:t xml:space="preserve">0.13, 0.22]</w:t>
            </w:r>
          </w:p>
        </w:tc>
      </w:tr>
      <w:tr>
        <w:tc>
          <w:tcPr/>
          <w:p>
            <w:pPr>
              <w:pStyle w:val="Compact"/>
              <w:jc w:val="left"/>
            </w:pPr>
            <w:r>
              <w:t xml:space="preserve">bge-large</w:t>
            </w:r>
          </w:p>
        </w:tc>
        <w:tc>
          <w:tcPr/>
          <w:p>
            <w:pPr>
              <w:pStyle w:val="Compact"/>
              <w:jc w:val="center"/>
            </w:pPr>
            <w:r>
              <w:t xml:space="preserve">0.61 [0.47, 0.77]</w:t>
            </w:r>
          </w:p>
        </w:tc>
        <w:tc>
          <w:tcPr/>
          <w:p>
            <w:pPr>
              <w:pStyle w:val="Compact"/>
              <w:jc w:val="center"/>
            </w:pPr>
            <w:r>
              <w:t xml:space="preserve">0.33 [0.22, 0.44]</w:t>
            </w:r>
          </w:p>
        </w:tc>
        <w:tc>
          <w:tcPr/>
          <w:p>
            <w:pPr>
              <w:pStyle w:val="Compact"/>
              <w:jc w:val="center"/>
            </w:pPr>
            <w:r>
              <w:t xml:space="preserve">0.24 [0.11, 0.36]</w:t>
            </w:r>
          </w:p>
        </w:tc>
        <w:tc>
          <w:tcPr/>
          <w:p>
            <w:pPr>
              <w:pStyle w:val="Compact"/>
              <w:jc w:val="center"/>
            </w:pPr>
            <w:r>
              <w:t xml:space="preserve">0.19 [0.02, 0.35]</w:t>
            </w:r>
          </w:p>
        </w:tc>
      </w:tr>
      <w:tr>
        <w:tc>
          <w:tcPr/>
          <w:p>
            <w:pPr>
              <w:pStyle w:val="Compact"/>
              <w:jc w:val="left"/>
            </w:pPr>
            <w:r>
              <w:t xml:space="preserve">e5-base-v2</w:t>
            </w:r>
          </w:p>
        </w:tc>
        <w:tc>
          <w:tcPr/>
          <w:p>
            <w:pPr>
              <w:pStyle w:val="Compact"/>
              <w:jc w:val="center"/>
            </w:pPr>
            <w:r>
              <w:t xml:space="preserve">0.57 [0.45, 0.69]</w:t>
            </w:r>
          </w:p>
        </w:tc>
        <w:tc>
          <w:tcPr/>
          <w:p>
            <w:pPr>
              <w:pStyle w:val="Compact"/>
              <w:jc w:val="center"/>
            </w:pPr>
            <w:r>
              <w:t xml:space="preserve">0.32 [0.23, 0.41]</w:t>
            </w:r>
          </w:p>
        </w:tc>
        <w:tc>
          <w:tcPr/>
          <w:p>
            <w:pPr>
              <w:pStyle w:val="Compact"/>
              <w:jc w:val="center"/>
            </w:pPr>
            <w:r>
              <w:t xml:space="preserve">0.25 [0.15, 0.36]</w:t>
            </w:r>
          </w:p>
        </w:tc>
        <w:tc>
          <w:tcPr/>
          <w:p>
            <w:pPr>
              <w:pStyle w:val="Compact"/>
              <w:jc w:val="center"/>
            </w:pPr>
            <w:r>
              <w:t xml:space="preserve">0.05 [</w:t>
            </w:r>
            <m:oMath>
              <m:r>
                <m:rPr>
                  <m:sty m:val="p"/>
                </m:rPr>
                <m:t>−</m:t>
              </m:r>
            </m:oMath>
            <w:r>
              <w:t xml:space="preserve">0.09, 0.19]</w:t>
            </w:r>
          </w:p>
        </w:tc>
      </w:tr>
      <w:tr>
        <w:tc>
          <w:tcPr/>
          <w:p>
            <w:pPr>
              <w:pStyle w:val="Compact"/>
              <w:jc w:val="left"/>
            </w:pPr>
            <w:r>
              <w:t xml:space="preserve">Qwen3-Emb-0.6B</w:t>
            </w:r>
          </w:p>
        </w:tc>
        <w:tc>
          <w:tcPr/>
          <w:p>
            <w:pPr>
              <w:pStyle w:val="Compact"/>
              <w:jc w:val="center"/>
            </w:pPr>
            <w:r>
              <w:t xml:space="preserve">0.41 [0.21, 0.60]</w:t>
            </w:r>
          </w:p>
        </w:tc>
        <w:tc>
          <w:tcPr/>
          <w:p>
            <w:pPr>
              <w:pStyle w:val="Compact"/>
              <w:jc w:val="center"/>
            </w:pPr>
            <w:r>
              <w:t xml:space="preserve">0.35 [0.17, 0.53]</w:t>
            </w:r>
          </w:p>
        </w:tc>
        <w:tc>
          <w:tcPr/>
          <w:p>
            <w:pPr>
              <w:pStyle w:val="Compact"/>
              <w:jc w:val="center"/>
            </w:pPr>
            <w:r>
              <w:t xml:space="preserve">0.25 [0.05, 0.45]</w:t>
            </w:r>
          </w:p>
        </w:tc>
        <w:tc>
          <w:tcPr/>
          <w:p>
            <w:pPr>
              <w:pStyle w:val="Compact"/>
              <w:jc w:val="center"/>
            </w:pPr>
            <w:r>
              <w:t xml:space="preserve">0.08 [</w:t>
            </w:r>
            <m:oMath>
              <m:r>
                <m:rPr>
                  <m:sty m:val="p"/>
                </m:rPr>
                <m:t>−</m:t>
              </m:r>
            </m:oMath>
            <w:r>
              <w:t xml:space="preserve">0.27, 0.38]</w:t>
            </w:r>
          </w:p>
        </w:tc>
      </w:tr>
    </w:tbl>
    <w:p>
      <w:pPr>
        <w:pStyle w:val="BodyText"/>
      </w:pPr>
      <w:r>
        <w:rPr>
          <w:iCs/>
          <w:i/>
        </w:rPr>
        <w:t xml:space="preserve">Post hoc; the reporting rule of Section </w:t>
      </w:r>
      <w:hyperlink w:anchor="sec:ratio">
        <w:r>
          <w:rPr>
            <w:rStyle w:val="Hyperlink"/>
            <w:iCs/>
            <w:i/>
          </w:rPr>
          <w:t xml:space="preserve">3.1</w:t>
        </w:r>
      </w:hyperlink>
      <w:r>
        <w:rPr>
          <w:iCs/>
          <w:i/>
        </w:rPr>
        <w:t xml:space="preserve"> </w:t>
      </w:r>
      <w:r>
        <w:rPr>
          <w:iCs/>
          <w:i/>
        </w:rPr>
        <w:t xml:space="preserve">is not applied. For BM25 the ratio describes a retrieval loss.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Row</w:t>
            </w:r>
            <w:r>
              <w:t xml:space="preserve"> </w:t>
            </w:r>
            <m:oMath>
              <m:r>
                <m:rPr>
                  <m:sty m:val="p"/>
                </m:rPr>
                <m:t>−</m:t>
              </m:r>
            </m:oMath>
            <w:r>
              <w:t xml:space="preserve"> </w:t>
            </w:r>
            <w:r>
              <w:t xml:space="preserve">column</w:t>
            </w:r>
          </w:p>
        </w:tc>
        <w:tc>
          <w:tcPr/>
          <w:p>
            <w:pPr>
              <w:pStyle w:val="Compact"/>
              <w:jc w:val="right"/>
            </w:pPr>
            <w:r>
              <w:t xml:space="preserve">BM25</w:t>
            </w:r>
          </w:p>
        </w:tc>
        <w:tc>
          <w:tcPr/>
          <w:p>
            <w:pPr>
              <w:pStyle w:val="Compact"/>
              <w:jc w:val="right"/>
            </w:pPr>
            <w:r>
              <w:t xml:space="preserve">MiniLM-L6</w:t>
            </w:r>
          </w:p>
        </w:tc>
        <w:tc>
          <w:tcPr/>
          <w:p>
            <w:pPr>
              <w:pStyle w:val="Compact"/>
              <w:jc w:val="right"/>
            </w:pPr>
            <w:r>
              <w:t xml:space="preserve">bge-small</w:t>
            </w:r>
          </w:p>
        </w:tc>
        <w:tc>
          <w:tcPr/>
          <w:p>
            <w:pPr>
              <w:pStyle w:val="Compact"/>
              <w:jc w:val="right"/>
            </w:pPr>
            <w:r>
              <w:t xml:space="preserve">bge-base</w:t>
            </w:r>
          </w:p>
        </w:tc>
        <w:tc>
          <w:tcPr/>
          <w:p>
            <w:pPr>
              <w:pStyle w:val="Compact"/>
              <w:jc w:val="right"/>
            </w:pPr>
            <w:r>
              <w:t xml:space="preserve">bge-large</w:t>
            </w:r>
          </w:p>
        </w:tc>
        <w:tc>
          <w:tcPr/>
          <w:p>
            <w:pPr>
              <w:pStyle w:val="Compact"/>
              <w:jc w:val="right"/>
            </w:pPr>
            <w:r>
              <w:t xml:space="preserve">e5-base-v2</w:t>
            </w:r>
          </w:p>
        </w:tc>
      </w:tr>
      <w:tr>
        <w:tc>
          <w:tcPr>
            <w:gridSpan w:val="7"/>
          </w:tcPr>
          <w:p>
            <w:pPr>
              <w:pStyle w:val="Compact"/>
              <w:jc w:val="left"/>
            </w:pPr>
            <w:r>
              <w:rPr>
                <w:iCs/>
                <w:i/>
              </w:rPr>
              <w:t xml:space="preserve">NQ, Qwen</w:t>
            </w:r>
          </w:p>
        </w:tc>
      </w:tr>
      <w:tr>
        <w:tc>
          <w:tcPr/>
          <w:p>
            <w:pPr>
              <w:pStyle w:val="Compact"/>
              <w:jc w:val="left"/>
            </w:pPr>
            <w:r>
              <w:t xml:space="preserve">MiniLM-L6</w:t>
            </w:r>
          </w:p>
        </w:tc>
        <w:tc>
          <w:tcPr/>
          <w:p>
            <w:pPr>
              <w:pStyle w:val="Compact"/>
              <w:jc w:val="right"/>
            </w:pPr>
            <w:r>
              <w:t xml:space="preserve">+0.112</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+0.124</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+0.133</w:t>
            </w:r>
            <m:oMath>
              <m:sSup>
                <m:e>
                  <m:r>
                    <m:t>​</m:t>
                  </m:r>
                </m:e>
                <m:sup>
                  <m:r>
                    <m:rPr>
                      <m:sty m:val="p"/>
                    </m:rPr>
                    <m:t>*</m:t>
                  </m:r>
                </m:sup>
              </m:sSup>
            </m:oMath>
          </w:p>
        </w:tc>
        <w:tc>
          <w:tcPr/>
          <w:p>
            <w:pPr>
              <w:pStyle w:val="Compact"/>
              <w:jc w:val="right"/>
            </w:pPr>
            <w:r>
              <w:t xml:space="preserve">+0.022</w:t>
            </w:r>
          </w:p>
        </w:tc>
        <w:tc>
          <w:tcPr/>
          <w:p>
            <w:pPr>
              <w:pStyle w:val="Compact"/>
              <w:jc w:val="right"/>
            </w:pPr>
            <w:r>
              <w:t xml:space="preserve">+0.009</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+0.144</w:t>
            </w:r>
            <m:oMath>
              <m:sSup>
                <m:e>
                  <m:r>
                    <m:t>​</m:t>
                  </m:r>
                </m:e>
                <m:sup>
                  <m:r>
                    <m:rPr>
                      <m:sty m:val="p"/>
                    </m:rPr>
                    <m:t>*</m:t>
                  </m:r>
                </m:sup>
              </m:sSup>
            </m:oMath>
          </w:p>
        </w:tc>
        <w:tc>
          <w:tcPr/>
          <w:p>
            <w:pPr>
              <w:pStyle w:val="Compact"/>
              <w:jc w:val="right"/>
            </w:pPr>
            <w:r>
              <w:t xml:space="preserve">+0.032</w:t>
            </w:r>
            <m:oMath>
              <m:sSup>
                <m:e>
                  <m:r>
                    <m:t>​</m:t>
                  </m:r>
                </m:e>
                <m:sup>
                  <m:r>
                    <m:rPr>
                      <m:sty m:val="p"/>
                    </m:rPr>
                    <m:t>*</m:t>
                  </m:r>
                </m:sup>
              </m:sSup>
            </m:oMath>
          </w:p>
        </w:tc>
        <w:tc>
          <w:tcPr/>
          <w:p>
            <w:pPr>
              <w:pStyle w:val="Compact"/>
              <w:jc w:val="right"/>
            </w:pPr>
            <w:r>
              <w:t xml:space="preserve">+0.020</w:t>
            </w:r>
          </w:p>
        </w:tc>
        <w:tc>
          <w:tcPr/>
          <w:p>
            <w:pPr>
              <w:pStyle w:val="Compact"/>
              <w:jc w:val="right"/>
            </w:pPr>
            <w:r>
              <w:t xml:space="preserve">+0.010</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+0.150</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+0.026</w:t>
            </w:r>
            <m:oMath>
              <m:sSup>
                <m:e>
                  <m:r>
                    <m:t>​</m:t>
                  </m:r>
                </m:e>
                <m:sup>
                  <m:r>
                    <m:rPr>
                      <m:sty m:val="p"/>
                    </m:rPr>
                    <m:t>*</m:t>
                  </m:r>
                </m:sup>
              </m:sSup>
            </m:oMath>
          </w:p>
        </w:tc>
        <w:tc>
          <w:tcPr/>
          <w:p>
            <w:pPr>
              <w:pStyle w:val="Compact"/>
              <w:jc w:val="right"/>
            </w:pPr>
            <w:r>
              <w:t xml:space="preserve">+0.016</w:t>
            </w:r>
          </w:p>
        </w:tc>
        <w:tc>
          <w:tcPr/>
          <w:p>
            <w:pPr>
              <w:pStyle w:val="Compact"/>
              <w:jc w:val="right"/>
            </w:pPr>
            <w:r>
              <w:t xml:space="preserve">+0.006</w:t>
            </w:r>
          </w:p>
        </w:tc>
        <w:tc>
          <w:tcPr/>
          <w:p>
            <w:pPr>
              <w:pStyle w:val="Compact"/>
            </w:pPr>
          </w:p>
        </w:tc>
      </w:tr>
      <w:tr>
        <w:tc>
          <w:tcPr/>
          <w:p>
            <w:pPr>
              <w:pStyle w:val="Compact"/>
              <w:jc w:val="left"/>
            </w:pPr>
            <w:r>
              <w:t xml:space="preserve">Qwen3-Emb-0.6B</w:t>
            </w:r>
          </w:p>
        </w:tc>
        <w:tc>
          <w:tcPr/>
          <w:p>
            <w:pPr>
              <w:pStyle w:val="Compact"/>
              <w:jc w:val="right"/>
            </w:pPr>
            <w:r>
              <w:t xml:space="preserve">+0.132</w:t>
            </w:r>
            <m:oMath>
              <m:sSup>
                <m:e>
                  <m:r>
                    <m:t>​</m:t>
                  </m:r>
                </m:e>
                <m:sup>
                  <m:r>
                    <m:rPr>
                      <m:sty m:val="p"/>
                    </m:rPr>
                    <m:t>*</m:t>
                  </m:r>
                </m:sup>
              </m:sSup>
            </m:oMath>
          </w:p>
        </w:tc>
        <w:tc>
          <w:tcPr/>
          <w:p>
            <w:pPr>
              <w:pStyle w:val="Compact"/>
              <w:jc w:val="right"/>
            </w:pPr>
            <w:r>
              <w:t xml:space="preserve">+0.020</w:t>
            </w:r>
          </w:p>
        </w:tc>
        <w:tc>
          <w:tcPr/>
          <w:p>
            <w:pPr>
              <w:pStyle w:val="Compact"/>
              <w:jc w:val="right"/>
            </w:pPr>
            <w:r>
              <w:t xml:space="preserve">+0.008</w:t>
            </w:r>
          </w:p>
        </w:tc>
        <w:tc>
          <w:tcPr/>
          <w:p>
            <w:pPr>
              <w:pStyle w:val="Compact"/>
              <w:jc w:val="right"/>
            </w:pPr>
            <m:oMath>
              <m:r>
                <m:rPr>
                  <m:sty m:val="p"/>
                </m:rPr>
                <m:t>−</m:t>
              </m:r>
            </m:oMath>
            <w:r>
              <w:t xml:space="preserve">0.001</w:t>
            </w:r>
          </w:p>
        </w:tc>
        <w:tc>
          <w:tcPr/>
          <w:p>
            <w:pPr>
              <w:pStyle w:val="Compact"/>
              <w:jc w:val="right"/>
            </w:pPr>
            <m:oMath>
              <m:r>
                <m:rPr>
                  <m:sty m:val="p"/>
                </m:rPr>
                <m:t>−</m:t>
              </m:r>
            </m:oMath>
            <w:r>
              <w:t xml:space="preserve">0.012</w:t>
            </w:r>
          </w:p>
        </w:tc>
        <w:tc>
          <w:tcPr/>
          <w:p>
            <w:pPr>
              <w:pStyle w:val="Compact"/>
              <w:jc w:val="right"/>
            </w:pPr>
            <m:oMath>
              <m:r>
                <m:rPr>
                  <m:sty m:val="p"/>
                </m:rPr>
                <m:t>−</m:t>
              </m:r>
            </m:oMath>
            <w:r>
              <w:t xml:space="preserve">0.018</w:t>
            </w:r>
          </w:p>
        </w:tc>
      </w:tr>
      <w:tr>
        <w:tc>
          <w:tcPr>
            <w:gridSpan w:val="7"/>
          </w:tcPr>
          <w:p>
            <w:pPr>
              <w:pStyle w:val="Compact"/>
              <w:jc w:val="left"/>
            </w:pPr>
            <w:r>
              <w:rPr>
                <w:iCs/>
                <w:i/>
              </w:rPr>
              <w:t xml:space="preserve">NQ, Llama</w:t>
            </w:r>
          </w:p>
        </w:tc>
      </w:tr>
      <w:tr>
        <w:tc>
          <w:tcPr/>
          <w:p>
            <w:pPr>
              <w:pStyle w:val="Compact"/>
              <w:jc w:val="left"/>
            </w:pPr>
            <w:r>
              <w:t xml:space="preserve">MiniLM-L6</w:t>
            </w:r>
          </w:p>
        </w:tc>
        <w:tc>
          <w:tcPr/>
          <w:p>
            <w:pPr>
              <w:pStyle w:val="Compact"/>
              <w:jc w:val="right"/>
            </w:pPr>
            <w:r>
              <w:t xml:space="preserve">+0.108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+0.120</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+0.137</w:t>
            </w:r>
            <m:oMath>
              <m:sSup>
                <m:e>
                  <m:r>
                    <m:t>​</m:t>
                  </m:r>
                </m:e>
                <m:sup>
                  <m:r>
                    <m:rPr>
                      <m:sty m:val="p"/>
                    </m:rPr>
                    <m:t>*</m:t>
                  </m:r>
                </m:sup>
              </m:sSup>
            </m:oMath>
          </w:p>
        </w:tc>
        <w:tc>
          <w:tcPr/>
          <w:p>
            <w:pPr>
              <w:pStyle w:val="Compact"/>
              <w:jc w:val="right"/>
            </w:pPr>
            <w:r>
              <w:t xml:space="preserve">+0.029</w:t>
            </w:r>
            <m:oMath>
              <m:sSup>
                <m:e>
                  <m:r>
                    <m:t>​</m:t>
                  </m:r>
                </m:e>
                <m:sup>
                  <m:r>
                    <m:rPr>
                      <m:sty m:val="p"/>
                    </m:rPr>
                    <m:t>*</m:t>
                  </m:r>
                </m:sup>
              </m:sSup>
            </m:oMath>
          </w:p>
        </w:tc>
        <w:tc>
          <w:tcPr/>
          <w:p>
            <w:pPr>
              <w:pStyle w:val="Compact"/>
              <w:jc w:val="right"/>
            </w:pPr>
            <w:r>
              <w:t xml:space="preserve">+0.017</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+0.129</w:t>
            </w:r>
            <m:oMath>
              <m:sSup>
                <m:e>
                  <m:r>
                    <m:t>​</m:t>
                  </m:r>
                </m:e>
                <m:sup>
                  <m:r>
                    <m:rPr>
                      <m:sty m:val="p"/>
                    </m:rPr>
                    <m:t>*</m:t>
                  </m:r>
                </m:sup>
              </m:sSup>
            </m:oMath>
          </w:p>
        </w:tc>
        <w:tc>
          <w:tcPr/>
          <w:p>
            <w:pPr>
              <w:pStyle w:val="Compact"/>
              <w:jc w:val="right"/>
            </w:pPr>
            <w:r>
              <w:t xml:space="preserve">+0.021</w:t>
            </w:r>
          </w:p>
        </w:tc>
        <w:tc>
          <w:tcPr/>
          <w:p>
            <w:pPr>
              <w:pStyle w:val="Compact"/>
              <w:jc w:val="right"/>
            </w:pPr>
            <w:r>
              <w:t xml:space="preserve">+0.009</w:t>
            </w:r>
          </w:p>
        </w:tc>
        <w:tc>
          <w:tcPr/>
          <w:p>
            <w:pPr>
              <w:pStyle w:val="Compact"/>
              <w:jc w:val="right"/>
            </w:pPr>
            <m:oMath>
              <m:r>
                <m:rPr>
                  <m:sty m:val="p"/>
                </m:rPr>
                <m:t>−</m:t>
              </m:r>
            </m:oMath>
            <w:r>
              <w:t xml:space="preserve">0.008</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+0.132</w:t>
            </w:r>
            <m:oMath>
              <m:sSup>
                <m:e>
                  <m:r>
                    <m:t>​</m:t>
                  </m:r>
                </m:e>
                <m:sup>
                  <m:r>
                    <m:rPr>
                      <m:sty m:val="p"/>
                    </m:rPr>
                    <m:t>*</m:t>
                  </m:r>
                </m:sup>
              </m:sSup>
            </m:oMath>
          </w:p>
        </w:tc>
        <w:tc>
          <w:tcPr/>
          <w:p>
            <w:pPr>
              <w:pStyle w:val="Compact"/>
              <w:jc w:val="right"/>
            </w:pPr>
            <w:r>
              <w:t xml:space="preserve">+0.024</w:t>
            </w:r>
          </w:p>
        </w:tc>
        <w:tc>
          <w:tcPr/>
          <w:p>
            <w:pPr>
              <w:pStyle w:val="Compact"/>
              <w:jc w:val="right"/>
            </w:pPr>
            <w:r>
              <w:t xml:space="preserve">+0.012</w:t>
            </w:r>
          </w:p>
        </w:tc>
        <w:tc>
          <w:tcPr/>
          <w:p>
            <w:pPr>
              <w:pStyle w:val="Compact"/>
              <w:jc w:val="right"/>
            </w:pPr>
            <m:oMath>
              <m:r>
                <m:rPr>
                  <m:sty m:val="p"/>
                </m:rPr>
                <m:t>−</m:t>
              </m:r>
            </m:oMath>
            <w:r>
              <w:t xml:space="preserve">0.004</w:t>
            </w:r>
          </w:p>
        </w:tc>
        <w:tc>
          <w:tcPr/>
          <w:p>
            <w:pPr>
              <w:pStyle w:val="Compact"/>
              <w:jc w:val="right"/>
            </w:pPr>
            <w:r>
              <w:t xml:space="preserve">+0.004</w:t>
            </w:r>
          </w:p>
        </w:tc>
        <w:tc>
          <w:tcPr/>
          <w:p>
            <w:pPr>
              <w:pStyle w:val="Compact"/>
            </w:pPr>
          </w:p>
        </w:tc>
      </w:tr>
      <w:tr>
        <w:tc>
          <w:tcPr/>
          <w:p>
            <w:pPr>
              <w:pStyle w:val="Compact"/>
              <w:jc w:val="left"/>
            </w:pPr>
            <w:r>
              <w:t xml:space="preserve">Qwen3-Emb-0.6B</w:t>
            </w:r>
          </w:p>
        </w:tc>
        <w:tc>
          <w:tcPr/>
          <w:p>
            <w:pPr>
              <w:pStyle w:val="Compact"/>
              <w:jc w:val="right"/>
            </w:pPr>
            <w:r>
              <w:t xml:space="preserve">+0.125</w:t>
            </w:r>
            <m:oMath>
              <m:sSup>
                <m:e>
                  <m:r>
                    <m:t>​</m:t>
                  </m:r>
                </m:e>
                <m:sup>
                  <m:r>
                    <m:rPr>
                      <m:sty m:val="p"/>
                    </m:rPr>
                    <m:t>*</m:t>
                  </m:r>
                </m:sup>
              </m:sSup>
            </m:oMath>
          </w:p>
        </w:tc>
        <w:tc>
          <w:tcPr/>
          <w:p>
            <w:pPr>
              <w:pStyle w:val="Compact"/>
              <w:jc w:val="right"/>
            </w:pPr>
            <w:r>
              <w:t xml:space="preserve">+0.018</w:t>
            </w:r>
          </w:p>
        </w:tc>
        <w:tc>
          <w:tcPr/>
          <w:p>
            <w:pPr>
              <w:pStyle w:val="Compact"/>
              <w:jc w:val="right"/>
            </w:pPr>
            <w:r>
              <w:t xml:space="preserve">+0.006</w:t>
            </w:r>
          </w:p>
        </w:tc>
        <w:tc>
          <w:tcPr/>
          <w:p>
            <w:pPr>
              <w:pStyle w:val="Compact"/>
              <w:jc w:val="right"/>
            </w:pPr>
            <m:oMath>
              <m:r>
                <m:rPr>
                  <m:sty m:val="p"/>
                </m:rPr>
                <m:t>−</m:t>
              </m:r>
            </m:oMath>
            <w:r>
              <w:t xml:space="preserve">0.011</w:t>
            </w:r>
          </w:p>
        </w:tc>
        <w:tc>
          <w:tcPr/>
          <w:p>
            <w:pPr>
              <w:pStyle w:val="Compact"/>
              <w:jc w:val="right"/>
            </w:pPr>
            <m:oMath>
              <m:r>
                <m:rPr>
                  <m:sty m:val="p"/>
                </m:rPr>
                <m:t>−</m:t>
              </m:r>
            </m:oMath>
            <w:r>
              <w:t xml:space="preserve">0.003</w:t>
            </w:r>
          </w:p>
        </w:tc>
        <w:tc>
          <w:tcPr/>
          <w:p>
            <w:pPr>
              <w:pStyle w:val="Compact"/>
              <w:jc w:val="right"/>
            </w:pPr>
            <m:oMath>
              <m:r>
                <m:rPr>
                  <m:sty m:val="p"/>
                </m:rPr>
                <m:t>−</m:t>
              </m:r>
            </m:oMath>
            <w:r>
              <w:t xml:space="preserve">0.007</w:t>
            </w:r>
          </w:p>
        </w:tc>
      </w:tr>
      <w:tr>
        <w:tc>
          <w:tcPr>
            <w:gridSpan w:val="7"/>
          </w:tcPr>
          <w:p>
            <w:pPr>
              <w:pStyle w:val="Compact"/>
              <w:jc w:val="left"/>
            </w:pPr>
            <w:r>
              <w:rPr>
                <w:iCs/>
                <w:i/>
              </w:rPr>
              <w:t xml:space="preserve">HotpotQA, Qwen</w:t>
            </w:r>
          </w:p>
        </w:tc>
      </w:tr>
      <w:tr>
        <w:tc>
          <w:tcPr/>
          <w:p>
            <w:pPr>
              <w:pStyle w:val="Compact"/>
              <w:jc w:val="left"/>
            </w:pPr>
            <w:r>
              <w:t xml:space="preserve">MiniLM-L6</w:t>
            </w:r>
          </w:p>
        </w:tc>
        <w:tc>
          <w:tcPr/>
          <w:p>
            <w:pPr>
              <w:pStyle w:val="Compact"/>
              <w:jc w:val="right"/>
            </w:pPr>
            <m:oMath>
              <m:r>
                <m:rPr>
                  <m:sty m:val="p"/>
                </m:rPr>
                <m:t>−</m:t>
              </m:r>
            </m:oMath>
            <w:r>
              <w:t xml:space="preserve">0.035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+0.056</w:t>
            </w:r>
            <m:oMath>
              <m:sSup>
                <m:e>
                  <m:r>
                    <m:t>​</m:t>
                  </m:r>
                </m:e>
                <m:sup>
                  <m:r>
                    <m:rPr>
                      <m:sty m:val="p"/>
                    </m:rPr>
                    <m:t>*</m:t>
                  </m:r>
                </m:sup>
              </m:sSup>
            </m:oMath>
          </w:p>
        </w:tc>
        <w:tc>
          <w:tcPr/>
          <w:p>
            <w:pPr>
              <w:pStyle w:val="Compact"/>
              <w:jc w:val="right"/>
            </w:pPr>
            <w:r>
              <w:t xml:space="preserve">+0.090</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+0.066</w:t>
            </w:r>
            <m:oMath>
              <m:sSup>
                <m:e>
                  <m:r>
                    <m:t>​</m:t>
                  </m:r>
                </m:e>
                <m:sup>
                  <m:r>
                    <m:rPr>
                      <m:sty m:val="p"/>
                    </m:rPr>
                    <m:t>*</m:t>
                  </m:r>
                </m:sup>
              </m:sSup>
            </m:oMath>
          </w:p>
        </w:tc>
        <w:tc>
          <w:tcPr/>
          <w:p>
            <w:pPr>
              <w:pStyle w:val="Compact"/>
              <w:jc w:val="right"/>
            </w:pPr>
            <w:r>
              <w:t xml:space="preserve">+0.100</w:t>
            </w:r>
            <m:oMath>
              <m:sSup>
                <m:e>
                  <m:r>
                    <m:t>​</m:t>
                  </m:r>
                </m:e>
                <m:sup>
                  <m:r>
                    <m:rPr>
                      <m:sty m:val="p"/>
                    </m:rPr>
                    <m:t>*</m:t>
                  </m:r>
                </m:sup>
              </m:sSup>
            </m:oMath>
          </w:p>
        </w:tc>
        <w:tc>
          <w:tcPr/>
          <w:p>
            <w:pPr>
              <w:pStyle w:val="Compact"/>
              <w:jc w:val="right"/>
            </w:pPr>
            <w:r>
              <w:t xml:space="preserve">+0.010</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+0.086</w:t>
            </w:r>
            <m:oMath>
              <m:sSup>
                <m:e>
                  <m:r>
                    <m:t>​</m:t>
                  </m:r>
                </m:e>
                <m:sup>
                  <m:r>
                    <m:rPr>
                      <m:sty m:val="p"/>
                    </m:rPr>
                    <m:t>*</m:t>
                  </m:r>
                </m:sup>
              </m:sSup>
            </m:oMath>
          </w:p>
        </w:tc>
        <w:tc>
          <w:tcPr/>
          <w:p>
            <w:pPr>
              <w:pStyle w:val="Compact"/>
              <w:jc w:val="right"/>
            </w:pPr>
            <w:r>
              <w:t xml:space="preserve">+0.120</w:t>
            </w:r>
            <m:oMath>
              <m:sSup>
                <m:e>
                  <m:r>
                    <m:t>​</m:t>
                  </m:r>
                </m:e>
                <m:sup>
                  <m:r>
                    <m:rPr>
                      <m:sty m:val="p"/>
                    </m:rPr>
                    <m:t>*</m:t>
                  </m:r>
                </m:sup>
              </m:sSup>
            </m:oMath>
          </w:p>
        </w:tc>
        <w:tc>
          <w:tcPr/>
          <w:p>
            <w:pPr>
              <w:pStyle w:val="Compact"/>
              <w:jc w:val="right"/>
            </w:pPr>
            <w:r>
              <w:t xml:space="preserve">+0.030</w:t>
            </w:r>
            <m:oMath>
              <m:sSup>
                <m:e>
                  <m:r>
                    <m:t>​</m:t>
                  </m:r>
                </m:e>
                <m:sup>
                  <m:r>
                    <m:rPr>
                      <m:sty m:val="p"/>
                    </m:rPr>
                    <m:t>*</m:t>
                  </m:r>
                </m:sup>
              </m:sSup>
            </m:oMath>
          </w:p>
        </w:tc>
        <w:tc>
          <w:tcPr/>
          <w:p>
            <w:pPr>
              <w:pStyle w:val="Compact"/>
              <w:jc w:val="right"/>
            </w:pPr>
            <w:r>
              <w:t xml:space="preserve">+0.020</w:t>
            </w:r>
            <m:oMath>
              <m:sSup>
                <m:e>
                  <m:r>
                    <m:t>​</m:t>
                  </m:r>
                </m:e>
                <m:sup>
                  <m:r>
                    <m:rPr>
                      <m:sty m:val="p"/>
                    </m:rPr>
                    <m:t>*</m:t>
                  </m:r>
                </m:sup>
              </m:sSup>
            </m:oMath>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+0.058</w:t>
            </w:r>
            <m:oMath>
              <m:sSup>
                <m:e>
                  <m:r>
                    <m:t>​</m:t>
                  </m:r>
                </m:e>
                <m:sup>
                  <m:r>
                    <m:rPr>
                      <m:sty m:val="p"/>
                    </m:rPr>
                    <m:t>*</m:t>
                  </m:r>
                </m:sup>
              </m:sSup>
            </m:oMath>
          </w:p>
        </w:tc>
        <w:tc>
          <w:tcPr/>
          <w:p>
            <w:pPr>
              <w:pStyle w:val="Compact"/>
              <w:jc w:val="right"/>
            </w:pPr>
            <w:r>
              <w:t xml:space="preserve">+0.092</w:t>
            </w:r>
            <m:oMath>
              <m:sSup>
                <m:e>
                  <m:r>
                    <m:t>​</m:t>
                  </m:r>
                </m:e>
                <m:sup>
                  <m:r>
                    <m:rPr>
                      <m:sty m:val="p"/>
                    </m:rPr>
                    <m:t>*</m:t>
                  </m:r>
                </m:sup>
              </m:sSup>
            </m:oMath>
          </w:p>
        </w:tc>
        <w:tc>
          <w:tcPr/>
          <w:p>
            <w:pPr>
              <w:pStyle w:val="Compact"/>
              <w:jc w:val="right"/>
            </w:pPr>
            <w:r>
              <w:t xml:space="preserve">+0.002</w:t>
            </w:r>
          </w:p>
        </w:tc>
        <w:tc>
          <w:tcPr/>
          <w:p>
            <w:pPr>
              <w:pStyle w:val="Compact"/>
              <w:jc w:val="right"/>
            </w:pPr>
            <m:oMath>
              <m:r>
                <m:rPr>
                  <m:sty m:val="p"/>
                </m:rPr>
                <m:t>−</m:t>
              </m:r>
            </m:oMath>
            <w:r>
              <w:t xml:space="preserve">0.008</w:t>
            </w:r>
          </w:p>
        </w:tc>
        <w:tc>
          <w:tcPr/>
          <w:p>
            <w:pPr>
              <w:pStyle w:val="Compact"/>
              <w:jc w:val="right"/>
            </w:pPr>
            <m:oMath>
              <m:r>
                <m:rPr>
                  <m:sty m:val="p"/>
                </m:rPr>
                <m:t>−</m:t>
              </m:r>
            </m:oMath>
            <w:r>
              <w:t xml:space="preserve">0.028</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+0.028</w:t>
            </w:r>
            <m:oMath>
              <m:sSup>
                <m:e>
                  <m:r>
                    <m:t>​</m:t>
                  </m:r>
                </m:e>
                <m:sup>
                  <m:r>
                    <m:rPr>
                      <m:sty m:val="p"/>
                    </m:rPr>
                    <m:t>*</m:t>
                  </m:r>
                </m:sup>
              </m:sSup>
            </m:oMath>
          </w:p>
        </w:tc>
        <w:tc>
          <w:tcPr/>
          <w:p>
            <w:pPr>
              <w:pStyle w:val="Compact"/>
              <w:jc w:val="right"/>
            </w:pPr>
            <w:r>
              <w:t xml:space="preserve">+0.062</w:t>
            </w:r>
            <m:oMath>
              <m:sSup>
                <m:e>
                  <m:r>
                    <m:t>​</m:t>
                  </m:r>
                </m:e>
                <m:sup>
                  <m:r>
                    <m:rPr>
                      <m:sty m:val="p"/>
                    </m:rPr>
                    <m:t>*</m:t>
                  </m:r>
                </m:sup>
              </m:sSup>
            </m:oMath>
          </w:p>
        </w:tc>
        <w:tc>
          <w:tcPr/>
          <w:p>
            <w:pPr>
              <w:pStyle w:val="Compact"/>
              <w:jc w:val="right"/>
            </w:pPr>
            <m:oMath>
              <m:r>
                <m:rPr>
                  <m:sty m:val="p"/>
                </m:rPr>
                <m:t>−</m:t>
              </m:r>
            </m:oMath>
            <w:r>
              <w:t xml:space="preserve">0.028</w:t>
            </w:r>
            <m:oMath>
              <m:sSup>
                <m:e>
                  <m:r>
                    <m:t>​</m:t>
                  </m:r>
                </m:e>
                <m:sup>
                  <m:r>
                    <m:rPr>
                      <m:sty m:val="p"/>
                    </m:rPr>
                    <m:t>*</m:t>
                  </m:r>
                </m:sup>
              </m:sSup>
            </m:oMath>
          </w:p>
        </w:tc>
        <w:tc>
          <w:tcPr/>
          <w:p>
            <w:pPr>
              <w:pStyle w:val="Compact"/>
              <w:jc w:val="right"/>
            </w:pPr>
            <m:oMath>
              <m:r>
                <m:rPr>
                  <m:sty m:val="p"/>
                </m:rPr>
                <m:t>−</m:t>
              </m:r>
            </m:oMath>
            <w:r>
              <w:t xml:space="preserve">0.037</w:t>
            </w:r>
            <m:oMath>
              <m:sSup>
                <m:e>
                  <m:r>
                    <m:t>​</m:t>
                  </m:r>
                </m:e>
                <m:sup>
                  <m:r>
                    <m:rPr>
                      <m:sty m:val="p"/>
                    </m:rPr>
                    <m:t>*</m:t>
                  </m:r>
                </m:sup>
              </m:sSup>
            </m:oMath>
          </w:p>
        </w:tc>
        <w:tc>
          <w:tcPr/>
          <w:p>
            <w:pPr>
              <w:pStyle w:val="Compact"/>
              <w:jc w:val="right"/>
            </w:pPr>
            <m:oMath>
              <m:r>
                <m:rPr>
                  <m:sty m:val="p"/>
                </m:rPr>
                <m:t>−</m:t>
              </m:r>
            </m:oMath>
            <w:r>
              <w:t xml:space="preserve">0.058</w:t>
            </w:r>
            <m:oMath>
              <m:sSup>
                <m:e>
                  <m:r>
                    <m:t>​</m:t>
                  </m:r>
                </m:e>
                <m:sup>
                  <m:r>
                    <m:rPr>
                      <m:sty m:val="p"/>
                    </m:rPr>
                    <m:t>*</m:t>
                  </m:r>
                </m:sup>
              </m:sSup>
            </m:oMath>
          </w:p>
        </w:tc>
        <w:tc>
          <w:tcPr/>
          <w:p>
            <w:pPr>
              <w:pStyle w:val="Compact"/>
              <w:jc w:val="right"/>
            </w:pPr>
            <m:oMath>
              <m:r>
                <m:rPr>
                  <m:sty m:val="p"/>
                </m:rPr>
                <m:t>−</m:t>
              </m:r>
            </m:oMath>
            <w:r>
              <w:t xml:space="preserve">0.029</w:t>
            </w:r>
            <m:oMath>
              <m:sSup>
                <m:e>
                  <m:r>
                    <m:t>​</m:t>
                  </m:r>
                </m:e>
                <m:sup>
                  <m:r>
                    <m:rPr>
                      <m:sty m:val="p"/>
                    </m:rPr>
                    <m:t>*</m:t>
                  </m:r>
                </m:sup>
              </m:sSup>
            </m:oMath>
          </w:p>
        </w:tc>
      </w:tr>
      <w:tr>
        <w:tc>
          <w:tcPr>
            <w:gridSpan w:val="7"/>
          </w:tcPr>
          <w:p>
            <w:pPr>
              <w:pStyle w:val="Compact"/>
              <w:jc w:val="left"/>
            </w:pPr>
            <w:r>
              <w:rPr>
                <w:iCs/>
                <w:i/>
              </w:rPr>
              <w:t xml:space="preserve">HotpotQA, Llama</w:t>
            </w:r>
          </w:p>
        </w:tc>
      </w:tr>
      <w:tr>
        <w:tc>
          <w:tcPr/>
          <w:p>
            <w:pPr>
              <w:pStyle w:val="Compact"/>
              <w:jc w:val="left"/>
            </w:pPr>
            <w:r>
              <w:t xml:space="preserve">MiniLM-L6</w:t>
            </w:r>
          </w:p>
        </w:tc>
        <w:tc>
          <w:tcPr/>
          <w:p>
            <w:pPr>
              <w:pStyle w:val="Compact"/>
              <w:jc w:val="right"/>
            </w:pPr>
            <m:oMath>
              <m:r>
                <m:rPr>
                  <m:sty m:val="p"/>
                </m:rPr>
                <m:t>−</m:t>
              </m:r>
            </m:oMath>
            <w:r>
              <w:t xml:space="preserve">0.038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+0.057</w:t>
            </w:r>
            <m:oMath>
              <m:sSup>
                <m:e>
                  <m:r>
                    <m:t>​</m:t>
                  </m:r>
                </m:e>
                <m:sup>
                  <m:r>
                    <m:rPr>
                      <m:sty m:val="p"/>
                    </m:rPr>
                    <m:t>*</m:t>
                  </m:r>
                </m:sup>
              </m:sSup>
            </m:oMath>
          </w:p>
        </w:tc>
        <w:tc>
          <w:tcPr/>
          <w:p>
            <w:pPr>
              <w:pStyle w:val="Compact"/>
              <w:jc w:val="right"/>
            </w:pPr>
            <w:r>
              <w:t xml:space="preserve">+0.095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+0.080</w:t>
            </w:r>
            <m:oMath>
              <m:sSup>
                <m:e>
                  <m:r>
                    <m:t>​</m:t>
                  </m:r>
                </m:e>
                <m:sup>
                  <m:r>
                    <m:rPr>
                      <m:sty m:val="p"/>
                    </m:rPr>
                    <m:t>*</m:t>
                  </m:r>
                </m:sup>
              </m:sSup>
            </m:oMath>
          </w:p>
        </w:tc>
        <w:tc>
          <w:tcPr/>
          <w:p>
            <w:pPr>
              <w:pStyle w:val="Compact"/>
              <w:jc w:val="right"/>
            </w:pPr>
            <w:r>
              <w:t xml:space="preserve">+0.118</w:t>
            </w:r>
            <m:oMath>
              <m:sSup>
                <m:e>
                  <m:r>
                    <m:t>​</m:t>
                  </m:r>
                </m:e>
                <m:sup>
                  <m:r>
                    <m:rPr>
                      <m:sty m:val="p"/>
                    </m:rPr>
                    <m:t>*</m:t>
                  </m:r>
                </m:sup>
              </m:sSup>
            </m:oMath>
          </w:p>
        </w:tc>
        <w:tc>
          <w:tcPr/>
          <w:p>
            <w:pPr>
              <w:pStyle w:val="Compact"/>
              <w:jc w:val="right"/>
            </w:pPr>
            <w:r>
              <w:t xml:space="preserve">+0.024</w:t>
            </w:r>
            <m:oMath>
              <m:sSup>
                <m:e>
                  <m:r>
                    <m:t>​</m:t>
                  </m:r>
                </m:e>
                <m:sup>
                  <m:r>
                    <m:rPr>
                      <m:sty m:val="p"/>
                    </m:rPr>
                    <m:t>*</m:t>
                  </m:r>
                </m:sup>
              </m:sSup>
            </m:oMath>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+0.095</w:t>
            </w:r>
            <m:oMath>
              <m:sSup>
                <m:e>
                  <m:r>
                    <m:t>​</m:t>
                  </m:r>
                </m:e>
                <m:sup>
                  <m:r>
                    <m:rPr>
                      <m:sty m:val="p"/>
                    </m:rPr>
                    <m:t>*</m:t>
                  </m:r>
                </m:sup>
              </m:sSup>
            </m:oMath>
          </w:p>
        </w:tc>
        <w:tc>
          <w:tcPr/>
          <w:p>
            <w:pPr>
              <w:pStyle w:val="Compact"/>
              <w:jc w:val="right"/>
            </w:pPr>
            <w:r>
              <w:t xml:space="preserve">+0.133</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+0.015</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+0.073</w:t>
            </w:r>
            <m:oMath>
              <m:sSup>
                <m:e>
                  <m:r>
                    <m:t>​</m:t>
                  </m:r>
                </m:e>
                <m:sup>
                  <m:r>
                    <m:rPr>
                      <m:sty m:val="p"/>
                    </m:rPr>
                    <m:t>*</m:t>
                  </m:r>
                </m:sup>
              </m:sSup>
            </m:oMath>
          </w:p>
        </w:tc>
        <w:tc>
          <w:tcPr/>
          <w:p>
            <w:pPr>
              <w:pStyle w:val="Compact"/>
              <w:jc w:val="right"/>
            </w:pPr>
            <w:r>
              <w:t xml:space="preserve">+0.111</w:t>
            </w:r>
            <m:oMath>
              <m:sSup>
                <m:e>
                  <m:r>
                    <m:t>​</m:t>
                  </m:r>
                </m:e>
                <m:sup>
                  <m:r>
                    <m:rPr>
                      <m:sty m:val="p"/>
                    </m:rPr>
                    <m:t>*</m:t>
                  </m:r>
                </m:sup>
              </m:sSup>
            </m:oMath>
          </w:p>
        </w:tc>
        <w:tc>
          <w:tcPr/>
          <w:p>
            <w:pPr>
              <w:pStyle w:val="Compact"/>
              <w:jc w:val="right"/>
            </w:pPr>
            <w:r>
              <w:t xml:space="preserve">+0.017</w:t>
            </w:r>
          </w:p>
        </w:tc>
        <w:tc>
          <w:tcPr/>
          <w:p>
            <w:pPr>
              <w:pStyle w:val="Compact"/>
              <w:jc w:val="right"/>
            </w:pPr>
            <m:oMath>
              <m:r>
                <m:rPr>
                  <m:sty m:val="p"/>
                </m:rPr>
                <m:t>−</m:t>
              </m:r>
            </m:oMath>
            <w:r>
              <w:t xml:space="preserve">0.007</w:t>
            </w:r>
          </w:p>
        </w:tc>
        <w:tc>
          <w:tcPr/>
          <w:p>
            <w:pPr>
              <w:pStyle w:val="Compact"/>
              <w:jc w:val="right"/>
            </w:pPr>
            <m:oMath>
              <m:r>
                <m:rPr>
                  <m:sty m:val="p"/>
                </m:rPr>
                <m:t>−</m:t>
              </m:r>
            </m:oMath>
            <w:r>
              <w:t xml:space="preserve">0.022</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+0.030</w:t>
            </w:r>
            <m:oMath>
              <m:sSup>
                <m:e>
                  <m:r>
                    <m:t>​</m:t>
                  </m:r>
                </m:e>
                <m:sup>
                  <m:r>
                    <m:rPr>
                      <m:sty m:val="p"/>
                    </m:rPr>
                    <m:t>*</m:t>
                  </m:r>
                </m:sup>
              </m:sSup>
            </m:oMath>
          </w:p>
        </w:tc>
        <w:tc>
          <w:tcPr/>
          <w:p>
            <w:pPr>
              <w:pStyle w:val="Compact"/>
              <w:jc w:val="right"/>
            </w:pPr>
            <w:r>
              <w:t xml:space="preserve">+0.069</w:t>
            </w:r>
            <m:oMath>
              <m:sSup>
                <m:e>
                  <m:r>
                    <m:t>​</m:t>
                  </m:r>
                </m:e>
                <m:sup>
                  <m:r>
                    <m:rPr>
                      <m:sty m:val="p"/>
                    </m:rPr>
                    <m:t>*</m:t>
                  </m:r>
                </m:sup>
              </m:sSup>
            </m:oMath>
          </w:p>
        </w:tc>
        <w:tc>
          <w:tcPr/>
          <w:p>
            <w:pPr>
              <w:pStyle w:val="Compact"/>
              <w:jc w:val="right"/>
            </w:pPr>
            <m:oMath>
              <m:r>
                <m:rPr>
                  <m:sty m:val="p"/>
                </m:rPr>
                <m:t>−</m:t>
              </m:r>
            </m:oMath>
            <w:r>
              <w:t xml:space="preserve">0.026</w:t>
            </w:r>
            <m:oMath>
              <m:sSup>
                <m:e>
                  <m:r>
                    <m:t>​</m:t>
                  </m:r>
                </m:e>
                <m:sup>
                  <m:r>
                    <m:rPr>
                      <m:sty m:val="p"/>
                    </m:rPr>
                    <m:t>*</m:t>
                  </m:r>
                </m:sup>
              </m:sSup>
            </m:oMath>
          </w:p>
        </w:tc>
        <w:tc>
          <w:tcPr/>
          <w:p>
            <w:pPr>
              <w:pStyle w:val="Compact"/>
              <w:jc w:val="right"/>
            </w:pPr>
            <m:oMath>
              <m:r>
                <m:rPr>
                  <m:sty m:val="p"/>
                </m:rPr>
                <m:t>−</m:t>
              </m:r>
            </m:oMath>
            <w:r>
              <w:t xml:space="preserve">0.050</w:t>
            </w:r>
            <m:oMath>
              <m:sSup>
                <m:e>
                  <m:r>
                    <m:t>​</m:t>
                  </m:r>
                </m:e>
                <m:sup>
                  <m:r>
                    <m:rPr>
                      <m:sty m:val="p"/>
                    </m:rPr>
                    <m:t>*</m:t>
                  </m:r>
                </m:sup>
              </m:sSup>
            </m:oMath>
          </w:p>
        </w:tc>
        <w:tc>
          <w:tcPr/>
          <w:p>
            <w:pPr>
              <w:pStyle w:val="Compact"/>
              <w:jc w:val="right"/>
            </w:pPr>
            <m:oMath>
              <m:r>
                <m:rPr>
                  <m:sty m:val="p"/>
                </m:rPr>
                <m:t>−</m:t>
              </m:r>
            </m:oMath>
            <w:r>
              <w:t xml:space="preserve">0.065</w:t>
            </w:r>
            <m:oMath>
              <m:sSup>
                <m:e>
                  <m:r>
                    <m:t>​</m:t>
                  </m:r>
                </m:e>
                <m:sup>
                  <m:r>
                    <m:rPr>
                      <m:sty m:val="p"/>
                    </m:rPr>
                    <m:t>*</m:t>
                  </m:r>
                </m:sup>
              </m:sSup>
            </m:oMath>
          </w:p>
        </w:tc>
        <w:tc>
          <w:tcPr/>
          <w:p>
            <w:pPr>
              <w:pStyle w:val="Compact"/>
              <w:jc w:val="right"/>
            </w:pPr>
            <m:oMath>
              <m:r>
                <m:rPr>
                  <m:sty m:val="p"/>
                </m:rPr>
                <m:t>−</m:t>
              </m:r>
            </m:oMath>
            <w:r>
              <w:t xml:space="preserve">0.043</w:t>
            </w:r>
            <m:oMath>
              <m:sSup>
                <m:e>
                  <m:r>
                    <m:t>​</m:t>
                  </m:r>
                </m:e>
                <m:sup>
                  <m:r>
                    <m:rPr>
                      <m:sty m:val="p"/>
                    </m:rPr>
                    <m:t>*</m:t>
                  </m:r>
                </m:sup>
              </m:sSup>
            </m:oMath>
          </w:p>
        </w:tc>
      </w:tr>
    </w:tbl>
    <w:p>
      <w:pPr>
        <w:pStyle w:val="BodyText"/>
      </w:pPr>
      <m:oMath>
        <m:sSup>
          <m:e>
            <m:r>
              <m:t>​</m:t>
            </m:r>
          </m:e>
          <m:sup>
            <m:r>
              <m:rPr>
                <m:sty m:val="p"/>
              </m:rPr>
              <m:t>*</m:t>
            </m:r>
          </m:sup>
        </m:sSup>
      </m:oMath>
      <w:r>
        <w:rPr>
          <w:iCs/>
          <w:i/>
        </w:rPr>
        <w:t xml:space="preserve">: exact McNemar test significant after Holm correction over the 21 pairs of the cell (</w:t>
      </w:r>
      <m:oMath>
        <m:r>
          <m:t>p</m:t>
        </m:r>
        <m:r>
          <m:rPr>
            <m:sty m:val="p"/>
          </m:rPr>
          <m:t>&lt;</m:t>
        </m:r>
        <m:r>
          <m:t>0.05</m:t>
        </m:r>
      </m:oMath>
      <w:r>
        <w:rPr>
          <w:iCs/>
          <w:i/>
        </w:rPr>
        <w:t xml:space="preserve">).</w:t>
      </w:r>
    </w:p>
    <w:bookmarkStart w:id="139" w:name="tab:judgerates"/>
    <w:p>
      <w:pPr>
        <w:pStyle w:val="TableCaption"/>
      </w:pPr>
      <w:r>
        <w:t xml:space="preserve">Phase 1 LLM-judge labels (Mistral-7B-Instruct-v0.3, zero-shot prompt of Appendix </w:t>
      </w:r>
      <w:hyperlink w:anchor="app:judge">
        <w:r>
          <w:rPr>
            <w:rStyle w:val="Hyperlink"/>
          </w:rPr>
          <w:t xml:space="preserve">10</w:t>
        </w:r>
      </w:hyperlink>
      <w:r>
        <w:t xml:space="preserve">), Qwen reader, NQ.</w:t>
      </w:r>
      <w:r>
        <w:t xml:space="preserve"> </w:t>
      </w:r>
      <w:r>
        <w:rPr>
          <w:bCs/>
          <w:b/>
        </w:rPr>
        <w:t xml:space="preserve">Excluded from all conclusions</w:t>
      </w:r>
      <w:r>
        <w:t xml:space="preserve"> </w:t>
      </w:r>
      <w:r>
        <w:t xml:space="preserve">because agreement with human labels was slight (</w:t>
      </w:r>
      <m:oMath>
        <m:r>
          <m:t>κ</m:t>
        </m:r>
      </m:oMath>
      <w:r>
        <w:t xml:space="preserve"> </w:t>
      </w:r>
      <w:r>
        <w:t xml:space="preserve">= 0.127).</w:t>
      </w:r>
    </w:p>
    <w:tbl>
      <w:tblPr>
        <w:tblStyle w:val="Table"/>
        <w:tblW w:type="auto" w:w="0"/>
        <w:tblLook w:firstRow="1" w:lastRow="0" w:firstColumn="0" w:lastColumn="0" w:noHBand="0" w:noVBand="0" w:val="0020"/>
        <w:jc w:val="start"/>
        <w:tblCaption w:val="Phase 1 LLM-judge labels (Mistral-7B-Instruct-v0.3, zero-shot prompt of Appendix 10), Qwen reader, NQ. Excluded from all conclusions because agreement with human labels was slight (\kappa = 0.127)."/>
      </w:tblPr>
      <w:tblGrid>
        <w:gridCol w:w="2640"/>
        <w:gridCol w:w="2640"/>
        <w:gridCol w:w="264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Share judged SUPPORTED [95% CI]</w:t>
            </w:r>
          </w:p>
        </w:tc>
      </w:tr>
      <w:tr>
        <w:tc>
          <w:tcPr/>
          <w:p>
            <w:pPr>
              <w:pStyle w:val="Compact"/>
              <w:jc w:val="left"/>
            </w:pPr>
            <w:r>
              <w:t xml:space="preserve">BM25</w:t>
            </w:r>
          </w:p>
        </w:tc>
        <w:tc>
          <w:tcPr/>
          <w:p>
            <w:pPr>
              <w:pStyle w:val="Compact"/>
              <w:jc w:val="right"/>
            </w:pPr>
            <w:r>
              <w:t xml:space="preserve">500</w:t>
            </w:r>
          </w:p>
        </w:tc>
        <w:tc>
          <w:tcPr/>
          <w:p>
            <w:pPr>
              <w:pStyle w:val="Compact"/>
              <w:jc w:val="center"/>
            </w:pPr>
            <w:r>
              <w:t xml:space="preserve">0.790 [0.754, 0.826]</w:t>
            </w:r>
          </w:p>
        </w:tc>
      </w:tr>
      <w:tr>
        <w:tc>
          <w:tcPr/>
          <w:p>
            <w:pPr>
              <w:pStyle w:val="Compact"/>
              <w:jc w:val="left"/>
            </w:pPr>
            <w:r>
              <w:t xml:space="preserve">MiniLM-L6</w:t>
            </w:r>
          </w:p>
        </w:tc>
        <w:tc>
          <w:tcPr/>
          <w:p>
            <w:pPr>
              <w:pStyle w:val="Compact"/>
              <w:jc w:val="right"/>
            </w:pPr>
            <w:r>
              <w:t xml:space="preserve">500</w:t>
            </w:r>
          </w:p>
        </w:tc>
        <w:tc>
          <w:tcPr/>
          <w:p>
            <w:pPr>
              <w:pStyle w:val="Compact"/>
              <w:jc w:val="center"/>
            </w:pPr>
            <w:r>
              <w:t xml:space="preserve">0.886 [0.858, 0.914]</w:t>
            </w:r>
          </w:p>
        </w:tc>
      </w:tr>
      <w:tr>
        <w:tc>
          <w:tcPr/>
          <w:p>
            <w:pPr>
              <w:pStyle w:val="Compact"/>
              <w:jc w:val="left"/>
            </w:pPr>
            <w:r>
              <w:t xml:space="preserve">bge-small</w:t>
            </w:r>
          </w:p>
        </w:tc>
        <w:tc>
          <w:tcPr/>
          <w:p>
            <w:pPr>
              <w:pStyle w:val="Compact"/>
              <w:jc w:val="right"/>
            </w:pPr>
            <w:r>
              <w:t xml:space="preserve">500</w:t>
            </w:r>
          </w:p>
        </w:tc>
        <w:tc>
          <w:tcPr/>
          <w:p>
            <w:pPr>
              <w:pStyle w:val="Compact"/>
              <w:jc w:val="center"/>
            </w:pPr>
            <w:r>
              <w:t xml:space="preserve">0.898 [0.870, 0.924]</w:t>
            </w:r>
          </w:p>
        </w:tc>
      </w:tr>
      <w:tr>
        <w:tc>
          <w:tcPr/>
          <w:p>
            <w:pPr>
              <w:pStyle w:val="Compact"/>
              <w:jc w:val="left"/>
            </w:pPr>
            <w:r>
              <w:t xml:space="preserve">bge-base</w:t>
            </w:r>
          </w:p>
        </w:tc>
        <w:tc>
          <w:tcPr/>
          <w:p>
            <w:pPr>
              <w:pStyle w:val="Compact"/>
              <w:jc w:val="right"/>
            </w:pPr>
            <w:r>
              <w:t xml:space="preserve">500</w:t>
            </w:r>
          </w:p>
        </w:tc>
        <w:tc>
          <w:tcPr/>
          <w:p>
            <w:pPr>
              <w:pStyle w:val="Compact"/>
              <w:jc w:val="center"/>
            </w:pPr>
            <w:r>
              <w:t xml:space="preserve">0.902 [0.876, 0.928]</w:t>
            </w:r>
          </w:p>
        </w:tc>
      </w:tr>
      <w:tr>
        <w:tc>
          <w:tcPr/>
          <w:p>
            <w:pPr>
              <w:pStyle w:val="Compact"/>
              <w:jc w:val="left"/>
            </w:pPr>
            <w:r>
              <w:t xml:space="preserve">bge-large</w:t>
            </w:r>
          </w:p>
        </w:tc>
        <w:tc>
          <w:tcPr/>
          <w:p>
            <w:pPr>
              <w:pStyle w:val="Compact"/>
              <w:jc w:val="right"/>
            </w:pPr>
            <w:r>
              <w:t xml:space="preserve">500</w:t>
            </w:r>
          </w:p>
        </w:tc>
        <w:tc>
          <w:tcPr/>
          <w:p>
            <w:pPr>
              <w:pStyle w:val="Compact"/>
              <w:jc w:val="center"/>
            </w:pPr>
            <w:r>
              <w:t xml:space="preserve">0.912 [0.886, 0.936]</w:t>
            </w:r>
          </w:p>
        </w:tc>
      </w:tr>
      <w:tr>
        <w:tc>
          <w:tcPr/>
          <w:p>
            <w:pPr>
              <w:pStyle w:val="Compact"/>
              <w:jc w:val="left"/>
            </w:pPr>
            <w:r>
              <w:t xml:space="preserve">e5-base-v2</w:t>
            </w:r>
          </w:p>
        </w:tc>
        <w:tc>
          <w:tcPr/>
          <w:p>
            <w:pPr>
              <w:pStyle w:val="Compact"/>
              <w:jc w:val="right"/>
            </w:pPr>
            <w:r>
              <w:t xml:space="preserve">500</w:t>
            </w:r>
          </w:p>
        </w:tc>
        <w:tc>
          <w:tcPr/>
          <w:p>
            <w:pPr>
              <w:pStyle w:val="Compact"/>
              <w:jc w:val="center"/>
            </w:pPr>
            <w:r>
              <w:t xml:space="preserve">0.916 [0.890, 0.940]</w:t>
            </w:r>
          </w:p>
        </w:tc>
      </w:tr>
      <w:tr>
        <w:tc>
          <w:tcPr/>
          <w:p>
            <w:pPr>
              <w:pStyle w:val="Compact"/>
              <w:jc w:val="left"/>
            </w:pPr>
            <w:r>
              <w:t xml:space="preserve">Qwen3-Emb-0.6B</w:t>
            </w:r>
          </w:p>
        </w:tc>
        <w:tc>
          <w:tcPr/>
          <w:p>
            <w:pPr>
              <w:pStyle w:val="Compact"/>
              <w:jc w:val="right"/>
            </w:pPr>
            <w:r>
              <w:t xml:space="preserve">500</w:t>
            </w:r>
          </w:p>
        </w:tc>
        <w:tc>
          <w:tcPr/>
          <w:p>
            <w:pPr>
              <w:pStyle w:val="Compact"/>
              <w:jc w:val="center"/>
            </w:pPr>
            <w:r>
              <w:t xml:space="preserve">0.896 [0.870, 0.922]</w:t>
            </w:r>
          </w:p>
        </w:tc>
      </w:tr>
      <w:tr>
        <w:tc>
          <w:tcPr/>
          <w:p>
            <w:pPr>
              <w:pStyle w:val="Compact"/>
              <w:jc w:val="left"/>
            </w:pPr>
            <w:r>
              <w:t xml:space="preserve">Gold passages</w:t>
            </w:r>
          </w:p>
        </w:tc>
        <w:tc>
          <w:tcPr/>
          <w:p>
            <w:pPr>
              <w:pStyle w:val="Compact"/>
              <w:jc w:val="right"/>
            </w:pPr>
            <w:r>
              <w:t xml:space="preserve">499</w:t>
            </w:r>
          </w:p>
        </w:tc>
        <w:tc>
          <w:tcPr/>
          <w:p>
            <w:pPr>
              <w:pStyle w:val="Compact"/>
              <w:jc w:val="center"/>
            </w:pPr>
            <w:r>
              <w:t xml:space="preserve">0.966 [0.950, 0.980]</w:t>
            </w:r>
          </w:p>
        </w:tc>
      </w:tr>
    </w:tbl>
    <w:bookmarkEnd w:id="139"/>
    <w:p>
      <w:pPr>
        <w:pStyle w:val="BodyText"/>
      </w:pPr>
      <w:r>
        <w:rPr>
          <w:iCs/>
          <w:i/>
        </w:rPr>
        <w:t xml:space="preserve">3,999 judgements; one gold-passage output reached the token limit, so the gold row has 499 items.</w:t>
      </w:r>
    </w:p>
    <w:p>
      <w:pPr>
        <w:pStyle w:val="CaptionedFigure"/>
      </w:pPr>
      <w:r>
        <w:drawing>
          <wp:inline>
            <wp:extent cx="5334000" cy="1649855"/>
            <wp:effectExtent b="0" l="0" r="0" t="0"/>
            <wp:docPr descr="" title="" id="141" name="Picture"/>
            <a:graphic>
              <a:graphicData uri="http://schemas.openxmlformats.org/drawingml/2006/picture">
                <pic:pic>
                  <pic:nvPicPr>
                    <pic:cNvPr descr="/home/claude/rag-embed-transfer/paper_figures/out/fig12_latency.png" id="142" name="Picture"/>
                    <pic:cNvPicPr>
                      <a:picLocks noChangeArrowheads="1" noChangeAspect="1"/>
                    </pic:cNvPicPr>
                  </pic:nvPicPr>
                  <pic:blipFill>
                    <a:blip r:embed="rId140"/>
                    <a:stretch>
                      <a:fillRect/>
                    </a:stretch>
                  </pic:blipFill>
                  <pic:spPr bwMode="auto">
                    <a:xfrm>
                      <a:off x="0" y="0"/>
                      <a:ext cx="5334000" cy="1649855"/>
                    </a:xfrm>
                    <a:prstGeom prst="rect">
                      <a:avLst/>
                    </a:prstGeom>
                    <a:noFill/>
                    <a:ln w="9525">
                      <a:noFill/>
                      <a:headEnd/>
                      <a:tailEnd/>
                    </a:ln>
                  </pic:spPr>
                </pic:pic>
              </a:graphicData>
            </a:graphic>
          </wp:inline>
        </w:drawing>
      </w:r>
    </w:p>
    <w:p>
      <w:pPr>
        <w:pStyle w:val="ImageCaption"/>
      </w:pPr>
      <w:r>
        <w:t xml:space="preserve">NQ nDCG@10 against per-query latency (Phase 1 batch-1 medians, log scale): (a) query encoding on the T4 and exact search on the CPU; (b) both on the CPU.</w:t>
      </w:r>
    </w:p>
    <w:bookmarkStart w:id="239" w:name="refs"/>
    <w:bookmarkStart w:id="144" w:name="ref-amiraz2025distracting"/>
    <w:p>
      <w:pPr>
        <w:pStyle w:val="Bibliography"/>
      </w:pPr>
      <w:r>
        <w:t xml:space="preserve">Amiraz, Chen, Florin Cuconasu, Simone Filice, and Zohar Karnin. 2025.</w:t>
      </w:r>
      <w:r>
        <w:t xml:space="preserve"> </w:t>
      </w:r>
      <w:r>
        <w:t xml:space="preserve">“</w:t>
      </w:r>
      <w:r>
        <w:t xml:space="preserve">The Distracting Effect: Understanding Irrelevant Passages in RAG</w:t>
      </w:r>
      <w:r>
        <w:t xml:space="preserve">.”</w:t>
      </w:r>
      <w:r>
        <w:t xml:space="preserve"> </w:t>
      </w:r>
      <w:r>
        <w:t xml:space="preserve">In</w:t>
      </w:r>
      <w:r>
        <w:t xml:space="preserve"> </w:t>
      </w:r>
      <w:r>
        <w:rPr>
          <w:iCs/>
          <w:i/>
        </w:rPr>
        <w:t xml:space="preserve">Proceedings of the 63rd Annual Meeting of the Association for Computational Linguistics (ACL 2025)</w:t>
      </w:r>
      <w:r>
        <w:t xml:space="preserve">.</w:t>
      </w:r>
      <w:r>
        <w:t xml:space="preserve"> </w:t>
      </w:r>
      <w:hyperlink r:id="rId143">
        <w:r>
          <w:rPr>
            <w:rStyle w:val="Hyperlink"/>
          </w:rPr>
          <w:t xml:space="preserve">https://doi.org/10.18653/v1/2025.acl-long.892</w:t>
        </w:r>
      </w:hyperlink>
      <w:r>
        <w:t xml:space="preserve">.</w:t>
      </w:r>
    </w:p>
    <w:bookmarkEnd w:id="144"/>
    <w:bookmarkStart w:id="145" w:name="ref-elassadi2026embedder"/>
    <w:p>
      <w:pPr>
        <w:pStyle w:val="Bibliography"/>
      </w:pPr>
      <w:r>
        <w:t xml:space="preserve">Assadi, Adnan El, Niklas Muennighoff, and Jinhyuk Lee. 2026.</w:t>
      </w:r>
      <w:r>
        <w:t xml:space="preserve"> </w:t>
      </w:r>
      <w:r>
        <w:t xml:space="preserve">“</w:t>
      </w:r>
      <w:r>
        <w:t xml:space="preserve">The Embedder’s Dilemma: LLMs Are Better, but at What Cost?</w:t>
      </w:r>
      <w:r>
        <w:t xml:space="preserve">”</w:t>
      </w:r>
      <w:r>
        <w:t xml:space="preserve"> arXiv preprint arXiv:2608.12875.</w:t>
      </w:r>
    </w:p>
    <w:bookmarkEnd w:id="145"/>
    <w:bookmarkStart w:id="146" w:name="ref-bala2026recall"/>
    <w:p>
      <w:pPr>
        <w:pStyle w:val="Bibliography"/>
      </w:pPr>
      <w:r>
        <w:t xml:space="preserve">Bala, Ananto Nayan. 2026.</w:t>
      </w:r>
      <w:r>
        <w:t xml:space="preserve"> </w:t>
      </w:r>
      <w:r>
        <w:t xml:space="preserve">“</w:t>
      </w:r>
      <w:r>
        <w:t xml:space="preserve">Recall Is Not Enough: A Reader-Context Diagnostic for Budget-Constrained Retrieval-Augmented Generation</w:t>
      </w:r>
      <w:r>
        <w:t xml:space="preserve">.”</w:t>
      </w:r>
      <w:r>
        <w:t xml:space="preserve"> </w:t>
      </w:r>
      <w:r>
        <w:t xml:space="preserve">arXiv preprint arXiv:2607.00725.</w:t>
      </w:r>
    </w:p>
    <w:bookmarkEnd w:id="146"/>
    <w:bookmarkStart w:id="148" w:name="ref-cohen1960kappa"/>
    <w:p>
      <w:pPr>
        <w:pStyle w:val="Bibliography"/>
      </w:pPr>
      <w:r>
        <w:t xml:space="preserve">Cohen, Jacob.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 (1): 37–46.</w:t>
      </w:r>
      <w:r>
        <w:t xml:space="preserve"> </w:t>
      </w:r>
      <w:hyperlink r:id="rId147">
        <w:r>
          <w:rPr>
            <w:rStyle w:val="Hyperlink"/>
          </w:rPr>
          <w:t xml:space="preserve">https://doi.org/10.1177/001316446002000104</w:t>
        </w:r>
      </w:hyperlink>
      <w:r>
        <w:t xml:space="preserve">.</w:t>
      </w:r>
    </w:p>
    <w:bookmarkEnd w:id="148"/>
    <w:bookmarkStart w:id="150" w:name="ref-cuconasu2025positional"/>
    <w:p>
      <w:pPr>
        <w:pStyle w:val="Bibliography"/>
      </w:pPr>
      <w:r>
        <w:t xml:space="preserve">Cuconasu, Florin, Simone Filice, Guy Horowitz, Yoelle Maarek, and Fabrizio Silvestri. 2025.</w:t>
      </w:r>
      <w:r>
        <w:t xml:space="preserve"> </w:t>
      </w:r>
      <w:r>
        <w:t xml:space="preserve">“</w:t>
      </w:r>
      <w:r>
        <w:t xml:space="preserve">Do RAG Systems Really Suffer From Positional Bias?</w:t>
      </w:r>
      <w:r>
        <w:t xml:space="preserve">”</w:t>
      </w:r>
      <w:r>
        <w:t xml:space="preserve"> In</w:t>
      </w:r>
      <w:r>
        <w:t xml:space="preserve"> </w:t>
      </w:r>
      <w:r>
        <w:rPr>
          <w:iCs/>
          <w:i/>
        </w:rPr>
        <w:t xml:space="preserve">Proceedings of the 2025 Conference on Empirical Methods in Natural Language Processing</w:t>
      </w:r>
      <w:r>
        <w:t xml:space="preserve">, 28022–36.</w:t>
      </w:r>
      <w:r>
        <w:t xml:space="preserve"> </w:t>
      </w:r>
      <w:hyperlink r:id="rId149">
        <w:r>
          <w:rPr>
            <w:rStyle w:val="Hyperlink"/>
          </w:rPr>
          <w:t xml:space="preserve">https://doi.org/10.18653/v1/2025.emnlp-main.1422</w:t>
        </w:r>
      </w:hyperlink>
      <w:r>
        <w:t xml:space="preserve">.</w:t>
      </w:r>
    </w:p>
    <w:bookmarkEnd w:id="150"/>
    <w:bookmarkStart w:id="152" w:name="ref-cuconasu2024power"/>
    <w:p>
      <w:pPr>
        <w:pStyle w:val="Bibliography"/>
      </w:pPr>
      <w:r>
        <w:t xml:space="preserve">Cuconasu, Florin, Giovanni Trappolini, Federico Siciliano, Simone Filice, Cesare Campagnano, Yoelle Maarek, Nicola Tonellotto, and Fabrizio Silvestri. 2024.</w:t>
      </w:r>
      <w:r>
        <w:t xml:space="preserve"> </w:t>
      </w:r>
      <w:r>
        <w:t xml:space="preserve">“</w:t>
      </w:r>
      <w:r>
        <w:t xml:space="preserve">The Power of Noise: Redefining Retrieval for RAG Systems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719–29. ACM.</w:t>
      </w:r>
      <w:r>
        <w:t xml:space="preserve"> </w:t>
      </w:r>
      <w:hyperlink r:id="rId151">
        <w:r>
          <w:rPr>
            <w:rStyle w:val="Hyperlink"/>
          </w:rPr>
          <w:t xml:space="preserve">https://doi.org/10.1145/3626772.3657834</w:t>
        </w:r>
      </w:hyperlink>
      <w:r>
        <w:t xml:space="preserve">.</w:t>
      </w:r>
    </w:p>
    <w:bookmarkEnd w:id="152"/>
    <w:bookmarkStart w:id="154" w:name="ref-dror2018"/>
    <w:p>
      <w:pPr>
        <w:pStyle w:val="Bibliography"/>
      </w:pPr>
      <w:r>
        <w:t xml:space="preserve">Dror, Rotem, Gili Baumer, Segev Shlomov, and Roi Reichart. 2018.</w:t>
      </w:r>
      <w:r>
        <w:t xml:space="preserve"> </w:t>
      </w:r>
      <w:r>
        <w:t xml:space="preserve">“</w:t>
      </w:r>
      <w:r>
        <w:t xml:space="preserve">The Hitchhiker’s Guide to Testing Statistical Significance in Natural Language Processing</w:t>
      </w:r>
      <w:r>
        <w:t xml:space="preserve">.”</w:t>
      </w:r>
      <w:r>
        <w:t xml:space="preserve"> </w:t>
      </w:r>
      <w:r>
        <w:t xml:space="preserve">In</w:t>
      </w:r>
      <w:r>
        <w:t xml:space="preserve"> </w:t>
      </w:r>
      <w:r>
        <w:rPr>
          <w:iCs/>
          <w:i/>
        </w:rPr>
        <w:t xml:space="preserve">Proceedings of the 56th Annual Meeting of the Association for Computational Linguistics (Volume 1: Long Papers)</w:t>
      </w:r>
      <w:r>
        <w:t xml:space="preserve">, 1383–92. Association for Computational Linguistics.</w:t>
      </w:r>
      <w:r>
        <w:t xml:space="preserve"> </w:t>
      </w:r>
      <w:hyperlink r:id="rId153">
        <w:r>
          <w:rPr>
            <w:rStyle w:val="Hyperlink"/>
          </w:rPr>
          <w:t xml:space="preserve">https://doi.org/10.18653/v1/p18-1128</w:t>
        </w:r>
      </w:hyperlink>
      <w:r>
        <w:t xml:space="preserve">.</w:t>
      </w:r>
    </w:p>
    <w:bookmarkEnd w:id="154"/>
    <w:bookmarkStart w:id="156" w:name="ref-efron1993bootstrap"/>
    <w:p>
      <w:pPr>
        <w:pStyle w:val="Bibliography"/>
      </w:pPr>
      <w:r>
        <w:t xml:space="preserve">Efron, Bradley, and Robert J. Tibshirani. 1993.</w:t>
      </w:r>
      <w:r>
        <w:t xml:space="preserve"> </w:t>
      </w:r>
      <w:r>
        <w:rPr>
          <w:iCs/>
          <w:i/>
        </w:rPr>
        <w:t xml:space="preserve">An Introduction to the Bootstrap</w:t>
      </w:r>
      <w:r>
        <w:t xml:space="preserve">. Springer US.</w:t>
      </w:r>
      <w:r>
        <w:t xml:space="preserve"> </w:t>
      </w:r>
      <w:hyperlink r:id="rId155">
        <w:r>
          <w:rPr>
            <w:rStyle w:val="Hyperlink"/>
          </w:rPr>
          <w:t xml:space="preserve">https://doi.org/10.1007/978-1-4899-4541-9</w:t>
        </w:r>
      </w:hyperlink>
      <w:r>
        <w:t xml:space="preserve">.</w:t>
      </w:r>
    </w:p>
    <w:bookmarkEnd w:id="156"/>
    <w:bookmarkStart w:id="158" w:name="ref-es2024ragas"/>
    <w:p>
      <w:pPr>
        <w:pStyle w:val="Bibliography"/>
      </w:pPr>
      <w:r>
        <w:t xml:space="preserve">Es, Shahul, Jithin James, Luis Espinosa Anke, and Steven Schockaert. 2024.</w:t>
      </w:r>
      <w:r>
        <w:t xml:space="preserve"> </w:t>
      </w:r>
      <w:r>
        <w:t xml:space="preserve">“</w:t>
      </w:r>
      <w:r>
        <w:t xml:space="preserve">RAGAs: Automated Evaluation of Retrieval Augmented Generation</w:t>
      </w:r>
      <w:r>
        <w:t xml:space="preserve">.”</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150–58. Association for Computational Linguistics.</w:t>
      </w:r>
      <w:r>
        <w:t xml:space="preserve"> </w:t>
      </w:r>
      <w:hyperlink r:id="rId157">
        <w:r>
          <w:rPr>
            <w:rStyle w:val="Hyperlink"/>
          </w:rPr>
          <w:t xml:space="preserve">https://doi.org/10.18653/v1/2024.eacl-demo.16</w:t>
        </w:r>
      </w:hyperlink>
      <w:r>
        <w:t xml:space="preserve">.</w:t>
      </w:r>
    </w:p>
    <w:bookmarkEnd w:id="158"/>
    <w:bookmarkStart w:id="159" w:name="ref-ghosh2026evidence"/>
    <w:p>
      <w:pPr>
        <w:pStyle w:val="Bibliography"/>
      </w:pPr>
      <w:r>
        <w:t xml:space="preserve">Ghosh, Utshab Kumar, Debayan Mukhopadhyay, and Shubham Chatterjee. 2026.</w:t>
      </w:r>
      <w:r>
        <w:t xml:space="preserve"> </w:t>
      </w:r>
      <w:r>
        <w:t xml:space="preserve">“</w:t>
      </w:r>
      <w:r>
        <w:t xml:space="preserve">Assessing the Downstream Utility of Evidence-Aware Retrieval in RAG</w:t>
      </w:r>
      <w:r>
        <w:t xml:space="preserve">.”</w:t>
      </w:r>
      <w:r>
        <w:t xml:space="preserve"> </w:t>
      </w:r>
      <w:r>
        <w:t xml:space="preserve">arXiv preprint arXiv:2608.26379.</w:t>
      </w:r>
    </w:p>
    <w:bookmarkEnd w:id="159"/>
    <w:bookmarkStart w:id="160" w:name="ref-grattafiori2024llama3"/>
    <w:p>
      <w:pPr>
        <w:pStyle w:val="Bibliography"/>
      </w:pPr>
      <w:r>
        <w:t xml:space="preserve">Grattafiori, Aaron, Abhimanyu Dubey, Abhinav Jauhri, Abhinav Pandey, Abhishek Kadian, Ahmad Al-Dahle, Aiesha Letman, et al. 2024.</w:t>
      </w:r>
      <w:r>
        <w:t xml:space="preserve"> </w:t>
      </w:r>
      <w:r>
        <w:t xml:space="preserve">“</w:t>
      </w:r>
      <w:r>
        <w:t xml:space="preserve">The Llama 3 Herd of Models</w:t>
      </w:r>
      <w:r>
        <w:t xml:space="preserve">.”</w:t>
      </w:r>
      <w:r>
        <w:t xml:space="preserve"> </w:t>
      </w:r>
      <w:r>
        <w:t xml:space="preserve">arXiv preprint arXiv:2407.21783.</w:t>
      </w:r>
    </w:p>
    <w:bookmarkEnd w:id="160"/>
    <w:bookmarkStart w:id="162" w:name="ref-holm1979"/>
    <w:p>
      <w:pPr>
        <w:pStyle w:val="Bibliography"/>
      </w:pPr>
      <w:r>
        <w:t xml:space="preserve">Holm, Sture.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r>
        <w:t xml:space="preserve"> </w:t>
      </w:r>
      <w:hyperlink r:id="rId161">
        <w:r>
          <w:rPr>
            <w:rStyle w:val="Hyperlink"/>
          </w:rPr>
          <w:t xml:space="preserve">https://www.jstor.org/stable/4615733</w:t>
        </w:r>
      </w:hyperlink>
      <w:r>
        <w:t xml:space="preserve">.</w:t>
      </w:r>
    </w:p>
    <w:bookmarkEnd w:id="162"/>
    <w:bookmarkStart w:id="163" w:name="ref-hsia2025ragged"/>
    <w:p>
      <w:pPr>
        <w:pStyle w:val="Bibliography"/>
      </w:pPr>
      <w:r>
        <w:t xml:space="preserve">Hsia, Jennifer, Afreen Shaikh, Zhiruo Wang, and Graham Neubig. 2025.</w:t>
      </w:r>
      <w:r>
        <w:t xml:space="preserve"> </w:t>
      </w:r>
      <w:r>
        <w:t xml:space="preserve">“</w:t>
      </w:r>
      <w:r>
        <w:t xml:space="preserve">RAGGED: Towards Informed Design of Scalable and Stable RAG Systems</w:t>
      </w:r>
      <w:r>
        <w:t xml:space="preserve">.”</w:t>
      </w:r>
      <w:r>
        <w:t xml:space="preserve"> </w:t>
      </w:r>
      <w:r>
        <w:t xml:space="preserve">In</w:t>
      </w:r>
      <w:r>
        <w:t xml:space="preserve"> </w:t>
      </w:r>
      <w:r>
        <w:rPr>
          <w:iCs/>
          <w:i/>
        </w:rPr>
        <w:t xml:space="preserve">Proceedings of the 42nd International Conference on Machine Learning (ICML 2025)</w:t>
      </w:r>
      <w:r>
        <w:t xml:space="preserve">.</w:t>
      </w:r>
    </w:p>
    <w:bookmarkEnd w:id="163"/>
    <w:bookmarkStart w:id="165" w:name="ref-izacard2021fid"/>
    <w:p>
      <w:pPr>
        <w:pStyle w:val="Bibliography"/>
      </w:pPr>
      <w:r>
        <w:t xml:space="preserve">Izacard, Gautier, and Edouard Grave. 2021.</w:t>
      </w:r>
      <w:r>
        <w:t xml:space="preserve"> </w:t>
      </w:r>
      <w:r>
        <w:t xml:space="preserve">“</w:t>
      </w:r>
      <w:r>
        <w:t xml:space="preserve">Leveraging Passage Retrieval with Generative Models for Open Domain Question Answering</w:t>
      </w:r>
      <w:r>
        <w:t xml:space="preserve">.”</w:t>
      </w:r>
      <w:r>
        <w:t xml:space="preserve"> </w:t>
      </w:r>
      <w:r>
        <w:t xml:space="preserve">In</w:t>
      </w:r>
      <w:r>
        <w:t xml:space="preserve"> </w:t>
      </w:r>
      <w:r>
        <w:rPr>
          <w:iCs/>
          <w:i/>
        </w:rPr>
        <w:t xml:space="preserve">Proceedings of the 16th Conference of the European Chapter of the Association for Computational Linguistics: Main Volume</w:t>
      </w:r>
      <w:r>
        <w:t xml:space="preserve">, 874–80. Association for Computational Linguistics.</w:t>
      </w:r>
      <w:r>
        <w:t xml:space="preserve"> </w:t>
      </w:r>
      <w:hyperlink r:id="rId164">
        <w:r>
          <w:rPr>
            <w:rStyle w:val="Hyperlink"/>
          </w:rPr>
          <w:t xml:space="preserve">https://doi.org/10.18653/v1/2021.eacl-main.74</w:t>
        </w:r>
      </w:hyperlink>
      <w:r>
        <w:t xml:space="preserve">.</w:t>
      </w:r>
    </w:p>
    <w:bookmarkEnd w:id="165"/>
    <w:bookmarkStart w:id="166" w:name="ref-jiang2023mistral"/>
    <w:p>
      <w:pPr>
        <w:pStyle w:val="Bibliography"/>
      </w:pPr>
      <w:r>
        <w:t xml:space="preserve">Jiang, Albert Q., Alexandre Sablayrolles, Arthur Mensch, Chris Bamford, Devendra Singh Chaplot, Diego de las Casas, Florian Bressand, et al. 2023.</w:t>
      </w:r>
      <w:r>
        <w:t xml:space="preserve"> </w:t>
      </w:r>
      <w:r>
        <w:t xml:space="preserve">“</w:t>
      </w:r>
      <w:r>
        <w:t xml:space="preserve">Mistral 7B</w:t>
      </w:r>
      <w:r>
        <w:t xml:space="preserve">.”</w:t>
      </w:r>
      <w:r>
        <w:t xml:space="preserve"> </w:t>
      </w:r>
      <w:r>
        <w:t xml:space="preserve">arXiv preprint arXiv:2310.06825.</w:t>
      </w:r>
    </w:p>
    <w:bookmarkEnd w:id="166"/>
    <w:bookmarkStart w:id="167" w:name="ref-jin2024longcontext"/>
    <w:p>
      <w:pPr>
        <w:pStyle w:val="Bibliography"/>
      </w:pPr>
      <w:r>
        <w:t xml:space="preserve">Jin, Bowen, Jinsung Yoon, Jiawei Han, and Sercan O. Arik. 2024.</w:t>
      </w:r>
      <w:r>
        <w:t xml:space="preserve"> </w:t>
      </w:r>
      <w:r>
        <w:t xml:space="preserve">“</w:t>
      </w:r>
      <w:r>
        <w:t xml:space="preserve">Long-Context LLMs Meet RAG: Overcoming Challenges for Long Inputs in RAG</w:t>
      </w:r>
      <w:r>
        <w:t xml:space="preserve">.”</w:t>
      </w:r>
      <w:r>
        <w:t xml:space="preserve"> </w:t>
      </w:r>
      <w:r>
        <w:t xml:space="preserve">arXiv preprint arXiv:2410.05983.</w:t>
      </w:r>
    </w:p>
    <w:bookmarkEnd w:id="167"/>
    <w:bookmarkStart w:id="169" w:name="ref-johnson2021faiss"/>
    <w:p>
      <w:pPr>
        <w:pStyle w:val="Bibliography"/>
      </w:pPr>
      <w:r>
        <w:t xml:space="preserve">Johnson, Jeff, Matthijs Douze, and Herve Jegou. 2021.</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w:t>
      </w:r>
      <w:r>
        <w:t xml:space="preserve">7 (3): 535–47.</w:t>
      </w:r>
      <w:r>
        <w:t xml:space="preserve"> </w:t>
      </w:r>
      <w:hyperlink r:id="rId168">
        <w:r>
          <w:rPr>
            <w:rStyle w:val="Hyperlink"/>
          </w:rPr>
          <w:t xml:space="preserve">https://doi.org/10.1109/tbdata.2019.2921572</w:t>
        </w:r>
      </w:hyperlink>
      <w:r>
        <w:t xml:space="preserve">.</w:t>
      </w:r>
    </w:p>
    <w:bookmarkEnd w:id="169"/>
    <w:bookmarkStart w:id="171" w:name="ref-kamalloo2023"/>
    <w:p>
      <w:pPr>
        <w:pStyle w:val="Bibliography"/>
      </w:pPr>
      <w:r>
        <w:t xml:space="preserve">Kamalloo, Ehsan, Nouha Dziri, Charles Clarke, and Davood Rafiei. 2023.</w:t>
      </w:r>
      <w:r>
        <w:t xml:space="preserve"> </w:t>
      </w:r>
      <w:r>
        <w:t xml:space="preserve">“</w:t>
      </w:r>
      <w:r>
        <w:t xml:space="preserve">Evaluating Open-Domain Question Answering in the Era of Large Language Models</w:t>
      </w:r>
      <w:r>
        <w:t xml:space="preserve">.”</w:t>
      </w:r>
      <w:r>
        <w:t xml:space="preserve"> </w:t>
      </w:r>
      <w:r>
        <w:t xml:space="preserve">In</w:t>
      </w:r>
      <w:r>
        <w:t xml:space="preserve"> </w:t>
      </w:r>
      <w:r>
        <w:rPr>
          <w:iCs/>
          <w:i/>
        </w:rPr>
        <w:t xml:space="preserve">Proceedings of the 61st Annual Meeting of the Association for Computational Linguistics (Volume 1: Long Papers)</w:t>
      </w:r>
      <w:r>
        <w:t xml:space="preserve">, 5591–5606. Association for Computational Linguistics.</w:t>
      </w:r>
      <w:r>
        <w:t xml:space="preserve"> </w:t>
      </w:r>
      <w:hyperlink r:id="rId170">
        <w:r>
          <w:rPr>
            <w:rStyle w:val="Hyperlink"/>
          </w:rPr>
          <w:t xml:space="preserve">https://doi.org/10.18653/v1/2023.acl-long.307</w:t>
        </w:r>
      </w:hyperlink>
      <w:r>
        <w:t xml:space="preserve">.</w:t>
      </w:r>
    </w:p>
    <w:bookmarkEnd w:id="171"/>
    <w:bookmarkStart w:id="173" w:name="ref-karpukhin2020dpr"/>
    <w:p>
      <w:pPr>
        <w:pStyle w:val="Bibliography"/>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6769–81. Association for Computational Linguistics.</w:t>
      </w:r>
      <w:r>
        <w:t xml:space="preserve"> </w:t>
      </w:r>
      <w:hyperlink r:id="rId172">
        <w:r>
          <w:rPr>
            <w:rStyle w:val="Hyperlink"/>
          </w:rPr>
          <w:t xml:space="preserve">https://doi.org/10.18653/v1/2020.emnlp-main.550</w:t>
        </w:r>
      </w:hyperlink>
      <w:r>
        <w:t xml:space="preserve">.</w:t>
      </w:r>
    </w:p>
    <w:bookmarkEnd w:id="173"/>
    <w:bookmarkStart w:id="175" w:name="ref-kwiatkowski2019nq"/>
    <w:p>
      <w:pPr>
        <w:pStyle w:val="Bibliography"/>
      </w:pPr>
      <w:r>
        <w:t xml:space="preserve">Kwiatkowski, Tom, Jennimaria Palomaki, Olivia Redfield, Michael Collins, Ankur Parikh, Chris Alberti, Danielle Epstein, et al. 2019.</w:t>
      </w:r>
      <w:r>
        <w:t xml:space="preserve"> </w:t>
      </w:r>
      <w:r>
        <w:t xml:space="preserve">“</w:t>
      </w:r>
      <w:r>
        <w:t xml:space="preserve">Natural Questions: A Benchmark for Question Answering Research</w:t>
      </w:r>
      <w:r>
        <w:t xml:space="preserve">.”</w:t>
      </w:r>
      <w:r>
        <w:t xml:space="preserve"> </w:t>
      </w:r>
      <w:r>
        <w:rPr>
          <w:iCs/>
          <w:i/>
        </w:rPr>
        <w:t xml:space="preserve">Transactions of the Association for Computational Linguistics</w:t>
      </w:r>
      <w:r>
        <w:t xml:space="preserve"> </w:t>
      </w:r>
      <w:r>
        <w:t xml:space="preserve">7: 453–66.</w:t>
      </w:r>
      <w:r>
        <w:t xml:space="preserve"> </w:t>
      </w:r>
      <w:hyperlink r:id="rId174">
        <w:r>
          <w:rPr>
            <w:rStyle w:val="Hyperlink"/>
          </w:rPr>
          <w:t xml:space="preserve">https://doi.org/10.1162/tacl_a_00276</w:t>
        </w:r>
      </w:hyperlink>
      <w:r>
        <w:t xml:space="preserve">.</w:t>
      </w:r>
    </w:p>
    <w:bookmarkEnd w:id="175"/>
    <w:bookmarkStart w:id="177" w:name="ref-kwon2023vllm"/>
    <w:p>
      <w:pPr>
        <w:pStyle w:val="Bibliography"/>
      </w:pPr>
      <w:r>
        <w:t xml:space="preserve">Kwon, Woosuk, Zhuohan Li, Siyuan Zhuang, Ying Sheng, Lianmin Zheng, Cody Hao Yu, Joseph Gonzalez, Hao Zhang, and Ion Stoica. 2023.</w:t>
      </w:r>
      <w:r>
        <w:t xml:space="preserve"> </w:t>
      </w:r>
      <w:r>
        <w:t xml:space="preserve">“</w:t>
      </w:r>
      <w:r>
        <w:t xml:space="preserve">Efficient Memory Management for Large Language Model Serving with PagedAttention</w:t>
      </w:r>
      <w:r>
        <w:t xml:space="preserve">.”</w:t>
      </w:r>
      <w:r>
        <w:t xml:space="preserve"> </w:t>
      </w:r>
      <w:r>
        <w:t xml:space="preserve">In</w:t>
      </w:r>
      <w:r>
        <w:t xml:space="preserve"> </w:t>
      </w:r>
      <w:r>
        <w:rPr>
          <w:iCs/>
          <w:i/>
        </w:rPr>
        <w:t xml:space="preserve">Proceedings of the 29th Symposium on Operating Systems Principles</w:t>
      </w:r>
      <w:r>
        <w:t xml:space="preserve">, 611–26. ACM.</w:t>
      </w:r>
      <w:r>
        <w:t xml:space="preserve"> </w:t>
      </w:r>
      <w:hyperlink r:id="rId176">
        <w:r>
          <w:rPr>
            <w:rStyle w:val="Hyperlink"/>
          </w:rPr>
          <w:t xml:space="preserve">https://doi.org/10.1145/3600006.3613165</w:t>
        </w:r>
      </w:hyperlink>
      <w:r>
        <w:t xml:space="preserve">.</w:t>
      </w:r>
    </w:p>
    <w:bookmarkEnd w:id="177"/>
    <w:bookmarkStart w:id="179" w:name="ref-landis1977"/>
    <w:p>
      <w:pPr>
        <w:pStyle w:val="Bibliography"/>
      </w:pPr>
      <w:r>
        <w:t xml:space="preserve">Landis, J. Richard, and Gary G. Koch. 1977.</w:t>
      </w:r>
      <w:r>
        <w:t xml:space="preserve"> </w:t>
      </w:r>
      <w:r>
        <w:t xml:space="preserve">“</w:t>
      </w:r>
      <w:r>
        <w:t xml:space="preserve">The Measurement of Observer Agreement for Categorical Data</w:t>
      </w:r>
      <w:r>
        <w:t xml:space="preserve">.”</w:t>
      </w:r>
      <w:r>
        <w:t xml:space="preserve"> </w:t>
      </w:r>
      <w:r>
        <w:rPr>
          <w:iCs/>
          <w:i/>
        </w:rPr>
        <w:t xml:space="preserve">Biometrics</w:t>
      </w:r>
      <w:r>
        <w:t xml:space="preserve"> </w:t>
      </w:r>
      <w:r>
        <w:t xml:space="preserve">33 (1): 159.</w:t>
      </w:r>
      <w:r>
        <w:t xml:space="preserve"> </w:t>
      </w:r>
      <w:hyperlink r:id="rId178">
        <w:r>
          <w:rPr>
            <w:rStyle w:val="Hyperlink"/>
          </w:rPr>
          <w:t xml:space="preserve">https://doi.org/10.2307/2529310</w:t>
        </w:r>
      </w:hyperlink>
      <w:r>
        <w:t xml:space="preserve">.</w:t>
      </w:r>
    </w:p>
    <w:bookmarkEnd w:id="179"/>
    <w:bookmarkStart w:id="181" w:name="ref-lee2019orqa"/>
    <w:p>
      <w:pPr>
        <w:pStyle w:val="Bibliography"/>
      </w:pPr>
      <w:r>
        <w:t xml:space="preserve">Lee, Kenton, Ming-Wei Chang, and Kristina Toutanova. 2019.</w:t>
      </w:r>
      <w:r>
        <w:t xml:space="preserve"> </w:t>
      </w:r>
      <w:r>
        <w:t xml:space="preserve">“</w:t>
      </w:r>
      <w:r>
        <w:t xml:space="preserve">Latent Retrieval for Weakly Supervised Open Domain Question Answering</w:t>
      </w:r>
      <w:r>
        <w:t xml:space="preserve">.”</w:t>
      </w:r>
      <w:r>
        <w:t xml:space="preserve"> </w:t>
      </w:r>
      <w:r>
        <w:t xml:space="preserve">In</w:t>
      </w:r>
      <w:r>
        <w:t xml:space="preserve"> </w:t>
      </w:r>
      <w:r>
        <w:rPr>
          <w:iCs/>
          <w:i/>
        </w:rPr>
        <w:t xml:space="preserve">Proceedings of the 57th Annual Meeting of the Association for Computational Linguistics</w:t>
      </w:r>
      <w:r>
        <w:t xml:space="preserve">, 6086–96. Association for Computational Linguistics.</w:t>
      </w:r>
      <w:r>
        <w:t xml:space="preserve"> </w:t>
      </w:r>
      <w:hyperlink r:id="rId180">
        <w:r>
          <w:rPr>
            <w:rStyle w:val="Hyperlink"/>
          </w:rPr>
          <w:t xml:space="preserve">https://doi.org/10.18653/v1/p19-1612</w:t>
        </w:r>
      </w:hyperlink>
      <w:r>
        <w:t xml:space="preserve">.</w:t>
      </w:r>
    </w:p>
    <w:bookmarkEnd w:id="181"/>
    <w:bookmarkStart w:id="182" w:name="ref-leto2024toward"/>
    <w:p>
      <w:pPr>
        <w:pStyle w:val="Bibliography"/>
      </w:pPr>
      <w:r>
        <w:t xml:space="preserve">Leto, Alexandria, Cecilia Aguerrebere, Ishwar Bhati, Ted Willke, Mariano Tepper, and Vy Ai Vo. 2024.</w:t>
      </w:r>
      <w:r>
        <w:t xml:space="preserve"> </w:t>
      </w:r>
      <w:r>
        <w:t xml:space="preserve">“</w:t>
      </w:r>
      <w:r>
        <w:t xml:space="preserve">Toward Optimal Search and Retrieval for RAG</w:t>
      </w:r>
      <w:r>
        <w:t xml:space="preserve">.”</w:t>
      </w:r>
      <w:r>
        <w:t xml:space="preserve"> </w:t>
      </w:r>
      <w:r>
        <w:t xml:space="preserve">arXiv preprint arXiv:2411.07396.</w:t>
      </w:r>
    </w:p>
    <w:bookmarkEnd w:id="182"/>
    <w:bookmarkStart w:id="183" w:name="ref-lewis2020rag"/>
    <w:p>
      <w:pPr>
        <w:pStyle w:val="Bibliography"/>
      </w:pPr>
      <w:r>
        <w:t xml:space="preserve">Lewis, Patrick, Ethan Perez, Aleksandra Piktus, Fabio Petroni, Vladimir Karpukhin, Naman Goyal, Heinrich Küttler, et al. 2020.</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183"/>
    <w:bookmarkStart w:id="185" w:name="ref-liang1986gee"/>
    <w:p>
      <w:pPr>
        <w:pStyle w:val="Bibliography"/>
      </w:pPr>
      <w:r>
        <w:t xml:space="preserve">Liang, Kung-Yee, and Scott L. Zeger. 1986.</w:t>
      </w:r>
      <w:r>
        <w:t xml:space="preserve"> </w:t>
      </w:r>
      <w:r>
        <w:t xml:space="preserve">“</w:t>
      </w:r>
      <w:r>
        <w:t xml:space="preserve">Longitudinal data analysis using generalized linear models</w:t>
      </w:r>
      <w:r>
        <w:t xml:space="preserve">.”</w:t>
      </w:r>
      <w:r>
        <w:t xml:space="preserve"> </w:t>
      </w:r>
      <w:r>
        <w:rPr>
          <w:iCs/>
          <w:i/>
        </w:rPr>
        <w:t xml:space="preserve">Biometrika</w:t>
      </w:r>
      <w:r>
        <w:t xml:space="preserve"> </w:t>
      </w:r>
      <w:r>
        <w:t xml:space="preserve">73 (1): 13–22.</w:t>
      </w:r>
      <w:r>
        <w:t xml:space="preserve"> </w:t>
      </w:r>
      <w:hyperlink r:id="rId184">
        <w:r>
          <w:rPr>
            <w:rStyle w:val="Hyperlink"/>
          </w:rPr>
          <w:t xml:space="preserve">https://doi.org/10.1093/biomet/73.1.13</w:t>
        </w:r>
      </w:hyperlink>
      <w:r>
        <w:t xml:space="preserve">.</w:t>
      </w:r>
    </w:p>
    <w:bookmarkEnd w:id="185"/>
    <w:bookmarkStart w:id="186" w:name="ref-lin2024awq"/>
    <w:p>
      <w:pPr>
        <w:pStyle w:val="Bibliography"/>
      </w:pPr>
      <w:r>
        <w:t xml:space="preserve">Lin, Ji, Jiaming Tang, Haotian Tang, Shang Yang, Wei-Ming Chen, Wei-Chen Wang, Guangxuan Xiao, Xingyu Dang, Chuang Gan, and Song Han. 2024.</w:t>
      </w:r>
      <w:r>
        <w:t xml:space="preserve"> </w:t>
      </w:r>
      <w:r>
        <w:t xml:space="preserve">“</w:t>
      </w:r>
      <w:r>
        <w:t xml:space="preserve">AWQ: Activation-aware Weight Quantization for LLM Compression and Acceleration</w:t>
      </w:r>
      <w:r>
        <w:t xml:space="preserve">.”</w:t>
      </w:r>
      <w:r>
        <w:t xml:space="preserve"> </w:t>
      </w:r>
      <w:r>
        <w:t xml:space="preserve">In</w:t>
      </w:r>
      <w:r>
        <w:t xml:space="preserve"> </w:t>
      </w:r>
      <w:r>
        <w:rPr>
          <w:iCs/>
          <w:i/>
        </w:rPr>
        <w:t xml:space="preserve">Proceedings of Machine Learning and Systems 6 (MLSys 2024)</w:t>
      </w:r>
      <w:r>
        <w:t xml:space="preserve">.</w:t>
      </w:r>
    </w:p>
    <w:bookmarkEnd w:id="186"/>
    <w:bookmarkStart w:id="188" w:name="ref-liu2024lost"/>
    <w:p>
      <w:pPr>
        <w:pStyle w:val="Bibliography"/>
      </w:pPr>
      <w:r>
        <w:t xml:space="preserve">Liu, Nelson F., Kevin Lin, John Hewitt, Ashwin Paranjape, Michele Bevilacqua, Fabio Petroni, and Percy Liang. 2024.</w:t>
      </w:r>
      <w:r>
        <w:t xml:space="preserve">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w:t>
      </w:r>
      <w:r>
        <w:t xml:space="preserve">12: 157–73.</w:t>
      </w:r>
      <w:r>
        <w:t xml:space="preserve"> </w:t>
      </w:r>
      <w:hyperlink r:id="rId187">
        <w:r>
          <w:rPr>
            <w:rStyle w:val="Hyperlink"/>
          </w:rPr>
          <w:t xml:space="preserve">https://doi.org/10.1162/tacl_a_00638</w:t>
        </w:r>
      </w:hyperlink>
      <w:r>
        <w:t xml:space="preserve">.</w:t>
      </w:r>
    </w:p>
    <w:bookmarkEnd w:id="188"/>
    <w:bookmarkStart w:id="189" w:name="ref-lu2024bm25s"/>
    <w:p>
      <w:pPr>
        <w:pStyle w:val="Bibliography"/>
      </w:pPr>
      <w:r>
        <w:t xml:space="preserve">Lù, Xing Han. 2024.</w:t>
      </w:r>
      <w:r>
        <w:t xml:space="preserve"> </w:t>
      </w:r>
      <w:r>
        <w:t xml:space="preserve">“</w:t>
      </w:r>
      <w:r>
        <w:t xml:space="preserve">BM25S: Orders of magnitude faster lexical search via eager sparse scoring</w:t>
      </w:r>
      <w:r>
        <w:t xml:space="preserve">.”</w:t>
      </w:r>
      <w:r>
        <w:t xml:space="preserve"> </w:t>
      </w:r>
      <w:r>
        <w:t xml:space="preserve">arXiv preprint arXiv:2407.03618.</w:t>
      </w:r>
    </w:p>
    <w:bookmarkEnd w:id="189"/>
    <w:bookmarkStart w:id="191" w:name="ref-lyu2025crud"/>
    <w:p>
      <w:pPr>
        <w:pStyle w:val="Bibliography"/>
      </w:pPr>
      <w:r>
        <w:t xml:space="preserve">Lyu, Yuanjie, Zhiyu Li, Simin Niu, Feiyu Xiong, Bo Tang, Wenjin Wang, Hao Wu, Huanyong Liu, Tong Xu, and Enhong Chen. 2025.</w:t>
      </w:r>
      <w:r>
        <w:t xml:space="preserve"> </w:t>
      </w:r>
      <w:r>
        <w:t xml:space="preserve">“</w:t>
      </w:r>
      <w:r>
        <w:t xml:space="preserve">CRUD-RAG: A Comprehensive Chinese Benchmark for Retrieval-Augmented Generation of Large Language Models</w:t>
      </w:r>
      <w:r>
        <w:t xml:space="preserve">.”</w:t>
      </w:r>
      <w:r>
        <w:t xml:space="preserve"> </w:t>
      </w:r>
      <w:r>
        <w:rPr>
          <w:iCs/>
          <w:i/>
        </w:rPr>
        <w:t xml:space="preserve">ACM Transactions on Information Systems</w:t>
      </w:r>
      <w:r>
        <w:t xml:space="preserve"> </w:t>
      </w:r>
      <w:r>
        <w:t xml:space="preserve">43 (2): 1–32.</w:t>
      </w:r>
      <w:r>
        <w:t xml:space="preserve"> </w:t>
      </w:r>
      <w:hyperlink r:id="rId190">
        <w:r>
          <w:rPr>
            <w:rStyle w:val="Hyperlink"/>
          </w:rPr>
          <w:t xml:space="preserve">https://doi.org/10.1145/3701228</w:t>
        </w:r>
      </w:hyperlink>
      <w:r>
        <w:t xml:space="preserve">.</w:t>
      </w:r>
    </w:p>
    <w:bookmarkEnd w:id="191"/>
    <w:bookmarkStart w:id="193" w:name="ref-malkov2020hnsw"/>
    <w:p>
      <w:pPr>
        <w:pStyle w:val="Bibliography"/>
      </w:pPr>
      <w:r>
        <w:t xml:space="preserve">Malkov, Yu A., and D. A. Yashunin. 2020.</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w:t>
      </w:r>
      <w:r>
        <w:t xml:space="preserve">42 (4): 824–36.</w:t>
      </w:r>
      <w:r>
        <w:t xml:space="preserve"> </w:t>
      </w:r>
      <w:hyperlink r:id="rId192">
        <w:r>
          <w:rPr>
            <w:rStyle w:val="Hyperlink"/>
          </w:rPr>
          <w:t xml:space="preserve">https://doi.org/10.1109/tpami.2018.2889473</w:t>
        </w:r>
      </w:hyperlink>
      <w:r>
        <w:t xml:space="preserve">.</w:t>
      </w:r>
    </w:p>
    <w:bookmarkEnd w:id="193"/>
    <w:bookmarkStart w:id="194" w:name="ref-mathur2026policy"/>
    <w:p>
      <w:pPr>
        <w:pStyle w:val="Bibliography"/>
      </w:pPr>
      <w:r>
        <w:t xml:space="preserve">Mathur, Saahil, Ryan David Rittner, Vedant Ajit Thakur, Daniel Stuart Schiff, and Tunazzina Islam. 2026.</w:t>
      </w:r>
      <w:r>
        <w:t xml:space="preserve"> </w:t>
      </w:r>
      <w:r>
        <w:t xml:space="preserve">“</w:t>
      </w:r>
      <w:r>
        <w:t xml:space="preserve">Retrieval Improvements Do Not Guarantee Better Answers: A Study of RAG for AI Policy QA</w:t>
      </w:r>
      <w:r>
        <w:t xml:space="preserve">.”</w:t>
      </w:r>
      <w:r>
        <w:t xml:space="preserve"> </w:t>
      </w:r>
      <w:r>
        <w:t xml:space="preserve">arXiv preprint arXiv:2603.24580.</w:t>
      </w:r>
    </w:p>
    <w:bookmarkEnd w:id="194"/>
    <w:bookmarkStart w:id="196" w:name="ref-mcnemar1947"/>
    <w:p>
      <w:pPr>
        <w:pStyle w:val="Bibliography"/>
      </w:pPr>
      <w:r>
        <w:t xml:space="preserve">McNemar, Quinn.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w:t>
      </w:r>
      <w:r>
        <w:t xml:space="preserve">12 (2): 153–57.</w:t>
      </w:r>
      <w:r>
        <w:t xml:space="preserve"> </w:t>
      </w:r>
      <w:hyperlink r:id="rId195">
        <w:r>
          <w:rPr>
            <w:rStyle w:val="Hyperlink"/>
          </w:rPr>
          <w:t xml:space="preserve">https://doi.org/10.1007/bf02295996</w:t>
        </w:r>
      </w:hyperlink>
      <w:r>
        <w:t xml:space="preserve">.</w:t>
      </w:r>
    </w:p>
    <w:bookmarkEnd w:id="196"/>
    <w:bookmarkStart w:id="197" w:name="ref-medrano2026fusion"/>
    <w:p>
      <w:pPr>
        <w:pStyle w:val="Bibliography"/>
      </w:pPr>
      <w:r>
        <w:t xml:space="preserve">Medrano, Luigi, Arush Verma, and Mukul Chhabra. 2026.</w:t>
      </w:r>
      <w:r>
        <w:t xml:space="preserve"> </w:t>
      </w:r>
      <w:r>
        <w:t xml:space="preserve">“</w:t>
      </w:r>
      <w:r>
        <w:t xml:space="preserve">Scaling Retrieval Augmented Generation with RAG Fusion: Lessons from an Industry Deployment</w:t>
      </w:r>
      <w:r>
        <w:t xml:space="preserve">.”</w:t>
      </w:r>
      <w:r>
        <w:t xml:space="preserve"> </w:t>
      </w:r>
      <w:r>
        <w:t xml:space="preserve">arXiv preprint arXiv:2603.02153.</w:t>
      </w:r>
    </w:p>
    <w:bookmarkEnd w:id="197"/>
    <w:bookmarkStart w:id="199" w:name="ref-muennighoff2023mteb"/>
    <w:p>
      <w:pPr>
        <w:pStyle w:val="Bibliography"/>
      </w:pPr>
      <w:r>
        <w:t xml:space="preserve">Muennighoff, Niklas, Nouamane Tazi, Loic Magne, and Nils Reimers. 2023.</w:t>
      </w:r>
      <w:r>
        <w:t xml:space="preserve"> </w:t>
      </w:r>
      <w:r>
        <w:t xml:space="preserve">“</w:t>
      </w:r>
      <w:r>
        <w:t xml:space="preserve">MTEB: Massive Text Embedding Benchmark</w:t>
      </w:r>
      <w:r>
        <w:t xml:space="preserve">.”</w:t>
      </w:r>
      <w:r>
        <w:t xml:space="preserve"> </w:t>
      </w:r>
      <w:r>
        <w:t xml:space="preserve">In</w:t>
      </w:r>
      <w:r>
        <w:t xml:space="preserve"> </w:t>
      </w:r>
      <w:r>
        <w:rPr>
          <w:iCs/>
          <w:i/>
        </w:rPr>
        <w:t xml:space="preserve">Proceedings of the 17th Conference of the European Chapter of the Association for Computational Linguistics</w:t>
      </w:r>
      <w:r>
        <w:t xml:space="preserve">, 2014–37. Association for Computational Linguistics.</w:t>
      </w:r>
      <w:r>
        <w:t xml:space="preserve"> </w:t>
      </w:r>
      <w:hyperlink r:id="rId198">
        <w:r>
          <w:rPr>
            <w:rStyle w:val="Hyperlink"/>
          </w:rPr>
          <w:t xml:space="preserve">https://doi.org/10.18653/v1/2023.eacl-main.148</w:t>
        </w:r>
      </w:hyperlink>
      <w:r>
        <w:t xml:space="preserve">.</w:t>
      </w:r>
    </w:p>
    <w:bookmarkEnd w:id="199"/>
    <w:bookmarkStart w:id="200" w:name="ref-muthyam2026systems"/>
    <w:p>
      <w:pPr>
        <w:pStyle w:val="Bibliography"/>
      </w:pPr>
      <w:r>
        <w:t xml:space="preserve">Muthyam, Bharath Simha Reddy. 2026.</w:t>
      </w:r>
      <w:r>
        <w:t xml:space="preserve"> </w:t>
      </w:r>
      <w:r>
        <w:t xml:space="preserve">“</w:t>
      </w:r>
      <w:r>
        <w:t xml:space="preserve">A Systems-Level Analysis of Sensitivity, Robustness, and Stability in Retrieval-Augmented Generation</w:t>
      </w:r>
      <w:r>
        <w:t xml:space="preserve">.”</w:t>
      </w:r>
      <w:r>
        <w:t xml:space="preserve"> </w:t>
      </w:r>
      <w:r>
        <w:t xml:space="preserve">arXiv preprint arXiv:2606.28337.</w:t>
      </w:r>
    </w:p>
    <w:bookmarkEnd w:id="200"/>
    <w:bookmarkStart w:id="201" w:name="ref-nogueira2019passage"/>
    <w:p>
      <w:pPr>
        <w:pStyle w:val="Bibliography"/>
      </w:pPr>
      <w:r>
        <w:t xml:space="preserve">Nogueira, Rodrigo, and Kyunghyun Cho. 2019.</w:t>
      </w:r>
      <w:r>
        <w:t xml:space="preserve"> </w:t>
      </w:r>
      <w:r>
        <w:t xml:space="preserve">“</w:t>
      </w:r>
      <w:r>
        <w:t xml:space="preserve">Passage Re-ranking with BERT</w:t>
      </w:r>
      <w:r>
        <w:t xml:space="preserve">.”</w:t>
      </w:r>
      <w:r>
        <w:t xml:space="preserve"> </w:t>
      </w:r>
      <w:r>
        <w:t xml:space="preserve">arXiv preprint arXiv:1901.04085.</w:t>
      </w:r>
    </w:p>
    <w:bookmarkEnd w:id="201"/>
    <w:bookmarkStart w:id="203" w:name="ref-peng2026neocorrag"/>
    <w:p>
      <w:pPr>
        <w:pStyle w:val="Bibliography"/>
      </w:pPr>
      <w:r>
        <w:t xml:space="preserve">Peng, Shiyao, Qianhe Zheng, Zhuodi Hao, Zichen Tang, Rongjin Li, Qing Huang, Jiayu Huang, Jiacheng Liu, Yifan Zhu, and Haihong E. 2026.</w:t>
      </w:r>
      <w:r>
        <w:t xml:space="preserve"> </w:t>
      </w:r>
      <w:r>
        <w:t xml:space="preserve">“</w:t>
      </w:r>
      <w:r>
        <w:t xml:space="preserve">NeocorRAG: Less Irrelevant Information, More Explicit Evidence, and More Effective Recall via Evidence Chains</w:t>
      </w:r>
      <w:r>
        <w:t xml:space="preserve">.”</w:t>
      </w:r>
      <w:r>
        <w:t xml:space="preserve"> </w:t>
      </w:r>
      <w:r>
        <w:t xml:space="preserve">In</w:t>
      </w:r>
      <w:r>
        <w:t xml:space="preserve"> </w:t>
      </w:r>
      <w:r>
        <w:rPr>
          <w:iCs/>
          <w:i/>
        </w:rPr>
        <w:t xml:space="preserve">Proceedings of the ACM Web Conference 2026 (WWW ’26)</w:t>
      </w:r>
      <w:r>
        <w:t xml:space="preserve">, 1899–1910.</w:t>
      </w:r>
      <w:r>
        <w:t xml:space="preserve"> </w:t>
      </w:r>
      <w:hyperlink r:id="rId202">
        <w:r>
          <w:rPr>
            <w:rStyle w:val="Hyperlink"/>
          </w:rPr>
          <w:t xml:space="preserve">https://doi.org/10.1145/3774904.3792093</w:t>
        </w:r>
      </w:hyperlink>
      <w:r>
        <w:t xml:space="preserve">.</w:t>
      </w:r>
    </w:p>
    <w:bookmarkEnd w:id="203"/>
    <w:bookmarkStart w:id="205" w:name="ref-petroni2021kilt"/>
    <w:p>
      <w:pPr>
        <w:pStyle w:val="Bibliography"/>
      </w:pPr>
      <w:r>
        <w:t xml:space="preserve">Petroni, Fabio, Aleksandra Piktus, Angela Fan, Patrick Lewis, Majid Yazdani, Nicola De Cao, James Thorne, et al. 2021.</w:t>
      </w:r>
      <w:r>
        <w:t xml:space="preserve"> </w:t>
      </w:r>
      <w:r>
        <w:t xml:space="preserve">“</w:t>
      </w:r>
      <w:r>
        <w:t xml:space="preserve">KILT: a Benchmark for Knowledge Intensive Language Tasks</w:t>
      </w:r>
      <w:r>
        <w:t xml:space="preserve">.”</w:t>
      </w:r>
      <w:r>
        <w:t xml:space="preserve"> </w:t>
      </w:r>
      <w:r>
        <w:t xml:space="preserve">In</w:t>
      </w:r>
      <w:r>
        <w:t xml:space="preserve"> </w:t>
      </w:r>
      <w:r>
        <w:rPr>
          <w:iCs/>
          <w:i/>
        </w:rPr>
        <w:t xml:space="preserve">Proceedings of the 2021 Conference of the North American Chapter of the Association for Computational Linguistics: Human Language Technologies</w:t>
      </w:r>
      <w:r>
        <w:t xml:space="preserve">, 2523–44. Association for Computational Linguistics.</w:t>
      </w:r>
      <w:r>
        <w:t xml:space="preserve"> </w:t>
      </w:r>
      <w:hyperlink r:id="rId204">
        <w:r>
          <w:rPr>
            <w:rStyle w:val="Hyperlink"/>
          </w:rPr>
          <w:t xml:space="preserve">https://doi.org/10.18653/v1/2021.naacl-main.200</w:t>
        </w:r>
      </w:hyperlink>
      <w:r>
        <w:t xml:space="preserve">.</w:t>
      </w:r>
    </w:p>
    <w:bookmarkEnd w:id="205"/>
    <w:bookmarkStart w:id="206" w:name="ref-qwen2025qwen25"/>
    <w:p>
      <w:pPr>
        <w:pStyle w:val="Bibliography"/>
      </w:pPr>
      <w:r>
        <w:t xml:space="preserve">Qwen, An Yang, Baosong Yang, Beichen Zhang, Binyuan Hui, Bo Zheng, Bowen Yu, et al. 2024.</w:t>
      </w:r>
      <w:r>
        <w:t xml:space="preserve"> </w:t>
      </w:r>
      <w:r>
        <w:t xml:space="preserve">“</w:t>
      </w:r>
      <w:r>
        <w:t xml:space="preserve">Qwen2.5 Technical Report</w:t>
      </w:r>
      <w:r>
        <w:t xml:space="preserve">.”</w:t>
      </w:r>
      <w:r>
        <w:t xml:space="preserve"> </w:t>
      </w:r>
      <w:r>
        <w:t xml:space="preserve">arXiv preprint arXiv:2412.15115.</w:t>
      </w:r>
    </w:p>
    <w:bookmarkEnd w:id="206"/>
    <w:bookmarkStart w:id="208" w:name="ref-ram2023incontext"/>
    <w:p>
      <w:pPr>
        <w:pStyle w:val="Bibliography"/>
      </w:pPr>
      <w:r>
        <w:t xml:space="preserve">Ram, Ori, Yoav Levine, Itay Dalmedigos, Dor Muhlgay, Amnon Shashua, Kevin Leyton-Brown, and Yoav Shoham. 2023.</w:t>
      </w:r>
      <w:r>
        <w:t xml:space="preserve"> </w:t>
      </w:r>
      <w:r>
        <w:t xml:space="preserve">“</w:t>
      </w:r>
      <w:r>
        <w:t xml:space="preserve">In-Context Retrieval-Augmented Language Models</w:t>
      </w:r>
      <w:r>
        <w:t xml:space="preserve">.”</w:t>
      </w:r>
      <w:r>
        <w:t xml:space="preserve"> </w:t>
      </w:r>
      <w:r>
        <w:rPr>
          <w:iCs/>
          <w:i/>
        </w:rPr>
        <w:t xml:space="preserve">Transactions of the Association for Computational Linguistics</w:t>
      </w:r>
      <w:r>
        <w:t xml:space="preserve"> </w:t>
      </w:r>
      <w:r>
        <w:t xml:space="preserve">11: 1316–31.</w:t>
      </w:r>
      <w:r>
        <w:t xml:space="preserve"> </w:t>
      </w:r>
      <w:hyperlink r:id="rId207">
        <w:r>
          <w:rPr>
            <w:rStyle w:val="Hyperlink"/>
          </w:rPr>
          <w:t xml:space="preserve">https://doi.org/10.1162/tacl_a_00605</w:t>
        </w:r>
      </w:hyperlink>
      <w:r>
        <w:t xml:space="preserve">.</w:t>
      </w:r>
    </w:p>
    <w:bookmarkEnd w:id="208"/>
    <w:bookmarkStart w:id="210" w:name="ref-rau2024bergen"/>
    <w:p>
      <w:pPr>
        <w:pStyle w:val="Bibliography"/>
      </w:pPr>
      <w:r>
        <w:t xml:space="preserve">Rau, David, Hervé Déjean, Nadezhda Chirkova, Thibault Formal, Shuai Wang, Stéphane Clinchant, and Vassilina Nikoulina. 2024.</w:t>
      </w:r>
      <w:r>
        <w:t xml:space="preserve"> </w:t>
      </w:r>
      <w:r>
        <w:t xml:space="preserve">“</w:t>
      </w:r>
      <w:r>
        <w:t xml:space="preserve">BERGEN: A Benchmarking Library for Retrieval-Augmented Generation</w:t>
      </w:r>
      <w:r>
        <w:t xml:space="preserve">.”</w:t>
      </w:r>
      <w:r>
        <w:t xml:space="preserve"> </w:t>
      </w:r>
      <w:r>
        <w:t xml:space="preserve">In</w:t>
      </w:r>
      <w:r>
        <w:t xml:space="preserve"> </w:t>
      </w:r>
      <w:r>
        <w:rPr>
          <w:iCs/>
          <w:i/>
        </w:rPr>
        <w:t xml:space="preserve">Findings of the Association for Computational Linguistics: EMNLP 2024</w:t>
      </w:r>
      <w:r>
        <w:t xml:space="preserve">, 7640–63. Association for Computational Linguistics.</w:t>
      </w:r>
      <w:r>
        <w:t xml:space="preserve"> </w:t>
      </w:r>
      <w:hyperlink r:id="rId209">
        <w:r>
          <w:rPr>
            <w:rStyle w:val="Hyperlink"/>
          </w:rPr>
          <w:t xml:space="preserve">https://doi.org/10.18653/v1/2024.findings-emnlp.449</w:t>
        </w:r>
      </w:hyperlink>
      <w:r>
        <w:t xml:space="preserve">.</w:t>
      </w:r>
    </w:p>
    <w:bookmarkEnd w:id="210"/>
    <w:bookmarkStart w:id="212" w:name="ref-reimers2019sbert"/>
    <w:p>
      <w:pPr>
        <w:pStyle w:val="Bibliography"/>
      </w:pPr>
      <w:r>
        <w:t xml:space="preserve">Reimers, Nils, and Iryna Gurevych. 2019.</w:t>
      </w:r>
      <w:r>
        <w:t xml:space="preserve"> </w:t>
      </w:r>
      <w:r>
        <w:t xml:space="preserve">“</w:t>
      </w:r>
      <w:r>
        <w:t xml:space="preserve">Sentence-BERT: Sentence Embeddings using Siamese BERT-Networks</w:t>
      </w:r>
      <w:r>
        <w:t xml:space="preserve">.”</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3980–90. Association for Computational Linguistics.</w:t>
      </w:r>
      <w:r>
        <w:t xml:space="preserve"> </w:t>
      </w:r>
      <w:hyperlink r:id="rId211">
        <w:r>
          <w:rPr>
            <w:rStyle w:val="Hyperlink"/>
          </w:rPr>
          <w:t xml:space="preserve">https://doi.org/10.18653/v1/d19-1410</w:t>
        </w:r>
      </w:hyperlink>
      <w:r>
        <w:t xml:space="preserve">.</w:t>
      </w:r>
    </w:p>
    <w:bookmarkEnd w:id="212"/>
    <w:bookmarkStart w:id="213" w:name="ref-repantis2026competition"/>
    <w:p>
      <w:pPr>
        <w:pStyle w:val="Bibliography"/>
      </w:pPr>
      <w:r>
        <w:t xml:space="preserve">Repantis, Vyzantinos, Ameya Gawde, Harshvardhan Singh, Rohit Alekar, Cien Zhang, Svetlana Karslioglu, and Akash Vishwakarma. 2026.</w:t>
      </w:r>
      <w:r>
        <w:t xml:space="preserve"> </w:t>
      </w:r>
      <w:r>
        <w:t xml:space="preserve">“</w:t>
      </w:r>
      <w:r>
        <w:t xml:space="preserve">Separating Semantic Competition from Context Length in RAG Reading</w:t>
      </w:r>
      <w:r>
        <w:t xml:space="preserve">.”</w:t>
      </w:r>
      <w:r>
        <w:t xml:space="preserve"> </w:t>
      </w:r>
      <w:r>
        <w:t xml:space="preserve">arXiv preprint arXiv:2605.27294.</w:t>
      </w:r>
    </w:p>
    <w:bookmarkEnd w:id="213"/>
    <w:bookmarkStart w:id="215" w:name="ref-robertson2009bm25"/>
    <w:p>
      <w:pPr>
        <w:pStyle w:val="Bibliography"/>
      </w:pPr>
      <w:r>
        <w:t xml:space="preserve">Robertson, Stephen, and Hugo Zaragoza. 2009.</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w:t>
      </w:r>
      <w:r>
        <w:t xml:space="preserve">4 (1-2): 1–174.</w:t>
      </w:r>
      <w:r>
        <w:t xml:space="preserve"> </w:t>
      </w:r>
      <w:hyperlink r:id="rId214">
        <w:r>
          <w:rPr>
            <w:rStyle w:val="Hyperlink"/>
          </w:rPr>
          <w:t xml:space="preserve">https://doi.org/10.1561/1500000019</w:t>
        </w:r>
      </w:hyperlink>
      <w:r>
        <w:t xml:space="preserve">.</w:t>
      </w:r>
    </w:p>
    <w:bookmarkEnd w:id="215"/>
    <w:bookmarkStart w:id="217" w:name="ref-saadfalcon2024ares"/>
    <w:p>
      <w:pPr>
        <w:pStyle w:val="Bibliography"/>
      </w:pPr>
      <w:r>
        <w:t xml:space="preserve">Saad-Falcon, Jon, Omar Khattab, Christopher Potts, and Matei Zaharia. 2024.</w:t>
      </w:r>
      <w:r>
        <w:t xml:space="preserve"> </w:t>
      </w:r>
      <w:r>
        <w:t xml:space="preserve">“</w:t>
      </w:r>
      <w:r>
        <w:t xml:space="preserve">ARES: An Automated Evaluation Framework for Retrieval-Augmented Generation Systems</w:t>
      </w:r>
      <w:r>
        <w:t xml:space="preserve">.”</w:t>
      </w:r>
      <w:r>
        <w:t xml:space="preserve"> </w:t>
      </w:r>
      <w:r>
        <w:t xml:space="preserve">In</w:t>
      </w:r>
      <w:r>
        <w:t xml:space="preserve"> </w:t>
      </w:r>
      <w:r>
        <w:rPr>
          <w:iCs/>
          <w:i/>
        </w:rPr>
        <w:t xml:space="preserve">Proceedings of the 2024 Conference of the North American Chapter of the Association for Computational Linguistics: Human Language Technologies (Volume 1: Long Papers)</w:t>
      </w:r>
      <w:r>
        <w:t xml:space="preserve">, 338–54. Association for Computational Linguistics.</w:t>
      </w:r>
      <w:r>
        <w:t xml:space="preserve"> </w:t>
      </w:r>
      <w:hyperlink r:id="rId216">
        <w:r>
          <w:rPr>
            <w:rStyle w:val="Hyperlink"/>
          </w:rPr>
          <w:t xml:space="preserve">https://doi.org/10.18653/v1/2024.naacl-long.20</w:t>
        </w:r>
      </w:hyperlink>
      <w:r>
        <w:t xml:space="preserve">.</w:t>
      </w:r>
    </w:p>
    <w:bookmarkEnd w:id="217"/>
    <w:bookmarkStart w:id="219" w:name="ref-sakai2014"/>
    <w:p>
      <w:pPr>
        <w:pStyle w:val="Bibliography"/>
      </w:pPr>
      <w:r>
        <w:t xml:space="preserve">Sakai, Tetsuya. 2014.</w:t>
      </w:r>
      <w:r>
        <w:t xml:space="preserve"> </w:t>
      </w:r>
      <w:r>
        <w:t xml:space="preserve">“</w:t>
      </w:r>
      <w:r>
        <w:t xml:space="preserve">Statistical reform in information retrieval?</w:t>
      </w:r>
      <w:r>
        <w:t xml:space="preserve">”</w:t>
      </w:r>
      <w:r>
        <w:t xml:space="preserve"> </w:t>
      </w:r>
      <w:r>
        <w:rPr>
          <w:iCs/>
          <w:i/>
        </w:rPr>
        <w:t xml:space="preserve">ACM SIGIR Forum</w:t>
      </w:r>
      <w:r>
        <w:t xml:space="preserve"> </w:t>
      </w:r>
      <w:r>
        <w:t xml:space="preserve">48 (1): 3–12.</w:t>
      </w:r>
      <w:r>
        <w:t xml:space="preserve"> </w:t>
      </w:r>
      <w:hyperlink r:id="rId218">
        <w:r>
          <w:rPr>
            <w:rStyle w:val="Hyperlink"/>
          </w:rPr>
          <w:t xml:space="preserve">https://doi.org/10.1145/2641383.2641385</w:t>
        </w:r>
      </w:hyperlink>
      <w:r>
        <w:t xml:space="preserve">.</w:t>
      </w:r>
    </w:p>
    <w:bookmarkEnd w:id="219"/>
    <w:bookmarkStart w:id="221" w:name="ref-salemi2024erag"/>
    <w:p>
      <w:pPr>
        <w:pStyle w:val="Bibliography"/>
      </w:pPr>
      <w:r>
        <w:t xml:space="preserve">Salemi, Alireza, and Hamed Zamani. 2024.</w:t>
      </w:r>
      <w:r>
        <w:t xml:space="preserve"> </w:t>
      </w:r>
      <w:r>
        <w:t xml:space="preserve">“</w:t>
      </w:r>
      <w:r>
        <w:t xml:space="preserve">Evaluating Retrieval Quality in Retrieval-Augmented Generation</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2395–2400. ACM.</w:t>
      </w:r>
      <w:r>
        <w:t xml:space="preserve"> </w:t>
      </w:r>
      <w:hyperlink r:id="rId220">
        <w:r>
          <w:rPr>
            <w:rStyle w:val="Hyperlink"/>
          </w:rPr>
          <w:t xml:space="preserve">https://doi.org/10.1145/3626772.3657957</w:t>
        </w:r>
      </w:hyperlink>
      <w:r>
        <w:t xml:space="preserve">.</w:t>
      </w:r>
    </w:p>
    <w:bookmarkEnd w:id="221"/>
    <w:bookmarkStart w:id="223" w:name="ref-samuel2026beyond"/>
    <w:p>
      <w:pPr>
        <w:pStyle w:val="Bibliography"/>
      </w:pPr>
      <w:r>
        <w:t xml:space="preserve">Samuel, Saron, Alexander Martin, Eugene Yang, Andrew Yates, Dawn Lawrie, Ian Soboroff, Laura Dietz, and Benjamin Van Durme. 2026.</w:t>
      </w:r>
      <w:r>
        <w:t xml:space="preserve"> </w:t>
      </w:r>
      <w:r>
        <w:t xml:space="preserve">“</w:t>
      </w:r>
      <w:r>
        <w:t xml:space="preserve">Beyond Relevance: On the Relationship Between Retrieval and RAG Information Coverage</w:t>
      </w:r>
      <w:r>
        <w:t xml:space="preserve">.”</w:t>
      </w:r>
      <w:r>
        <w:t xml:space="preserve"> </w:t>
      </w:r>
      <w:r>
        <w:t xml:space="preserve">In</w:t>
      </w:r>
      <w:r>
        <w:t xml:space="preserve"> </w:t>
      </w:r>
      <w:r>
        <w:rPr>
          <w:iCs/>
          <w:i/>
        </w:rPr>
        <w:t xml:space="preserve">Proceedings of the 2026 ACM SIGIR International Conference on Innovative Concepts and Theories in Information Retrieval (ICTIR ’26)</w:t>
      </w:r>
      <w:r>
        <w:t xml:space="preserve">.</w:t>
      </w:r>
      <w:r>
        <w:t xml:space="preserve"> </w:t>
      </w:r>
      <w:hyperlink r:id="rId222">
        <w:r>
          <w:rPr>
            <w:rStyle w:val="Hyperlink"/>
          </w:rPr>
          <w:t xml:space="preserve">https://doi.org/10.1145/3805713.3820424</w:t>
        </w:r>
      </w:hyperlink>
      <w:r>
        <w:t xml:space="preserve">.</w:t>
      </w:r>
    </w:p>
    <w:bookmarkEnd w:id="223"/>
    <w:bookmarkStart w:id="224" w:name="ref-shi2023distracted"/>
    <w:p>
      <w:pPr>
        <w:pStyle w:val="Bibliography"/>
      </w:pPr>
      <w:r>
        <w:t xml:space="preserve">Shi, Freda, Xinyun Chen, Kanishka Misra, Nathan Scales, David Dohan, Ed Chi, Nathanael Schärli, and Denny Zhou. 2023.</w:t>
      </w:r>
      <w:r>
        <w:t xml:space="preserve"> </w:t>
      </w:r>
      <w:r>
        <w:t xml:space="preserve">“</w:t>
      </w:r>
      <w:r>
        <w:t xml:space="preserve">Large Language Models Can Be Easily Distracted by Irrelevant Context</w:t>
      </w:r>
      <w:r>
        <w:t xml:space="preserve">.”</w:t>
      </w:r>
      <w:r>
        <w:t xml:space="preserve"> </w:t>
      </w:r>
      <w:r>
        <w:t xml:space="preserve">In</w:t>
      </w:r>
      <w:r>
        <w:t xml:space="preserve"> </w:t>
      </w:r>
      <w:r>
        <w:rPr>
          <w:iCs/>
          <w:i/>
        </w:rPr>
        <w:t xml:space="preserve">Proceedings of the 40th International Conference on Machine Learning (ICML 2023)</w:t>
      </w:r>
      <w:r>
        <w:t xml:space="preserve">, 202:31210–27. PMLR.</w:t>
      </w:r>
    </w:p>
    <w:bookmarkEnd w:id="224"/>
    <w:bookmarkStart w:id="226" w:name="ref-smucker2007"/>
    <w:p>
      <w:pPr>
        <w:pStyle w:val="Bibliography"/>
      </w:pPr>
      <w:r>
        <w:t xml:space="preserve">Smucker, Mark D., James Allan, and Ben Carterette. 2007.</w:t>
      </w:r>
      <w:r>
        <w:t xml:space="preserve"> </w:t>
      </w:r>
      <w:r>
        <w:t xml:space="preserve">“</w:t>
      </w:r>
      <w:r>
        <w:t xml:space="preserve">A comparison of statistical significance tests for information retrieval evaluation</w:t>
      </w:r>
      <w:r>
        <w:t xml:space="preserve">.”</w:t>
      </w:r>
      <w:r>
        <w:t xml:space="preserve"> </w:t>
      </w:r>
      <w:r>
        <w:t xml:space="preserve">In</w:t>
      </w:r>
      <w:r>
        <w:t xml:space="preserve"> </w:t>
      </w:r>
      <w:r>
        <w:rPr>
          <w:iCs/>
          <w:i/>
        </w:rPr>
        <w:t xml:space="preserve">Proceedings of the Sixteenth ACM Conference on Conference on Information and Knowledge Management</w:t>
      </w:r>
      <w:r>
        <w:t xml:space="preserve">, 623–32. ACM.</w:t>
      </w:r>
      <w:r>
        <w:t xml:space="preserve"> </w:t>
      </w:r>
      <w:hyperlink r:id="rId225">
        <w:r>
          <w:rPr>
            <w:rStyle w:val="Hyperlink"/>
          </w:rPr>
          <w:t xml:space="preserve">https://doi.org/10.1145/1321440.1321528</w:t>
        </w:r>
      </w:hyperlink>
      <w:r>
        <w:t xml:space="preserve">.</w:t>
      </w:r>
    </w:p>
    <w:bookmarkEnd w:id="226"/>
    <w:bookmarkStart w:id="227" w:name="ref-thakur2021beir"/>
    <w:p>
      <w:pPr>
        <w:pStyle w:val="Bibliography"/>
      </w:pPr>
      <w:r>
        <w:t xml:space="preserve">Thakur, Nandan, Nils Reimers, Andreas Rücklé, Abhishek Srivastava, and Iryna Gurevych. 2021.</w:t>
      </w:r>
      <w:r>
        <w:t xml:space="preserve"> </w:t>
      </w:r>
      <w:r>
        <w:t xml:space="preserve">“</w:t>
      </w:r>
      <w:r>
        <w:t xml:space="preserve">BEIR: A Heterogenous Benchmark for Zero-shot Evaluation of Information Retrieval Models</w:t>
      </w:r>
      <w:r>
        <w:t xml:space="preserve">.”</w:t>
      </w:r>
      <w:r>
        <w:t xml:space="preserve"> </w:t>
      </w:r>
      <w:r>
        <w:t xml:space="preserve">arXiv preprint arXiv:2104.08663.</w:t>
      </w:r>
    </w:p>
    <w:bookmarkEnd w:id="227"/>
    <w:bookmarkStart w:id="228" w:name="ref-trappolini2025udcg"/>
    <w:p>
      <w:pPr>
        <w:pStyle w:val="Bibliography"/>
      </w:pPr>
      <w:r>
        <w:t xml:space="preserve">Trappolini, Giovanni, Florin Cuconasu, Simone Filice, Yoelle Maarek, and Fabrizio Silvestri. 2025.</w:t>
      </w:r>
      <w:r>
        <w:t xml:space="preserve"> </w:t>
      </w:r>
      <w:r>
        <w:t xml:space="preserve">“</w:t>
      </w:r>
      <w:r>
        <w:t xml:space="preserve">Redefining Retrieval Evaluation in the Era of LLMs</w:t>
      </w:r>
      <w:r>
        <w:t xml:space="preserve">.”</w:t>
      </w:r>
      <w:r>
        <w:t xml:space="preserve"> </w:t>
      </w:r>
      <w:r>
        <w:t xml:space="preserve">arXiv preprint arXiv:2510.21440.</w:t>
      </w:r>
    </w:p>
    <w:bookmarkEnd w:id="228"/>
    <w:bookmarkStart w:id="229" w:name="ref-wang2022e5"/>
    <w:p>
      <w:pPr>
        <w:pStyle w:val="Bibliography"/>
      </w:pPr>
      <w:r>
        <w:t xml:space="preserve">Wang, Liang, Nan Yang, Xiaolong Huang, Binxing Jiao, Linjun Yang, Daxin Jiang, Rangan Majumder, and Furu Wei. 2022.</w:t>
      </w:r>
      <w:r>
        <w:t xml:space="preserve"> </w:t>
      </w:r>
      <w:r>
        <w:t xml:space="preserve">“</w:t>
      </w:r>
      <w:r>
        <w:t xml:space="preserve">Text Embeddings by Weakly-Supervised Contrastive Pre-training</w:t>
      </w:r>
      <w:r>
        <w:t xml:space="preserve">.”</w:t>
      </w:r>
      <w:r>
        <w:t xml:space="preserve"> </w:t>
      </w:r>
      <w:r>
        <w:t xml:space="preserve">arXiv preprint arXiv:2212.03533.</w:t>
      </w:r>
    </w:p>
    <w:bookmarkEnd w:id="229"/>
    <w:bookmarkStart w:id="230" w:name="ref-wang2020minilm"/>
    <w:p>
      <w:pPr>
        <w:pStyle w:val="Bibliography"/>
      </w:pPr>
      <w:r>
        <w:t xml:space="preserve">Wang, Wenhui, Furu Wei, Li Dong, Hangbo Bao, Nan Yang, and Ming Zhou. 2020.</w:t>
      </w:r>
      <w:r>
        <w:t xml:space="preserve"> </w:t>
      </w:r>
      <w:r>
        <w:t xml:space="preserve">“</w:t>
      </w:r>
      <w:r>
        <w:t xml:space="preserve">MiniLM: Deep Self-Attention Distillation for Task-Agnostic Compression of Pre-Trained Transformers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230"/>
    <w:bookmarkStart w:id="232" w:name="ref-xiao2024cpack"/>
    <w:p>
      <w:pPr>
        <w:pStyle w:val="Bibliography"/>
      </w:pPr>
      <w:r>
        <w:t xml:space="preserve">Xiao, Shitao, Zheng Liu, Peitian Zhang, Niklas Muennighoff, Defu Lian, and Jian-Yun Nie. 2024.</w:t>
      </w:r>
      <w:r>
        <w:t xml:space="preserve"> </w:t>
      </w:r>
      <w:r>
        <w:t xml:space="preserve">“</w:t>
      </w:r>
      <w:r>
        <w:t xml:space="preserve">C-Pack: Packed Resources For General Chinese Embeddings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641–49. ACM.</w:t>
      </w:r>
      <w:r>
        <w:t xml:space="preserve"> </w:t>
      </w:r>
      <w:hyperlink r:id="rId231">
        <w:r>
          <w:rPr>
            <w:rStyle w:val="Hyperlink"/>
          </w:rPr>
          <w:t xml:space="preserve">https://doi.org/10.1145/3626772.3657878</w:t>
        </w:r>
      </w:hyperlink>
      <w:r>
        <w:t xml:space="preserve">.</w:t>
      </w:r>
    </w:p>
    <w:bookmarkEnd w:id="232"/>
    <w:bookmarkStart w:id="234" w:name="ref-yang2018hotpotqa"/>
    <w:p>
      <w:pPr>
        <w:pStyle w:val="Bibliography"/>
      </w:pPr>
      <w:r>
        <w:t xml:space="preserve">Yang, Zhilin, Peng Qi, Saizheng Zhang, Yoshua Bengio, William Cohen, Ruslan Salakhutdinov, and Christopher D. Manning. 2018.</w:t>
      </w:r>
      <w:r>
        <w:t xml:space="preserve"> </w:t>
      </w:r>
      <w:r>
        <w:t xml:space="preserve">“</w:t>
      </w:r>
      <w:r>
        <w:t xml:space="preserve">HotpotQA: A Dataset for Diverse, Explainable Multi-hop Question Answering</w:t>
      </w:r>
      <w:r>
        <w:t xml:space="preserve">.”</w:t>
      </w:r>
      <w:r>
        <w:t xml:space="preserve"> </w:t>
      </w:r>
      <w:r>
        <w:t xml:space="preserve">In</w:t>
      </w:r>
      <w:r>
        <w:t xml:space="preserve"> </w:t>
      </w:r>
      <w:r>
        <w:rPr>
          <w:iCs/>
          <w:i/>
        </w:rPr>
        <w:t xml:space="preserve">Proceedings of the 2018 Conference on Empirical Methods in Natural Language Processing</w:t>
      </w:r>
      <w:r>
        <w:t xml:space="preserve">, 2369–80. Association for Computational Linguistics.</w:t>
      </w:r>
      <w:r>
        <w:t xml:space="preserve"> </w:t>
      </w:r>
      <w:hyperlink r:id="rId233">
        <w:r>
          <w:rPr>
            <w:rStyle w:val="Hyperlink"/>
          </w:rPr>
          <w:t xml:space="preserve">https://doi.org/10.18653/v1/d18-1259</w:t>
        </w:r>
      </w:hyperlink>
      <w:r>
        <w:t xml:space="preserve">.</w:t>
      </w:r>
    </w:p>
    <w:bookmarkEnd w:id="234"/>
    <w:bookmarkStart w:id="235" w:name="ref-zhang2025qwen3emb"/>
    <w:p>
      <w:pPr>
        <w:pStyle w:val="Bibliography"/>
      </w:pPr>
      <w:r>
        <w:t xml:space="preserve">Zhang, Yanzhao, Mingxin Li, Dingkun Long, Xin Zhang, Huan Lin, Baosong Yang, Pengjun Xie, et al. 2025.</w:t>
      </w:r>
      <w:r>
        <w:t xml:space="preserve"> </w:t>
      </w:r>
      <w:r>
        <w:t xml:space="preserve">“</w:t>
      </w:r>
      <w:r>
        <w:t xml:space="preserve">Qwen3 Embedding: Advancing Text Embedding and Reranking Through Foundation Models</w:t>
      </w:r>
      <w:r>
        <w:t xml:space="preserve">.”</w:t>
      </w:r>
      <w:r>
        <w:t xml:space="preserve"> </w:t>
      </w:r>
      <w:r>
        <w:t xml:space="preserve">arXiv preprint arXiv:2506.05176.</w:t>
      </w:r>
    </w:p>
    <w:bookmarkEnd w:id="235"/>
    <w:bookmarkStart w:id="237" w:name="ref-zhao2026design"/>
    <w:p>
      <w:pPr>
        <w:pStyle w:val="Bibliography"/>
      </w:pPr>
      <w:r>
        <w:t xml:space="preserve">Zhao, Shengming, Yuchen Shao, Yuheng Huang, Jiayang Song, Zhijie Wang, Chengcheng Wan, and Lei Ma. 2026.</w:t>
      </w:r>
      <w:r>
        <w:t xml:space="preserve"> </w:t>
      </w:r>
      <w:r>
        <w:t xml:space="preserve">“</w:t>
      </w:r>
      <w:r>
        <w:t xml:space="preserve">Understanding the Fundamental Design Decisions of Retrieval-Augmented Generation Systems</w:t>
      </w:r>
      <w:r>
        <w:t xml:space="preserve">.”</w:t>
      </w:r>
      <w:r>
        <w:t xml:space="preserve"> </w:t>
      </w:r>
      <w:r>
        <w:rPr>
          <w:iCs/>
          <w:i/>
        </w:rPr>
        <w:t xml:space="preserve">ACM Transactions on Software Engineering and Methodology</w:t>
      </w:r>
      <w:r>
        <w:t xml:space="preserve">.</w:t>
      </w:r>
      <w:r>
        <w:t xml:space="preserve"> </w:t>
      </w:r>
      <w:hyperlink r:id="rId236">
        <w:r>
          <w:rPr>
            <w:rStyle w:val="Hyperlink"/>
          </w:rPr>
          <w:t xml:space="preserve">https://doi.org/10.1145/3802824</w:t>
        </w:r>
      </w:hyperlink>
      <w:r>
        <w:t xml:space="preserve">.</w:t>
      </w:r>
    </w:p>
    <w:bookmarkEnd w:id="237"/>
    <w:bookmarkStart w:id="238" w:name="ref-zheng2023judge"/>
    <w:p>
      <w:pPr>
        <w:pStyle w:val="Bibliography"/>
      </w:pPr>
      <w:r>
        <w:t xml:space="preserve">Zheng, Lianmin, Wei-Lin Chiang, Ying Sheng, Siyuan Zhuang, Zhanghao Wu, Yonghao Zhuang, Zi Lin, et al.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 36 (NeurIPS 2023), Datasets and Benchmarks Track</w:t>
      </w:r>
      <w:r>
        <w:t xml:space="preserve">.</w:t>
      </w:r>
    </w:p>
    <w:bookmarkEnd w:id="238"/>
    <w:bookmarkEnd w:id="239"/>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95" Target="media/rId95.png" /><Relationship Type="http://schemas.openxmlformats.org/officeDocument/2006/relationships/image" Id="rId140" Target="media/rId140.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90" Target="media/rId90.png" /><Relationship Type="http://schemas.openxmlformats.org/officeDocument/2006/relationships/image" Id="rId100" Target="media/rId100.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hyperlink" Id="rId155" Target="https://doi.org/10.1007/978-1-4899-4541-9" TargetMode="External" /><Relationship Type="http://schemas.openxmlformats.org/officeDocument/2006/relationships/hyperlink" Id="rId195" Target="https://doi.org/10.1007/bf02295996" TargetMode="External" /><Relationship Type="http://schemas.openxmlformats.org/officeDocument/2006/relationships/hyperlink" Id="rId184" Target="https://doi.org/10.1093/biomet/73.1.13" TargetMode="External" /><Relationship Type="http://schemas.openxmlformats.org/officeDocument/2006/relationships/hyperlink" Id="rId168" Target="https://doi.org/10.1109/tbdata.2019.2921572" TargetMode="External" /><Relationship Type="http://schemas.openxmlformats.org/officeDocument/2006/relationships/hyperlink" Id="rId192" Target="https://doi.org/10.1109/tpami.2018.2889473" TargetMode="External" /><Relationship Type="http://schemas.openxmlformats.org/officeDocument/2006/relationships/hyperlink" Id="rId225" Target="https://doi.org/10.1145/1321440.1321528" TargetMode="External" /><Relationship Type="http://schemas.openxmlformats.org/officeDocument/2006/relationships/hyperlink" Id="rId218" Target="https://doi.org/10.1145/2641383.2641385" TargetMode="External" /><Relationship Type="http://schemas.openxmlformats.org/officeDocument/2006/relationships/hyperlink" Id="rId176" Target="https://doi.org/10.1145/3600006.3613165" TargetMode="External" /><Relationship Type="http://schemas.openxmlformats.org/officeDocument/2006/relationships/hyperlink" Id="rId151" Target="https://doi.org/10.1145/3626772.3657834" TargetMode="External" /><Relationship Type="http://schemas.openxmlformats.org/officeDocument/2006/relationships/hyperlink" Id="rId231" Target="https://doi.org/10.1145/3626772.3657878" TargetMode="External" /><Relationship Type="http://schemas.openxmlformats.org/officeDocument/2006/relationships/hyperlink" Id="rId220" Target="https://doi.org/10.1145/3626772.3657957" TargetMode="External" /><Relationship Type="http://schemas.openxmlformats.org/officeDocument/2006/relationships/hyperlink" Id="rId190" Target="https://doi.org/10.1145/3701228" TargetMode="External" /><Relationship Type="http://schemas.openxmlformats.org/officeDocument/2006/relationships/hyperlink" Id="rId202" Target="https://doi.org/10.1145/3774904.3792093" TargetMode="External" /><Relationship Type="http://schemas.openxmlformats.org/officeDocument/2006/relationships/hyperlink" Id="rId236" Target="https://doi.org/10.1145/3802824" TargetMode="External" /><Relationship Type="http://schemas.openxmlformats.org/officeDocument/2006/relationships/hyperlink" Id="rId222" Target="https://doi.org/10.1145/3805713.3820424" TargetMode="External" /><Relationship Type="http://schemas.openxmlformats.org/officeDocument/2006/relationships/hyperlink" Id="rId174" Target="https://doi.org/10.1162/tacl_a_00276" TargetMode="External" /><Relationship Type="http://schemas.openxmlformats.org/officeDocument/2006/relationships/hyperlink" Id="rId207" Target="https://doi.org/10.1162/tacl_a_00605" TargetMode="External" /><Relationship Type="http://schemas.openxmlformats.org/officeDocument/2006/relationships/hyperlink" Id="rId187" Target="https://doi.org/10.1162/tacl_a_00638" TargetMode="External" /><Relationship Type="http://schemas.openxmlformats.org/officeDocument/2006/relationships/hyperlink" Id="rId147" Target="https://doi.org/10.1177/001316446002000104" TargetMode="External" /><Relationship Type="http://schemas.openxmlformats.org/officeDocument/2006/relationships/hyperlink" Id="rId214" Target="https://doi.org/10.1561/1500000019" TargetMode="External" /><Relationship Type="http://schemas.openxmlformats.org/officeDocument/2006/relationships/hyperlink" Id="rId172" Target="https://doi.org/10.18653/v1/2020.emnlp-main.550" TargetMode="External" /><Relationship Type="http://schemas.openxmlformats.org/officeDocument/2006/relationships/hyperlink" Id="rId164" Target="https://doi.org/10.18653/v1/2021.eacl-main.74" TargetMode="External" /><Relationship Type="http://schemas.openxmlformats.org/officeDocument/2006/relationships/hyperlink" Id="rId204" Target="https://doi.org/10.18653/v1/2021.naacl-main.200" TargetMode="External" /><Relationship Type="http://schemas.openxmlformats.org/officeDocument/2006/relationships/hyperlink" Id="rId170" Target="https://doi.org/10.18653/v1/2023.acl-long.307" TargetMode="External" /><Relationship Type="http://schemas.openxmlformats.org/officeDocument/2006/relationships/hyperlink" Id="rId198" Target="https://doi.org/10.18653/v1/2023.eacl-main.148" TargetMode="External" /><Relationship Type="http://schemas.openxmlformats.org/officeDocument/2006/relationships/hyperlink" Id="rId157" Target="https://doi.org/10.18653/v1/2024.eacl-demo.16" TargetMode="External" /><Relationship Type="http://schemas.openxmlformats.org/officeDocument/2006/relationships/hyperlink" Id="rId209" Target="https://doi.org/10.18653/v1/2024.findings-emnlp.449" TargetMode="External" /><Relationship Type="http://schemas.openxmlformats.org/officeDocument/2006/relationships/hyperlink" Id="rId216" Target="https://doi.org/10.18653/v1/2024.naacl-long.20" TargetMode="External" /><Relationship Type="http://schemas.openxmlformats.org/officeDocument/2006/relationships/hyperlink" Id="rId143" Target="https://doi.org/10.18653/v1/2025.acl-long.892" TargetMode="External" /><Relationship Type="http://schemas.openxmlformats.org/officeDocument/2006/relationships/hyperlink" Id="rId149" Target="https://doi.org/10.18653/v1/2025.emnlp-main.1422" TargetMode="External" /><Relationship Type="http://schemas.openxmlformats.org/officeDocument/2006/relationships/hyperlink" Id="rId233" Target="https://doi.org/10.18653/v1/d18-1259" TargetMode="External" /><Relationship Type="http://schemas.openxmlformats.org/officeDocument/2006/relationships/hyperlink" Id="rId211" Target="https://doi.org/10.18653/v1/d19-1410" TargetMode="External" /><Relationship Type="http://schemas.openxmlformats.org/officeDocument/2006/relationships/hyperlink" Id="rId153" Target="https://doi.org/10.18653/v1/p18-1128" TargetMode="External" /><Relationship Type="http://schemas.openxmlformats.org/officeDocument/2006/relationships/hyperlink" Id="rId180" Target="https://doi.org/10.18653/v1/p19-1612" TargetMode="External" /><Relationship Type="http://schemas.openxmlformats.org/officeDocument/2006/relationships/hyperlink" Id="rId178" Target="https://doi.org/10.2307/2529310" TargetMode="External" /><Relationship Type="http://schemas.openxmlformats.org/officeDocument/2006/relationships/hyperlink" Id="rId161"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55" Target="https://doi.org/10.1007/978-1-4899-4541-9" TargetMode="External" /><Relationship Type="http://schemas.openxmlformats.org/officeDocument/2006/relationships/hyperlink" Id="rId195" Target="https://doi.org/10.1007/bf02295996" TargetMode="External" /><Relationship Type="http://schemas.openxmlformats.org/officeDocument/2006/relationships/hyperlink" Id="rId184" Target="https://doi.org/10.1093/biomet/73.1.13" TargetMode="External" /><Relationship Type="http://schemas.openxmlformats.org/officeDocument/2006/relationships/hyperlink" Id="rId168" Target="https://doi.org/10.1109/tbdata.2019.2921572" TargetMode="External" /><Relationship Type="http://schemas.openxmlformats.org/officeDocument/2006/relationships/hyperlink" Id="rId192" Target="https://doi.org/10.1109/tpami.2018.2889473" TargetMode="External" /><Relationship Type="http://schemas.openxmlformats.org/officeDocument/2006/relationships/hyperlink" Id="rId225" Target="https://doi.org/10.1145/1321440.1321528" TargetMode="External" /><Relationship Type="http://schemas.openxmlformats.org/officeDocument/2006/relationships/hyperlink" Id="rId218" Target="https://doi.org/10.1145/2641383.2641385" TargetMode="External" /><Relationship Type="http://schemas.openxmlformats.org/officeDocument/2006/relationships/hyperlink" Id="rId176" Target="https://doi.org/10.1145/3600006.3613165" TargetMode="External" /><Relationship Type="http://schemas.openxmlformats.org/officeDocument/2006/relationships/hyperlink" Id="rId151" Target="https://doi.org/10.1145/3626772.3657834" TargetMode="External" /><Relationship Type="http://schemas.openxmlformats.org/officeDocument/2006/relationships/hyperlink" Id="rId231" Target="https://doi.org/10.1145/3626772.3657878" TargetMode="External" /><Relationship Type="http://schemas.openxmlformats.org/officeDocument/2006/relationships/hyperlink" Id="rId220" Target="https://doi.org/10.1145/3626772.3657957" TargetMode="External" /><Relationship Type="http://schemas.openxmlformats.org/officeDocument/2006/relationships/hyperlink" Id="rId190" Target="https://doi.org/10.1145/3701228" TargetMode="External" /><Relationship Type="http://schemas.openxmlformats.org/officeDocument/2006/relationships/hyperlink" Id="rId202" Target="https://doi.org/10.1145/3774904.3792093" TargetMode="External" /><Relationship Type="http://schemas.openxmlformats.org/officeDocument/2006/relationships/hyperlink" Id="rId236" Target="https://doi.org/10.1145/3802824" TargetMode="External" /><Relationship Type="http://schemas.openxmlformats.org/officeDocument/2006/relationships/hyperlink" Id="rId222" Target="https://doi.org/10.1145/3805713.3820424" TargetMode="External" /><Relationship Type="http://schemas.openxmlformats.org/officeDocument/2006/relationships/hyperlink" Id="rId174" Target="https://doi.org/10.1162/tacl_a_00276" TargetMode="External" /><Relationship Type="http://schemas.openxmlformats.org/officeDocument/2006/relationships/hyperlink" Id="rId207" Target="https://doi.org/10.1162/tacl_a_00605" TargetMode="External" /><Relationship Type="http://schemas.openxmlformats.org/officeDocument/2006/relationships/hyperlink" Id="rId187" Target="https://doi.org/10.1162/tacl_a_00638" TargetMode="External" /><Relationship Type="http://schemas.openxmlformats.org/officeDocument/2006/relationships/hyperlink" Id="rId147" Target="https://doi.org/10.1177/001316446002000104" TargetMode="External" /><Relationship Type="http://schemas.openxmlformats.org/officeDocument/2006/relationships/hyperlink" Id="rId214" Target="https://doi.org/10.1561/1500000019" TargetMode="External" /><Relationship Type="http://schemas.openxmlformats.org/officeDocument/2006/relationships/hyperlink" Id="rId172" Target="https://doi.org/10.18653/v1/2020.emnlp-main.550" TargetMode="External" /><Relationship Type="http://schemas.openxmlformats.org/officeDocument/2006/relationships/hyperlink" Id="rId164" Target="https://doi.org/10.18653/v1/2021.eacl-main.74" TargetMode="External" /><Relationship Type="http://schemas.openxmlformats.org/officeDocument/2006/relationships/hyperlink" Id="rId204" Target="https://doi.org/10.18653/v1/2021.naacl-main.200" TargetMode="External" /><Relationship Type="http://schemas.openxmlformats.org/officeDocument/2006/relationships/hyperlink" Id="rId170" Target="https://doi.org/10.18653/v1/2023.acl-long.307" TargetMode="External" /><Relationship Type="http://schemas.openxmlformats.org/officeDocument/2006/relationships/hyperlink" Id="rId198" Target="https://doi.org/10.18653/v1/2023.eacl-main.148" TargetMode="External" /><Relationship Type="http://schemas.openxmlformats.org/officeDocument/2006/relationships/hyperlink" Id="rId157" Target="https://doi.org/10.18653/v1/2024.eacl-demo.16" TargetMode="External" /><Relationship Type="http://schemas.openxmlformats.org/officeDocument/2006/relationships/hyperlink" Id="rId209" Target="https://doi.org/10.18653/v1/2024.findings-emnlp.449" TargetMode="External" /><Relationship Type="http://schemas.openxmlformats.org/officeDocument/2006/relationships/hyperlink" Id="rId216" Target="https://doi.org/10.18653/v1/2024.naacl-long.20" TargetMode="External" /><Relationship Type="http://schemas.openxmlformats.org/officeDocument/2006/relationships/hyperlink" Id="rId143" Target="https://doi.org/10.18653/v1/2025.acl-long.892" TargetMode="External" /><Relationship Type="http://schemas.openxmlformats.org/officeDocument/2006/relationships/hyperlink" Id="rId149" Target="https://doi.org/10.18653/v1/2025.emnlp-main.1422" TargetMode="External" /><Relationship Type="http://schemas.openxmlformats.org/officeDocument/2006/relationships/hyperlink" Id="rId233" Target="https://doi.org/10.18653/v1/d18-1259" TargetMode="External" /><Relationship Type="http://schemas.openxmlformats.org/officeDocument/2006/relationships/hyperlink" Id="rId211" Target="https://doi.org/10.18653/v1/d19-1410" TargetMode="External" /><Relationship Type="http://schemas.openxmlformats.org/officeDocument/2006/relationships/hyperlink" Id="rId153" Target="https://doi.org/10.18653/v1/p18-1128" TargetMode="External" /><Relationship Type="http://schemas.openxmlformats.org/officeDocument/2006/relationships/hyperlink" Id="rId180" Target="https://doi.org/10.18653/v1/p19-1612" TargetMode="External" /><Relationship Type="http://schemas.openxmlformats.org/officeDocument/2006/relationships/hyperlink" Id="rId178" Target="https://doi.org/10.2307/2529310" TargetMode="External" /><Relationship Type="http://schemas.openxmlformats.org/officeDocument/2006/relationships/hyperlink" Id="rId161" Target="https://www.jstor.org/stable/46157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retrieval gain reaches the answer? Transfer ratios and cost of open embedding models in retrieval-augmented question answering</dc:title>
  <dc:creator/>
  <cp:keywords/>
  <dcterms:created xsi:type="dcterms:W3CDTF">2026-10-16T23:00:19Z</dcterms:created>
  <dcterms:modified xsi:type="dcterms:W3CDTF">2026-10-16T23:00:19Z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Teams that build retrieval-augmented generation (RAG) systems often pick an embedding model by its retrieval score. We measured how much of a retrieval gain reaches the answer, and at what cost, for open models on free cloud GPUs. We compared BM25 and six open embedding models (23–596M parameters) on Natural Questions (NQ, 2,255 queries) and HotpotQA (2,000 queries), each read by two quantised 7–8B models. The transfer ratio T divides the exact-match (EM) gain by the Hit@5 gain over a small baseline encoder on the same queries. We report bootstrap intervals, and we registered six predictions before the second phase of the study. On NQ, T ranged from 0.16 to 0.27, and no upper 95% bound exceeded 0.45. On HotpotQA, T was larger (0.49–0.93) and one upper bound reached 1.10, so the prediction T&lt;1 failed in one of four reader–dataset cells. An exact decomposition attributes 48%–70% of the HotpotQA transfer to higher EM given a hit, in line with retrieving both supporting passages. On HotpotQA, bge-large gave higher EM than e5-base-v2 (+0.028 and +0.022, Holm-adjusted p \le 0.040); on NQ, no difference was detected. Encoding throughput on one T4 GPU differed 27-fold across encoders. Top-ranked non-gold passages lowered EM by 0.074 against random passages; gold position showed no detectable effect. An LLM faithfulness judge agreed poorly with human labels (Cohen’s \kappa = 0.127) and was excluded. Within this setup, retrieval gains overstate answer gains on single-hop questions, and encoder cost should be weighed alongside retrieval scores.</vt:lpwstr>
  </property>
  <property fmtid="{D5CDD505-2E9C-101B-9397-08002B2CF9AE}" pid="3" name="bibliography">
    <vt:lpwstr>/home/claude/rag-embed-transfer/manuscript_ipm/latex/references.bib</vt:lpwstr>
  </property>
  <property fmtid="{D5CDD505-2E9C-101B-9397-08002B2CF9AE}" pid="4" name="link-citations">
    <vt:lpwstr>True</vt:lpwstr>
  </property>
</Properties>
</file>