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149.png" ContentType="image/png"/>
  <Override PartName="/word/media/rId156.png" ContentType="image/png"/>
  <Override PartName="/word/media/rId69.png" ContentType="image/png"/>
  <Override PartName="/word/media/rId66.png" ContentType="image/png"/>
  <Override PartName="/word/media/rId89.png" ContentType="image/png"/>
  <Override PartName="/word/media/rId93.png" ContentType="image/png"/>
  <Override PartName="/word/media/rId102.png" ContentType="image/png"/>
  <Override PartName="/word/media/rId109.png" ContentType="image/png"/>
  <Override PartName="/word/media/rId27.png" ContentType="image/png"/>
  <Override PartName="/word/media/rId41.png" ContentType="image/png"/>
  <Override PartName="/word/media/rId62.png" ContentType="image/png"/>
  <Override PartName="/word/media/rId7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much retrieval gain reaches the answer? Transfer ratios and retrieval-stage cost of open embedding models in retrieval-augmented question answering</w:t>
      </w:r>
    </w:p>
    <w:p>
      <w:pPr>
        <w:pStyle w:val="AbstractTitle"/>
      </w:pPr>
      <w:r>
        <w:t xml:space="preserve">Abstract</w:t>
      </w:r>
    </w:p>
    <w:p>
      <w:pPr>
        <w:pStyle w:val="Abstract"/>
      </w:pPr>
      <w:r>
        <w:t xml:space="preserve">Retrieval-augmented</w:t>
      </w:r>
      <w:r>
        <w:t xml:space="preserve"> </w:t>
      </w:r>
      <w:r>
        <w:t xml:space="preserve">generation</w:t>
      </w:r>
      <w:r>
        <w:t xml:space="preserve"> </w:t>
      </w:r>
      <w:r>
        <w:t xml:space="preserve">(RAG)</w:t>
      </w:r>
      <w:r>
        <w:t xml:space="preserve"> </w:t>
      </w:r>
      <w:r>
        <w:t xml:space="preserve">systems</w:t>
      </w:r>
      <w:r>
        <w:t xml:space="preserve"> </w:t>
      </w:r>
      <w:r>
        <w:t xml:space="preserve">are</w:t>
      </w:r>
      <w:r>
        <w:t xml:space="preserve"> </w:t>
      </w:r>
      <w:r>
        <w:t xml:space="preserve">often</w:t>
      </w:r>
      <w:r>
        <w:t xml:space="preserve"> </w:t>
      </w:r>
      <w:r>
        <w:t xml:space="preserve">built</w:t>
      </w:r>
      <w:r>
        <w:t xml:space="preserve"> </w:t>
      </w:r>
      <w:r>
        <w:t xml:space="preserve">around</w:t>
      </w:r>
      <w:r>
        <w:t xml:space="preserve"> </w:t>
      </w:r>
      <w:r>
        <w:t xml:space="preserve">the</w:t>
      </w:r>
      <w:r>
        <w:t xml:space="preserve"> </w:t>
      </w:r>
      <w:r>
        <w:t xml:space="preserve">embedding</w:t>
      </w:r>
      <w:r>
        <w:t xml:space="preserve"> </w:t>
      </w:r>
      <w:r>
        <w:t xml:space="preserve">model</w:t>
      </w:r>
      <w:r>
        <w:t xml:space="preserve"> </w:t>
      </w:r>
      <w:r>
        <w:t xml:space="preserve">with</w:t>
      </w:r>
      <w:r>
        <w:t xml:space="preserve"> </w:t>
      </w:r>
      <w:r>
        <w:t xml:space="preserve">the</w:t>
      </w:r>
      <w:r>
        <w:t xml:space="preserve"> </w:t>
      </w:r>
      <w:r>
        <w:t xml:space="preserve">best</w:t>
      </w:r>
      <w:r>
        <w:t xml:space="preserve"> </w:t>
      </w:r>
      <w:r>
        <w:t xml:space="preserve">retrieval</w:t>
      </w:r>
      <w:r>
        <w:t xml:space="preserve"> </w:t>
      </w:r>
      <w:r>
        <w:t xml:space="preserve">score.</w:t>
      </w:r>
      <w:r>
        <w:t xml:space="preserve"> </w:t>
      </w:r>
      <w:r>
        <w:t xml:space="preserve">We</w:t>
      </w:r>
      <w:r>
        <w:t xml:space="preserve"> </w:t>
      </w:r>
      <w:r>
        <w:t xml:space="preserve">asked</w:t>
      </w:r>
      <w:r>
        <w:t xml:space="preserve"> </w:t>
      </w:r>
      <w:r>
        <w:t xml:space="preserve">how</w:t>
      </w:r>
      <w:r>
        <w:t xml:space="preserve"> </w:t>
      </w:r>
      <w:r>
        <w:t xml:space="preserve">much</w:t>
      </w:r>
      <w:r>
        <w:t xml:space="preserve"> </w:t>
      </w:r>
      <w:r>
        <w:t xml:space="preserve">of</w:t>
      </w:r>
      <w:r>
        <w:t xml:space="preserve"> </w:t>
      </w:r>
      <w:r>
        <w:t xml:space="preserve">a</w:t>
      </w:r>
      <w:r>
        <w:t xml:space="preserve"> </w:t>
      </w:r>
      <w:r>
        <w:t xml:space="preserve">paired</w:t>
      </w:r>
      <w:r>
        <w:t xml:space="preserve"> </w:t>
      </w:r>
      <w:r>
        <w:t xml:space="preserve">retrieval</w:t>
      </w:r>
      <w:r>
        <w:t xml:space="preserve"> </w:t>
      </w:r>
      <w:r>
        <w:t xml:space="preserve">gain</w:t>
      </w:r>
      <w:r>
        <w:t xml:space="preserve"> </w:t>
      </w:r>
      <w:r>
        <w:t xml:space="preserve">reaches</w:t>
      </w:r>
      <w:r>
        <w:t xml:space="preserve"> </w:t>
      </w:r>
      <w:r>
        <w:t xml:space="preserve">the</w:t>
      </w:r>
      <w:r>
        <w:t xml:space="preserve"> </w:t>
      </w:r>
      <w:r>
        <w:t xml:space="preserve">answer.</w:t>
      </w:r>
      <w:r>
        <w:t xml:space="preserve"> </w:t>
      </w:r>
      <w:r>
        <w:t xml:space="preserve">On</w:t>
      </w:r>
      <w:r>
        <w:t xml:space="preserve"> </w:t>
      </w:r>
      <w:r>
        <w:t xml:space="preserve">Natural</w:t>
      </w:r>
      <w:r>
        <w:t xml:space="preserve"> </w:t>
      </w:r>
      <w:r>
        <w:t xml:space="preserve">Questions</w:t>
      </w:r>
      <w:r>
        <w:t xml:space="preserve"> </w:t>
      </w:r>
      <w:r>
        <w:t xml:space="preserve">(NQ,</w:t>
      </w:r>
      <w:r>
        <w:t xml:space="preserve"> </w:t>
      </w:r>
      <w:r>
        <w:t xml:space="preserve">2,255</w:t>
      </w:r>
      <w:r>
        <w:t xml:space="preserve"> </w:t>
      </w:r>
      <w:r>
        <w:t xml:space="preserve">queries)</w:t>
      </w:r>
      <w:r>
        <w:t xml:space="preserve"> </w:t>
      </w:r>
      <w:r>
        <w:t xml:space="preserve">and</w:t>
      </w:r>
      <w:r>
        <w:t xml:space="preserve"> </w:t>
      </w:r>
      <w:r>
        <w:t xml:space="preserve">HotpotQA</w:t>
      </w:r>
      <w:r>
        <w:t xml:space="preserve"> </w:t>
      </w:r>
      <w:r>
        <w:t xml:space="preserve">(2,000</w:t>
      </w:r>
      <w:r>
        <w:t xml:space="preserve"> </w:t>
      </w:r>
      <w:r>
        <w:t xml:space="preserve">queries),</w:t>
      </w:r>
      <w:r>
        <w:t xml:space="preserve"> </w:t>
      </w:r>
      <w:r>
        <w:t xml:space="preserve">we</w:t>
      </w:r>
      <w:r>
        <w:t xml:space="preserve"> </w:t>
      </w:r>
      <w:r>
        <w:t xml:space="preserve">compared</w:t>
      </w:r>
      <w:r>
        <w:t xml:space="preserve"> </w:t>
      </w:r>
      <w:r>
        <w:t xml:space="preserve">BM25</w:t>
      </w:r>
      <w:r>
        <w:t xml:space="preserve"> </w:t>
      </w:r>
      <w:r>
        <w:t xml:space="preserve">and</w:t>
      </w:r>
      <w:r>
        <w:t xml:space="preserve"> </w:t>
      </w:r>
      <w:r>
        <w:t xml:space="preserve">six</w:t>
      </w:r>
      <w:r>
        <w:t xml:space="preserve"> </w:t>
      </w:r>
      <w:r>
        <w:t xml:space="preserve">open</w:t>
      </w:r>
      <w:r>
        <w:t xml:space="preserve"> </w:t>
      </w:r>
      <w:r>
        <w:t xml:space="preserve">embedding</w:t>
      </w:r>
      <w:r>
        <w:t xml:space="preserve"> </w:t>
      </w:r>
      <w:r>
        <w:t xml:space="preserve">models</w:t>
      </w:r>
      <w:r>
        <w:t xml:space="preserve"> </w:t>
      </w:r>
      <w:r>
        <w:t xml:space="preserve">(23–596M</w:t>
      </w:r>
      <w:r>
        <w:t xml:space="preserve"> </w:t>
      </w:r>
      <w:r>
        <w:t xml:space="preserve">parameters)</w:t>
      </w:r>
      <w:r>
        <w:t xml:space="preserve"> </w:t>
      </w:r>
      <w:r>
        <w:t xml:space="preserve">under</w:t>
      </w:r>
      <w:r>
        <w:t xml:space="preserve"> </w:t>
      </w:r>
      <w:r>
        <w:t xml:space="preserve">two</w:t>
      </w:r>
      <w:r>
        <w:t xml:space="preserve"> </w:t>
      </w:r>
      <w:r>
        <w:t xml:space="preserve">quantised</w:t>
      </w:r>
      <w:r>
        <w:t xml:space="preserve"> </w:t>
      </w:r>
      <w:r>
        <w:t xml:space="preserve">7–8B</w:t>
      </w:r>
      <w:r>
        <w:t xml:space="preserve"> </w:t>
      </w:r>
      <w:r>
        <w:t xml:space="preserve">readers,</w:t>
      </w:r>
      <w:r>
        <w:t xml:space="preserve"> </w:t>
      </w:r>
      <w:r>
        <w:t xml:space="preserve">with</w:t>
      </w:r>
      <w:r>
        <w:t xml:space="preserve"> </w:t>
      </w:r>
      <w:r>
        <w:t xml:space="preserve">corpus,</w:t>
      </w:r>
      <w:r>
        <w:t xml:space="preserve"> </w:t>
      </w:r>
      <w:r>
        <w:t xml:space="preserve">prompt</w:t>
      </w:r>
      <w:r>
        <w:t xml:space="preserve"> </w:t>
      </w:r>
      <w:r>
        <w:t xml:space="preserve">and</w:t>
      </w:r>
      <w:r>
        <w:t xml:space="preserve"> </w:t>
      </w:r>
      <w:r>
        <w:t xml:space="preserve">decoding</w:t>
      </w:r>
      <w:r>
        <w:t xml:space="preserve"> </w:t>
      </w:r>
      <w:r>
        <w:t xml:space="preserve">fixed,</w:t>
      </w:r>
      <w:r>
        <w:t xml:space="preserve"> </w:t>
      </w:r>
      <w:r>
        <w:t xml:space="preserve">and</w:t>
      </w:r>
      <w:r>
        <w:t xml:space="preserve"> </w:t>
      </w:r>
      <w:r>
        <w:t xml:space="preserve">registered</w:t>
      </w:r>
      <w:r>
        <w:t xml:space="preserve"> </w:t>
      </w:r>
      <w:r>
        <w:t xml:space="preserve">predictions</w:t>
      </w:r>
      <w:r>
        <w:t xml:space="preserve"> </w:t>
      </w:r>
      <w:r>
        <w:t xml:space="preserve">before</w:t>
      </w:r>
      <w:r>
        <w:t xml:space="preserve"> </w:t>
      </w:r>
      <w:r>
        <w:t xml:space="preserve">the</w:t>
      </w:r>
      <w:r>
        <w:t xml:space="preserve"> </w:t>
      </w:r>
      <w:r>
        <w:t xml:space="preserve">second</w:t>
      </w:r>
      <w:r>
        <w:t xml:space="preserve"> </w:t>
      </w:r>
      <w:r>
        <w:t xml:space="preserve">and</w:t>
      </w:r>
      <w:r>
        <w:t xml:space="preserve"> </w:t>
      </w:r>
      <w:r>
        <w:t xml:space="preserve">third</w:t>
      </w:r>
      <w:r>
        <w:t xml:space="preserve"> </w:t>
      </w:r>
      <w:r>
        <w:t xml:space="preserve">study</w:t>
      </w:r>
      <w:r>
        <w:t xml:space="preserve"> </w:t>
      </w:r>
      <w:r>
        <w:t xml:space="preserve">phases.</w:t>
      </w:r>
      <w:r>
        <w:t xml:space="preserve"> </w:t>
      </w:r>
      <w:r>
        <w:t xml:space="preserve">The</w:t>
      </w:r>
      <w:r>
        <w:t xml:space="preserve"> </w:t>
      </w:r>
      <w:r>
        <w:t xml:space="preserve">transfer</w:t>
      </w:r>
      <w:r>
        <w:t xml:space="preserve"> </w:t>
      </w:r>
      <w:r>
        <w:t xml:space="preserve">ratio</w:t>
      </w:r>
      <w:r>
        <w:t xml:space="preserve"> </w:t>
      </w:r>
      <m:oMath>
        <m:r>
          <m:t>T</m:t>
        </m:r>
      </m:oMath>
      <w:r>
        <w:t xml:space="preserve"> </w:t>
      </w:r>
      <w:r>
        <w:t xml:space="preserve">divides</w:t>
      </w:r>
      <w:r>
        <w:t xml:space="preserve"> </w:t>
      </w:r>
      <w:r>
        <w:t xml:space="preserve">the</w:t>
      </w:r>
      <w:r>
        <w:t xml:space="preserve"> </w:t>
      </w:r>
      <w:r>
        <w:t xml:space="preserve">exact-match</w:t>
      </w:r>
      <w:r>
        <w:t xml:space="preserve"> </w:t>
      </w:r>
      <w:r>
        <w:t xml:space="preserve">(EM)</w:t>
      </w:r>
      <w:r>
        <w:t xml:space="preserve"> </w:t>
      </w:r>
      <w:r>
        <w:t xml:space="preserve">gain</w:t>
      </w:r>
      <w:r>
        <w:t xml:space="preserve"> </w:t>
      </w:r>
      <w:r>
        <w:t xml:space="preserve">over</w:t>
      </w:r>
      <w:r>
        <w:t xml:space="preserve"> </w:t>
      </w:r>
      <w:r>
        <w:t xml:space="preserve">a</w:t>
      </w:r>
      <w:r>
        <w:t xml:space="preserve"> </w:t>
      </w:r>
      <w:r>
        <w:t xml:space="preserve">small</w:t>
      </w:r>
      <w:r>
        <w:t xml:space="preserve"> </w:t>
      </w:r>
      <w:r>
        <w:t xml:space="preserve">baseline</w:t>
      </w:r>
      <w:r>
        <w:t xml:space="preserve"> </w:t>
      </w:r>
      <w:r>
        <w:t xml:space="preserve">encoder</w:t>
      </w:r>
      <w:r>
        <w:t xml:space="preserve"> </w:t>
      </w:r>
      <w:r>
        <w:t xml:space="preserve">by</w:t>
      </w:r>
      <w:r>
        <w:t xml:space="preserve"> </w:t>
      </w:r>
      <w:r>
        <w:t xml:space="preserve">the</w:t>
      </w:r>
      <w:r>
        <w:t xml:space="preserve"> </w:t>
      </w:r>
      <w:r>
        <w:t xml:space="preserve">Hit@5</w:t>
      </w:r>
      <w:r>
        <w:t xml:space="preserve"> </w:t>
      </w:r>
      <w:r>
        <w:t xml:space="preserve">gain</w:t>
      </w:r>
      <w:r>
        <w:t xml:space="preserve"> </w:t>
      </w:r>
      <w:r>
        <w:t xml:space="preserve">on</w:t>
      </w:r>
      <w:r>
        <w:t xml:space="preserve"> </w:t>
      </w:r>
      <w:r>
        <w:t xml:space="preserve">the</w:t>
      </w:r>
      <w:r>
        <w:t xml:space="preserve"> </w:t>
      </w:r>
      <w:r>
        <w:t xml:space="preserve">same</w:t>
      </w:r>
      <w:r>
        <w:t xml:space="preserve"> </w:t>
      </w:r>
      <w:r>
        <w:t xml:space="preserve">queries.</w:t>
      </w:r>
      <w:r>
        <w:t xml:space="preserve"> </w:t>
      </w:r>
      <w:r>
        <w:t xml:space="preserve">On</w:t>
      </w:r>
      <w:r>
        <w:t xml:space="preserve"> </w:t>
      </w:r>
      <w:r>
        <w:t xml:space="preserve">NQ,</w:t>
      </w:r>
      <w:r>
        <w:t xml:space="preserve"> </w:t>
      </w:r>
      <m:oMath>
        <m:r>
          <m:t>T</m:t>
        </m:r>
      </m:oMath>
      <w:r>
        <w:t xml:space="preserve"> </w:t>
      </w:r>
      <w:r>
        <w:t xml:space="preserve">of</w:t>
      </w:r>
      <w:r>
        <w:t xml:space="preserve"> </w:t>
      </w:r>
      <w:r>
        <w:t xml:space="preserve">the</w:t>
      </w:r>
      <w:r>
        <w:t xml:space="preserve"> </w:t>
      </w:r>
      <w:r>
        <w:t xml:space="preserve">five</w:t>
      </w:r>
      <w:r>
        <w:t xml:space="preserve"> </w:t>
      </w:r>
      <w:r>
        <w:t xml:space="preserve">dense</w:t>
      </w:r>
      <w:r>
        <w:t xml:space="preserve"> </w:t>
      </w:r>
      <w:r>
        <w:t xml:space="preserve">encoders</w:t>
      </w:r>
      <w:r>
        <w:t xml:space="preserve"> </w:t>
      </w:r>
      <w:r>
        <w:t xml:space="preserve">was</w:t>
      </w:r>
      <w:r>
        <w:t xml:space="preserve"> </w:t>
      </w:r>
      <w:r>
        <w:t xml:space="preserve">0.16–0.27</w:t>
      </w:r>
      <w:r>
        <w:t xml:space="preserve"> </w:t>
      </w:r>
      <w:r>
        <w:t xml:space="preserve">(largest</w:t>
      </w:r>
      <w:r>
        <w:t xml:space="preserve"> </w:t>
      </w:r>
      <w:r>
        <w:t xml:space="preserve">upper</w:t>
      </w:r>
      <w:r>
        <w:t xml:space="preserve"> </w:t>
      </w:r>
      <w:r>
        <w:t xml:space="preserve">95%</w:t>
      </w:r>
      <w:r>
        <w:t xml:space="preserve"> </w:t>
      </w:r>
      <w:r>
        <w:t xml:space="preserve">bound</w:t>
      </w:r>
      <w:r>
        <w:t xml:space="preserve"> </w:t>
      </w:r>
      <w:r>
        <w:t xml:space="preserve">0.455).</w:t>
      </w:r>
      <w:r>
        <w:t xml:space="preserve"> </w:t>
      </w:r>
      <w:r>
        <w:t xml:space="preserve">Rerun</w:t>
      </w:r>
      <w:r>
        <w:t xml:space="preserve"> </w:t>
      </w:r>
      <w:r>
        <w:t xml:space="preserve">on</w:t>
      </w:r>
      <w:r>
        <w:t xml:space="preserve"> </w:t>
      </w:r>
      <w:r>
        <w:t xml:space="preserve">the</w:t>
      </w:r>
      <w:r>
        <w:t xml:space="preserve"> </w:t>
      </w:r>
      <w:r>
        <w:t xml:space="preserve">full</w:t>
      </w:r>
      <w:r>
        <w:t xml:space="preserve"> </w:t>
      </w:r>
      <w:r>
        <w:t xml:space="preserve">2.68-million-passage</w:t>
      </w:r>
      <w:r>
        <w:t xml:space="preserve"> </w:t>
      </w:r>
      <w:r>
        <w:t xml:space="preserve">corpus</w:t>
      </w:r>
      <w:r>
        <w:t xml:space="preserve"> </w:t>
      </w:r>
      <w:r>
        <w:t xml:space="preserve">with</w:t>
      </w:r>
      <w:r>
        <w:t xml:space="preserve"> </w:t>
      </w:r>
      <w:r>
        <w:t xml:space="preserve">both</w:t>
      </w:r>
      <w:r>
        <w:t xml:space="preserve"> </w:t>
      </w:r>
      <w:r>
        <w:t xml:space="preserve">readers,</w:t>
      </w:r>
      <w:r>
        <w:t xml:space="preserve"> </w:t>
      </w:r>
      <w:r>
        <w:t xml:space="preserve">the</w:t>
      </w:r>
      <w:r>
        <w:t xml:space="preserve"> </w:t>
      </w:r>
      <w:r>
        <w:t xml:space="preserve">dense</w:t>
      </w:r>
      <w:r>
        <w:t xml:space="preserve"> </w:t>
      </w:r>
      <w:r>
        <w:t xml:space="preserve">ratios</w:t>
      </w:r>
      <w:r>
        <w:t xml:space="preserve"> </w:t>
      </w:r>
      <w:r>
        <w:t xml:space="preserve">were</w:t>
      </w:r>
      <w:r>
        <w:t xml:space="preserve"> </w:t>
      </w:r>
      <w:r>
        <w:t xml:space="preserve">0.15–0.23,</w:t>
      </w:r>
      <w:r>
        <w:t xml:space="preserve"> </w:t>
      </w:r>
      <w:r>
        <w:t xml:space="preserve">and</w:t>
      </w:r>
      <w:r>
        <w:t xml:space="preserve"> </w:t>
      </w:r>
      <w:r>
        <w:t xml:space="preserve">the</w:t>
      </w:r>
      <w:r>
        <w:t xml:space="preserve"> </w:t>
      </w:r>
      <w:r>
        <w:t xml:space="preserve">ratio</w:t>
      </w:r>
      <w:r>
        <w:t xml:space="preserve"> </w:t>
      </w:r>
      <w:r>
        <w:t xml:space="preserve">of</w:t>
      </w:r>
      <w:r>
        <w:t xml:space="preserve"> </w:t>
      </w:r>
      <w:r>
        <w:t xml:space="preserve">e5-base-v2</w:t>
      </w:r>
      <w:r>
        <w:t xml:space="preserve"> </w:t>
      </w:r>
      <w:r>
        <w:t xml:space="preserve">lay</w:t>
      </w:r>
      <w:r>
        <w:t xml:space="preserve"> </w:t>
      </w:r>
      <w:r>
        <w:t xml:space="preserve">inside</w:t>
      </w:r>
      <w:r>
        <w:t xml:space="preserve"> </w:t>
      </w:r>
      <w:r>
        <w:t xml:space="preserve">its</w:t>
      </w:r>
      <w:r>
        <w:t xml:space="preserve"> </w:t>
      </w:r>
      <w:r>
        <w:t xml:space="preserve">sub-corpus</w:t>
      </w:r>
      <w:r>
        <w:t xml:space="preserve"> </w:t>
      </w:r>
      <w:r>
        <w:t xml:space="preserve">interval.</w:t>
      </w:r>
      <w:r>
        <w:t xml:space="preserve"> </w:t>
      </w:r>
      <m:oMath>
        <m:r>
          <m:t>T</m:t>
        </m:r>
      </m:oMath>
      <w:r>
        <w:t xml:space="preserve"> </w:t>
      </w:r>
      <w:r>
        <w:t xml:space="preserve">stayed</w:t>
      </w:r>
      <w:r>
        <w:t xml:space="preserve"> </w:t>
      </w:r>
      <w:r>
        <w:t xml:space="preserve">well</w:t>
      </w:r>
      <w:r>
        <w:t xml:space="preserve"> </w:t>
      </w:r>
      <w:r>
        <w:t xml:space="preserve">below</w:t>
      </w:r>
      <w:r>
        <w:t xml:space="preserve"> </w:t>
      </w:r>
      <w:r>
        <w:t xml:space="preserve">1</w:t>
      </w:r>
      <w:r>
        <w:t xml:space="preserve"> </w:t>
      </w:r>
      <w:r>
        <w:t xml:space="preserve">under</w:t>
      </w:r>
      <w:r>
        <w:t xml:space="preserve"> </w:t>
      </w:r>
      <w:r>
        <w:t xml:space="preserve">F1,</w:t>
      </w:r>
      <w:r>
        <w:t xml:space="preserve"> </w:t>
      </w:r>
      <w:r>
        <w:t xml:space="preserve">answer</w:t>
      </w:r>
      <w:r>
        <w:t xml:space="preserve"> </w:t>
      </w:r>
      <w:r>
        <w:t xml:space="preserve">containment</w:t>
      </w:r>
      <w:r>
        <w:t xml:space="preserve"> </w:t>
      </w:r>
      <w:r>
        <w:t xml:space="preserve">and</w:t>
      </w:r>
      <w:r>
        <w:t xml:space="preserve"> </w:t>
      </w:r>
      <w:r>
        <w:t xml:space="preserve">a</w:t>
      </w:r>
      <w:r>
        <w:t xml:space="preserve"> </w:t>
      </w:r>
      <w:r>
        <w:t xml:space="preserve">BM25</w:t>
      </w:r>
      <w:r>
        <w:t xml:space="preserve"> </w:t>
      </w:r>
      <w:r>
        <w:t xml:space="preserve">baseline,</w:t>
      </w:r>
      <w:r>
        <w:t xml:space="preserve"> </w:t>
      </w:r>
      <w:r>
        <w:t xml:space="preserve">but</w:t>
      </w:r>
      <w:r>
        <w:t xml:space="preserve"> </w:t>
      </w:r>
      <w:r>
        <w:t xml:space="preserve">was</w:t>
      </w:r>
      <w:r>
        <w:t xml:space="preserve"> </w:t>
      </w:r>
      <w:r>
        <w:t xml:space="preserve">higher</w:t>
      </w:r>
      <w:r>
        <w:t xml:space="preserve"> </w:t>
      </w:r>
      <w:r>
        <w:t xml:space="preserve">when</w:t>
      </w:r>
      <w:r>
        <w:t xml:space="preserve"> </w:t>
      </w:r>
      <w:r>
        <w:t xml:space="preserve">the</w:t>
      </w:r>
      <w:r>
        <w:t xml:space="preserve"> </w:t>
      </w:r>
      <w:r>
        <w:t xml:space="preserve">reader</w:t>
      </w:r>
      <w:r>
        <w:t xml:space="preserve"> </w:t>
      </w:r>
      <w:r>
        <w:t xml:space="preserve">saw</w:t>
      </w:r>
      <w:r>
        <w:t xml:space="preserve"> </w:t>
      </w:r>
      <w:r>
        <w:t xml:space="preserve">one</w:t>
      </w:r>
      <w:r>
        <w:t xml:space="preserve"> </w:t>
      </w:r>
      <w:r>
        <w:t xml:space="preserve">passage.</w:t>
      </w:r>
      <w:r>
        <w:t xml:space="preserve"> </w:t>
      </w:r>
      <w:r>
        <w:t xml:space="preserve">Queries</w:t>
      </w:r>
      <w:r>
        <w:t xml:space="preserve"> </w:t>
      </w:r>
      <w:r>
        <w:t xml:space="preserve">that</w:t>
      </w:r>
      <w:r>
        <w:t xml:space="preserve"> </w:t>
      </w:r>
      <w:r>
        <w:t xml:space="preserve">newly</w:t>
      </w:r>
      <w:r>
        <w:t xml:space="preserve"> </w:t>
      </w:r>
      <w:r>
        <w:t xml:space="preserve">retrieved</w:t>
      </w:r>
      <w:r>
        <w:t xml:space="preserve"> </w:t>
      </w:r>
      <w:r>
        <w:t xml:space="preserve">a</w:t>
      </w:r>
      <w:r>
        <w:t xml:space="preserve"> </w:t>
      </w:r>
      <w:r>
        <w:t xml:space="preserve">gold</w:t>
      </w:r>
      <w:r>
        <w:t xml:space="preserve"> </w:t>
      </w:r>
      <w:r>
        <w:t xml:space="preserve">passage</w:t>
      </w:r>
      <w:r>
        <w:t xml:space="preserve"> </w:t>
      </w:r>
      <w:r>
        <w:t xml:space="preserve">gained</w:t>
      </w:r>
      <w:r>
        <w:t xml:space="preserve"> </w:t>
      </w:r>
      <w:r>
        <w:t xml:space="preserve">EM,</w:t>
      </w:r>
      <w:r>
        <w:t xml:space="preserve"> </w:t>
      </w:r>
      <w:r>
        <w:t xml:space="preserve">queries</w:t>
      </w:r>
      <w:r>
        <w:t xml:space="preserve"> </w:t>
      </w:r>
      <w:r>
        <w:t xml:space="preserve">that</w:t>
      </w:r>
      <w:r>
        <w:t xml:space="preserve"> </w:t>
      </w:r>
      <w:r>
        <w:t xml:space="preserve">kept</w:t>
      </w:r>
      <w:r>
        <w:t xml:space="preserve"> </w:t>
      </w:r>
      <w:r>
        <w:t xml:space="preserve">or</w:t>
      </w:r>
      <w:r>
        <w:t xml:space="preserve"> </w:t>
      </w:r>
      <w:r>
        <w:t xml:space="preserve">lost</w:t>
      </w:r>
      <w:r>
        <w:t xml:space="preserve"> </w:t>
      </w:r>
      <w:r>
        <w:t xml:space="preserve">a</w:t>
      </w:r>
      <w:r>
        <w:t xml:space="preserve"> </w:t>
      </w:r>
      <w:r>
        <w:t xml:space="preserve">hit</w:t>
      </w:r>
      <w:r>
        <w:t xml:space="preserve"> </w:t>
      </w:r>
      <w:r>
        <w:t xml:space="preserve">gave</w:t>
      </w:r>
      <w:r>
        <w:t xml:space="preserve"> </w:t>
      </w:r>
      <w:r>
        <w:t xml:space="preserve">some</w:t>
      </w:r>
      <w:r>
        <w:t xml:space="preserve"> </w:t>
      </w:r>
      <w:r>
        <w:t xml:space="preserve">back,</w:t>
      </w:r>
      <w:r>
        <w:t xml:space="preserve"> </w:t>
      </w:r>
      <w:r>
        <w:t xml:space="preserve">and</w:t>
      </w:r>
      <w:r>
        <w:t xml:space="preserve"> </w:t>
      </w:r>
      <w:r>
        <w:t xml:space="preserve">0.41–0.55</w:t>
      </w:r>
      <w:r>
        <w:t xml:space="preserve"> </w:t>
      </w:r>
      <w:r>
        <w:t xml:space="preserve">of</w:t>
      </w:r>
      <w:r>
        <w:t xml:space="preserve"> </w:t>
      </w:r>
      <w:r>
        <w:t xml:space="preserve">dense-encoder</w:t>
      </w:r>
      <w:r>
        <w:t xml:space="preserve"> </w:t>
      </w:r>
      <w:r>
        <w:t xml:space="preserve">Hit@5</w:t>
      </w:r>
      <w:r>
        <w:t xml:space="preserve"> </w:t>
      </w:r>
      <w:r>
        <w:t xml:space="preserve">misses</w:t>
      </w:r>
      <w:r>
        <w:t xml:space="preserve"> </w:t>
      </w:r>
      <w:r>
        <w:t xml:space="preserve">still</w:t>
      </w:r>
      <w:r>
        <w:t xml:space="preserve"> </w:t>
      </w:r>
      <w:r>
        <w:t xml:space="preserve">contained</w:t>
      </w:r>
      <w:r>
        <w:t xml:space="preserve"> </w:t>
      </w:r>
      <w:r>
        <w:t xml:space="preserve">an</w:t>
      </w:r>
      <w:r>
        <w:t xml:space="preserve"> </w:t>
      </w:r>
      <w:r>
        <w:t xml:space="preserve">answer</w:t>
      </w:r>
      <w:r>
        <w:t xml:space="preserve"> </w:t>
      </w:r>
      <w:r>
        <w:t xml:space="preserve">string.</w:t>
      </w:r>
      <w:r>
        <w:t xml:space="preserve"> </w:t>
      </w:r>
      <w:r>
        <w:t xml:space="preserve">On</w:t>
      </w:r>
      <w:r>
        <w:t xml:space="preserve"> </w:t>
      </w:r>
      <w:r>
        <w:t xml:space="preserve">HotpotQA,</w:t>
      </w:r>
      <w:r>
        <w:t xml:space="preserve"> </w:t>
      </w:r>
      <m:oMath>
        <m:r>
          <m:t>T</m:t>
        </m:r>
      </m:oMath>
      <w:r>
        <w:t xml:space="preserve"> </w:t>
      </w:r>
      <w:r>
        <w:t xml:space="preserve">was</w:t>
      </w:r>
      <w:r>
        <w:t xml:space="preserve"> </w:t>
      </w:r>
      <w:r>
        <w:t xml:space="preserve">0.49–0.93</w:t>
      </w:r>
      <w:r>
        <w:t xml:space="preserve"> </w:t>
      </w:r>
      <w:r>
        <w:t xml:space="preserve">with</w:t>
      </w:r>
      <w:r>
        <w:t xml:space="preserve"> </w:t>
      </w:r>
      <w:r>
        <w:t xml:space="preserve">Hit@5</w:t>
      </w:r>
      <w:r>
        <w:t xml:space="preserve"> </w:t>
      </w:r>
      <w:r>
        <w:t xml:space="preserve">but</w:t>
      </w:r>
      <w:r>
        <w:t xml:space="preserve"> </w:t>
      </w:r>
      <w:r>
        <w:t xml:space="preserve">0.29–0.35</w:t>
      </w:r>
      <w:r>
        <w:t xml:space="preserve"> </w:t>
      </w:r>
      <w:r>
        <w:t xml:space="preserve">with</w:t>
      </w:r>
      <w:r>
        <w:t xml:space="preserve"> </w:t>
      </w:r>
      <w:r>
        <w:t xml:space="preserve">Both@5,</w:t>
      </w:r>
      <w:r>
        <w:t xml:space="preserve"> </w:t>
      </w:r>
      <w:r>
        <w:t xml:space="preserve">which</w:t>
      </w:r>
      <w:r>
        <w:t xml:space="preserve"> </w:t>
      </w:r>
      <w:r>
        <w:t xml:space="preserve">requires</w:t>
      </w:r>
      <w:r>
        <w:t xml:space="preserve"> </w:t>
      </w:r>
      <w:r>
        <w:t xml:space="preserve">both</w:t>
      </w:r>
      <w:r>
        <w:t xml:space="preserve"> </w:t>
      </w:r>
      <w:r>
        <w:t xml:space="preserve">supporting</w:t>
      </w:r>
      <w:r>
        <w:t xml:space="preserve"> </w:t>
      </w:r>
      <w:r>
        <w:t xml:space="preserve">passages;</w:t>
      </w:r>
      <w:r>
        <w:t xml:space="preserve"> </w:t>
      </w:r>
      <w:r>
        <w:t xml:space="preserve">queries</w:t>
      </w:r>
      <w:r>
        <w:t xml:space="preserve"> </w:t>
      </w:r>
      <w:r>
        <w:t xml:space="preserve">that</w:t>
      </w:r>
      <w:r>
        <w:t xml:space="preserve"> </w:t>
      </w:r>
      <w:r>
        <w:t xml:space="preserve">gained</w:t>
      </w:r>
      <w:r>
        <w:t xml:space="preserve"> </w:t>
      </w:r>
      <w:r>
        <w:t xml:space="preserve">supporting</w:t>
      </w:r>
      <w:r>
        <w:t xml:space="preserve"> </w:t>
      </w:r>
      <w:r>
        <w:t xml:space="preserve">passages</w:t>
      </w:r>
      <w:r>
        <w:t xml:space="preserve"> </w:t>
      </w:r>
      <w:r>
        <w:t xml:space="preserve">carried</w:t>
      </w:r>
      <w:r>
        <w:t xml:space="preserve"> </w:t>
      </w:r>
      <w:r>
        <w:t xml:space="preserve">the</w:t>
      </w:r>
      <w:r>
        <w:t xml:space="preserve"> </w:t>
      </w:r>
      <w:r>
        <w:t xml:space="preserve">whole</w:t>
      </w:r>
      <w:r>
        <w:t xml:space="preserve"> </w:t>
      </w:r>
      <w:r>
        <w:t xml:space="preserve">EM</w:t>
      </w:r>
      <w:r>
        <w:t xml:space="preserve"> </w:t>
      </w:r>
      <w:r>
        <w:t xml:space="preserve">gain.</w:t>
      </w:r>
      <w:r>
        <w:t xml:space="preserve"> </w:t>
      </w:r>
      <w:r>
        <w:t xml:space="preserve">Retrieval-stage</w:t>
      </w:r>
      <w:r>
        <w:t xml:space="preserve"> </w:t>
      </w:r>
      <w:r>
        <w:t xml:space="preserve">throughput</w:t>
      </w:r>
      <w:r>
        <w:t xml:space="preserve"> </w:t>
      </w:r>
      <w:r>
        <w:t xml:space="preserve">on</w:t>
      </w:r>
      <w:r>
        <w:t xml:space="preserve"> </w:t>
      </w:r>
      <w:r>
        <w:t xml:space="preserve">one</w:t>
      </w:r>
      <w:r>
        <w:t xml:space="preserve"> </w:t>
      </w:r>
      <w:r>
        <w:t xml:space="preserve">T4</w:t>
      </w:r>
      <w:r>
        <w:t xml:space="preserve"> </w:t>
      </w:r>
      <w:r>
        <w:t xml:space="preserve">GPU</w:t>
      </w:r>
      <w:r>
        <w:t xml:space="preserve"> </w:t>
      </w:r>
      <w:r>
        <w:t xml:space="preserve">differed</w:t>
      </w:r>
      <w:r>
        <w:t xml:space="preserve"> </w:t>
      </w:r>
      <w:r>
        <w:t xml:space="preserve">27-fold</w:t>
      </w:r>
      <w:r>
        <w:t xml:space="preserve"> </w:t>
      </w:r>
      <w:r>
        <w:t xml:space="preserve">across</w:t>
      </w:r>
      <w:r>
        <w:t xml:space="preserve"> </w:t>
      </w:r>
      <w:r>
        <w:t xml:space="preserve">encoders,</w:t>
      </w:r>
      <w:r>
        <w:t xml:space="preserve"> </w:t>
      </w:r>
      <w:r>
        <w:t xml:space="preserve">and</w:t>
      </w:r>
      <w:r>
        <w:t xml:space="preserve"> </w:t>
      </w:r>
      <w:r>
        <w:t xml:space="preserve">larger</w:t>
      </w:r>
      <w:r>
        <w:t xml:space="preserve"> </w:t>
      </w:r>
      <w:r>
        <w:t xml:space="preserve">encoders</w:t>
      </w:r>
      <w:r>
        <w:t xml:space="preserve"> </w:t>
      </w:r>
      <w:r>
        <w:t xml:space="preserve">gave</w:t>
      </w:r>
      <w:r>
        <w:t xml:space="preserve"> </w:t>
      </w:r>
      <w:r>
        <w:t xml:space="preserve">no</w:t>
      </w:r>
      <w:r>
        <w:t xml:space="preserve"> </w:t>
      </w:r>
      <w:r>
        <w:t xml:space="preserve">detected</w:t>
      </w:r>
      <w:r>
        <w:t xml:space="preserve"> </w:t>
      </w:r>
      <w:r>
        <w:t xml:space="preserve">EM</w:t>
      </w:r>
      <w:r>
        <w:t xml:space="preserve"> </w:t>
      </w:r>
      <w:r>
        <w:t xml:space="preserve">gain</w:t>
      </w:r>
      <w:r>
        <w:t xml:space="preserve"> </w:t>
      </w:r>
      <w:r>
        <w:t xml:space="preserve">over</w:t>
      </w:r>
      <w:r>
        <w:t xml:space="preserve"> </w:t>
      </w:r>
      <w:r>
        <w:t xml:space="preserve">e5-base-v2</w:t>
      </w:r>
      <w:r>
        <w:t xml:space="preserve"> </w:t>
      </w:r>
      <w:r>
        <w:t xml:space="preserve">on</w:t>
      </w:r>
      <w:r>
        <w:t xml:space="preserve"> </w:t>
      </w:r>
      <w:r>
        <w:t xml:space="preserve">NQ.</w:t>
      </w:r>
      <w:r>
        <w:t xml:space="preserve"> </w:t>
      </w:r>
      <w:r>
        <w:t xml:space="preserve">In</w:t>
      </w:r>
      <w:r>
        <w:t xml:space="preserve"> </w:t>
      </w:r>
      <w:r>
        <w:t xml:space="preserve">this</w:t>
      </w:r>
      <w:r>
        <w:t xml:space="preserve"> </w:t>
      </w:r>
      <w:r>
        <w:t xml:space="preserve">setting,</w:t>
      </w:r>
      <w:r>
        <w:t xml:space="preserve"> </w:t>
      </w:r>
      <w:r>
        <w:t xml:space="preserve">retrieval</w:t>
      </w:r>
      <w:r>
        <w:t xml:space="preserve"> </w:t>
      </w:r>
      <w:r>
        <w:t xml:space="preserve">gains</w:t>
      </w:r>
      <w:r>
        <w:t xml:space="preserve"> </w:t>
      </w:r>
      <w:r>
        <w:t xml:space="preserve">overstate</w:t>
      </w:r>
      <w:r>
        <w:t xml:space="preserve"> </w:t>
      </w:r>
      <w:r>
        <w:t xml:space="preserve">answer</w:t>
      </w:r>
      <w:r>
        <w:t xml:space="preserve"> </w:t>
      </w:r>
      <w:r>
        <w:t xml:space="preserve">gains,</w:t>
      </w:r>
      <w:r>
        <w:t xml:space="preserve"> </w:t>
      </w:r>
      <w:r>
        <w:t xml:space="preserve">and</w:t>
      </w:r>
      <w:r>
        <w:t xml:space="preserve"> </w:t>
      </w:r>
      <w:r>
        <w:t xml:space="preserve">multi-hop</w:t>
      </w:r>
      <w:r>
        <w:t xml:space="preserve"> </w:t>
      </w:r>
      <w:r>
        <w:t xml:space="preserve">retrieval</w:t>
      </w:r>
      <w:r>
        <w:t xml:space="preserve"> </w:t>
      </w:r>
      <w:r>
        <w:t xml:space="preserve">should</w:t>
      </w:r>
      <w:r>
        <w:t xml:space="preserve"> </w:t>
      </w:r>
      <w:r>
        <w:t xml:space="preserve">be</w:t>
      </w:r>
      <w:r>
        <w:t xml:space="preserve"> </w:t>
      </w:r>
      <w:r>
        <w:t xml:space="preserve">scored</w:t>
      </w:r>
      <w:r>
        <w:t xml:space="preserve"> </w:t>
      </w:r>
      <w:r>
        <w:t xml:space="preserve">by</w:t>
      </w:r>
      <w:r>
        <w:t xml:space="preserve"> </w:t>
      </w:r>
      <w:r>
        <w:t xml:space="preserve">complete</w:t>
      </w:r>
      <w:r>
        <w:t xml:space="preserve"> </w:t>
      </w:r>
      <w:r>
        <w:t xml:space="preserve">evidence.</w:t>
      </w:r>
    </w:p>
    <w:bookmarkStart w:id="20" w:name="keywords"/>
    <w:p>
      <w:pPr>
        <w:pStyle w:val="Heading4"/>
      </w:pPr>
      <w:r>
        <w:t xml:space="preserve">Keywords</w:t>
      </w:r>
    </w:p>
    <w:p>
      <w:pPr>
        <w:pStyle w:val="FirstParagraph"/>
      </w:pPr>
      <w:r>
        <w:t xml:space="preserve">retrieval-augmented generation; dense retrieval; text embeddings; question answering; evaluation; reproducibility; computational cost</w:t>
      </w:r>
    </w:p>
    <w:bookmarkEnd w:id="20"/>
    <w:bookmarkStart w:id="21" w:name="sec:intro"/>
    <w:p>
      <w:pPr>
        <w:pStyle w:val="Heading1"/>
      </w:pPr>
      <w:r>
        <w:t xml:space="preserve">Introduction</w:t>
      </w:r>
    </w:p>
    <w:p>
      <w:pPr>
        <w:pStyle w:val="FirstParagraph"/>
      </w:pPr>
      <w:r>
        <w:t xml:space="preserve">Retrieval-augmented generation (RAG) answers a question in two steps. A retriever selects passages from a corpus, and a language model, the reader, writes an answer from them</w:t>
      </w:r>
      <w:r>
        <w:t xml:space="preserve"> </w:t>
      </w:r>
      <w:r>
        <w:t xml:space="preserve">(</w:t>
      </w:r>
      <w:hyperlink w:anchor="ref-lewis2020rag">
        <w:r>
          <w:rPr>
            <w:rStyle w:val="Hyperlink"/>
          </w:rPr>
          <w:t xml:space="preserve">Lewis et al. 2020</w:t>
        </w:r>
      </w:hyperlink>
      <w:r>
        <w:t xml:space="preserve">;</w:t>
      </w:r>
      <w:r>
        <w:t xml:space="preserve"> </w:t>
      </w:r>
      <w:hyperlink w:anchor="ref-izacard2021fid">
        <w:r>
          <w:rPr>
            <w:rStyle w:val="Hyperlink"/>
          </w:rPr>
          <w:t xml:space="preserve">Izacard and Grave 2021</w:t>
        </w:r>
      </w:hyperlink>
      <w:r>
        <w:t xml:space="preserve">;</w:t>
      </w:r>
      <w:r>
        <w:t xml:space="preserve"> </w:t>
      </w:r>
      <w:hyperlink w:anchor="ref-ram2023incontext">
        <w:r>
          <w:rPr>
            <w:rStyle w:val="Hyperlink"/>
          </w:rPr>
          <w:t xml:space="preserve">Ram et al. 2023</w:t>
        </w:r>
      </w:hyperlink>
      <w:r>
        <w:t xml:space="preserve">)</w:t>
      </w:r>
      <w:r>
        <w:t xml:space="preserve">. Teams that build such systems must choose the retriever. For dense retrieval this means choosing a text embedding model, and the usual guide is a retrieval benchmark such as BEIR</w:t>
      </w:r>
      <w:r>
        <w:t xml:space="preserve"> </w:t>
      </w:r>
      <w:r>
        <w:t xml:space="preserve">(</w:t>
      </w:r>
      <w:hyperlink w:anchor="ref-thakur2021beir">
        <w:r>
          <w:rPr>
            <w:rStyle w:val="Hyperlink"/>
          </w:rPr>
          <w:t xml:space="preserve">Thakur et al. 2021</w:t>
        </w:r>
      </w:hyperlink>
      <w:r>
        <w:t xml:space="preserve">)</w:t>
      </w:r>
      <w:r>
        <w:t xml:space="preserve"> </w:t>
      </w:r>
      <w:r>
        <w:t xml:space="preserve">or MTEB</w:t>
      </w:r>
      <w:r>
        <w:t xml:space="preserve"> </w:t>
      </w:r>
      <w:r>
        <w:t xml:space="preserve">(</w:t>
      </w:r>
      <w:hyperlink w:anchor="ref-muennighoff2023mteb">
        <w:r>
          <w:rPr>
            <w:rStyle w:val="Hyperlink"/>
          </w:rPr>
          <w:t xml:space="preserve">Muennighoff et al. 2023</w:t>
        </w:r>
      </w:hyperlink>
      <w:r>
        <w:t xml:space="preserve">)</w:t>
      </w:r>
      <w:r>
        <w:t xml:space="preserve">. These benchmarks score ranked lists against relevance labels. They do not show how much of a retrieval gain survives the reader.</w:t>
      </w:r>
    </w:p>
    <w:p>
      <w:pPr>
        <w:pStyle w:val="BodyText"/>
      </w:pPr>
      <w:r>
        <w:t xml:space="preserve">This question matters most for teams with limited compute. A larger encoder costs more to run over a corpus and adds latency to every query. If a retrieval gain turns into a much smaller answer gain, a cheaper encoder may serve as well. It is already known that better retrieval does not reliably give better answers</w:t>
      </w:r>
      <w:r>
        <w:t xml:space="preserve"> </w:t>
      </w:r>
      <w:r>
        <w:t xml:space="preserve">(</w:t>
      </w:r>
      <w:hyperlink w:anchor="ref-salemi2024erag">
        <w:r>
          <w:rPr>
            <w:rStyle w:val="Hyperlink"/>
          </w:rPr>
          <w:t xml:space="preserve">Salemi and Zamani 2024</w:t>
        </w:r>
      </w:hyperlink>
      <w:r>
        <w:t xml:space="preserve">;</w:t>
      </w:r>
      <w:r>
        <w:t xml:space="preserve"> </w:t>
      </w:r>
      <w:hyperlink w:anchor="ref-mathur2026policy">
        <w:r>
          <w:rPr>
            <w:rStyle w:val="Hyperlink"/>
          </w:rPr>
          <w:t xml:space="preserve">Mathur et al. 2026</w:t>
        </w:r>
      </w:hyperlink>
      <w:r>
        <w:t xml:space="preserve">;</w:t>
      </w:r>
      <w:r>
        <w:t xml:space="preserve"> </w:t>
      </w:r>
      <w:hyperlink w:anchor="ref-medrano2026fusion">
        <w:r>
          <w:rPr>
            <w:rStyle w:val="Hyperlink"/>
          </w:rPr>
          <w:t xml:space="preserve">Medrano, Verma, and Chhabra 2026</w:t>
        </w:r>
      </w:hyperlink>
      <w:r>
        <w:t xml:space="preserve">;</w:t>
      </w:r>
      <w:r>
        <w:t xml:space="preserve"> </w:t>
      </w:r>
      <w:hyperlink w:anchor="ref-ghosh2026evidence">
        <w:r>
          <w:rPr>
            <w:rStyle w:val="Hyperlink"/>
          </w:rPr>
          <w:t xml:space="preserve">Ghosh, Mukhopadhyay, and Chatterjee 2026</w:t>
        </w:r>
      </w:hyperlink>
      <w:r>
        <w:t xml:space="preserve">)</w:t>
      </w:r>
      <w:r>
        <w:t xml:space="preserve">, that retrieval metrics can still track generation quality when the two are aligned</w:t>
      </w:r>
      <w:r>
        <w:t xml:space="preserve"> </w:t>
      </w:r>
      <w:r>
        <w:t xml:space="preserve">(</w:t>
      </w:r>
      <w:hyperlink w:anchor="ref-samuel2026beyond">
        <w:r>
          <w:rPr>
            <w:rStyle w:val="Hyperlink"/>
          </w:rPr>
          <w:t xml:space="preserve">Samuel et al. 2026</w:t>
        </w:r>
      </w:hyperlink>
      <w:r>
        <w:t xml:space="preserve">;</w:t>
      </w:r>
      <w:r>
        <w:t xml:space="preserve"> </w:t>
      </w:r>
      <w:hyperlink w:anchor="ref-hitl2026comparative">
        <w:r>
          <w:rPr>
            <w:rStyle w:val="Hyperlink"/>
          </w:rPr>
          <w:t xml:space="preserve">Hitl, Bagić Babac, and Mornar 2026</w:t>
        </w:r>
      </w:hyperlink>
      <w:r>
        <w:t xml:space="preserve">)</w:t>
      </w:r>
      <w:r>
        <w:t xml:space="preserve">, and that passages which look relevant but lack the answer can lower accuracy</w:t>
      </w:r>
      <w:r>
        <w:t xml:space="preserve"> </w:t>
      </w:r>
      <w:r>
        <w:t xml:space="preserve">(</w:t>
      </w:r>
      <w:hyperlink w:anchor="ref-cuconasu2024power">
        <w:r>
          <w:rPr>
            <w:rStyle w:val="Hyperlink"/>
          </w:rPr>
          <w:t xml:space="preserve">Cuconasu et al. 2024</w:t>
        </w:r>
      </w:hyperlink>
      <w:r>
        <w:t xml:space="preserve">;</w:t>
      </w:r>
      <w:r>
        <w:t xml:space="preserve"> </w:t>
      </w:r>
      <w:hyperlink w:anchor="ref-amiraz2025distracting">
        <w:r>
          <w:rPr>
            <w:rStyle w:val="Hyperlink"/>
          </w:rPr>
          <w:t xml:space="preserve">Amiraz et al. 2025</w:t>
        </w:r>
      </w:hyperlink>
      <w:r>
        <w:t xml:space="preserve">;</w:t>
      </w:r>
      <w:r>
        <w:t xml:space="preserve"> </w:t>
      </w:r>
      <w:hyperlink w:anchor="ref-shi2023distracted">
        <w:r>
          <w:rPr>
            <w:rStyle w:val="Hyperlink"/>
          </w:rPr>
          <w:t xml:space="preserve">Shi et al. 2023</w:t>
        </w:r>
      </w:hyperlink>
      <w:r>
        <w:t xml:space="preserve">)</w:t>
      </w:r>
      <w:r>
        <w:t xml:space="preserve">. What is less clear is how large the answer gain is, relative to the retrieval gain, when one interchangeable encoder replaces another, and where in the query set that gain appears.</w:t>
      </w:r>
    </w:p>
    <w:p>
      <w:pPr>
        <w:pStyle w:val="BodyText"/>
      </w:pPr>
      <w:r>
        <w:t xml:space="preserve">Earlier studies relate retrieval quality to answer quality through correlations across systems or topics</w:t>
      </w:r>
      <w:r>
        <w:t xml:space="preserve"> </w:t>
      </w:r>
      <w:r>
        <w:t xml:space="preserve">(</w:t>
      </w:r>
      <w:hyperlink w:anchor="ref-salemi2024erag">
        <w:r>
          <w:rPr>
            <w:rStyle w:val="Hyperlink"/>
          </w:rPr>
          <w:t xml:space="preserve">Salemi and Zamani 2024</w:t>
        </w:r>
      </w:hyperlink>
      <w:r>
        <w:t xml:space="preserve">;</w:t>
      </w:r>
      <w:r>
        <w:t xml:space="preserve"> </w:t>
      </w:r>
      <w:hyperlink w:anchor="ref-samuel2026beyond">
        <w:r>
          <w:rPr>
            <w:rStyle w:val="Hyperlink"/>
          </w:rPr>
          <w:t xml:space="preserve">Samuel et al. 2026</w:t>
        </w:r>
      </w:hyperlink>
      <w:r>
        <w:t xml:space="preserve">;</w:t>
      </w:r>
      <w:r>
        <w:t xml:space="preserve"> </w:t>
      </w:r>
      <w:hyperlink w:anchor="ref-trappolini2025udcg">
        <w:r>
          <w:rPr>
            <w:rStyle w:val="Hyperlink"/>
          </w:rPr>
          <w:t xml:space="preserve">Trappolini et al. 2025</w:t>
        </w:r>
      </w:hyperlink>
      <w:r>
        <w:t xml:space="preserve">)</w:t>
      </w:r>
      <w:r>
        <w:t xml:space="preserve">, through a ratio of answer F1 to recall across RAG methods</w:t>
      </w:r>
      <w:r>
        <w:t xml:space="preserve"> </w:t>
      </w:r>
      <w:r>
        <w:t xml:space="preserve">(</w:t>
      </w:r>
      <w:hyperlink w:anchor="ref-peng2026neocorrag">
        <w:r>
          <w:rPr>
            <w:rStyle w:val="Hyperlink"/>
          </w:rPr>
          <w:t xml:space="preserve">Peng et al. 2026</w:t>
        </w:r>
      </w:hyperlink>
      <w:r>
        <w:t xml:space="preserve">)</w:t>
      </w:r>
      <w:r>
        <w:t xml:space="preserve">, or through manipulations of a single retriever</w:t>
      </w:r>
      <w:r>
        <w:t xml:space="preserve"> </w:t>
      </w:r>
      <w:r>
        <w:t xml:space="preserve">(</w:t>
      </w:r>
      <w:hyperlink w:anchor="ref-leto2024toward">
        <w:r>
          <w:rPr>
            <w:rStyle w:val="Hyperlink"/>
          </w:rPr>
          <w:t xml:space="preserve">Leto et al. 2024</w:t>
        </w:r>
      </w:hyperlink>
      <w:r>
        <w:t xml:space="preserve">)</w:t>
      </w:r>
      <w:r>
        <w:t xml:space="preserve">. Correlations describe whether systems are ranked in the same order; they do not say how many answer points one retrieval point buys. Two encoders can be ranked correctly by Hit@5 while the answer gain between them is a quarter of the retrieval gain. We found no study that reports, for a set of interchangeable open encoders, the paired ratio of answer gain to retrieval gain with its uncertainty, per reader and dataset, next to the measured retrieval-stage cost of each encoder. This study provides such estimates for one controlled setting.</w:t>
      </w:r>
    </w:p>
    <w:p>
      <w:pPr>
        <w:pStyle w:val="BodyText"/>
      </w:pPr>
      <w:r>
        <w:t xml:space="preserve">We define a transfer ratio</w:t>
      </w:r>
      <w:r>
        <w:t xml:space="preserve"> </w:t>
      </w:r>
      <m:oMath>
        <m:r>
          <m:t>T</m:t>
        </m:r>
        <m:d>
          <m:dPr>
            <m:begChr m:val="("/>
            <m:endChr m:val=")"/>
            <m:sepChr m:val=""/>
            <m:grow/>
          </m:dPr>
          <m:e>
            <m:r>
              <m:t>R</m:t>
            </m:r>
          </m:e>
        </m:d>
      </m:oMath>
      <w:r>
        <w:t xml:space="preserve">: the gain in exact match (EM) of retriever</w:t>
      </w:r>
      <w:r>
        <w:t xml:space="preserve"> </w:t>
      </w:r>
      <m:oMath>
        <m:r>
          <m:t>R</m:t>
        </m:r>
      </m:oMath>
      <w:r>
        <w:t xml:space="preserve"> </w:t>
      </w:r>
      <w:r>
        <w:t xml:space="preserve">over a small baseline encoder, divided by its gain in Hit@5, both measured on the same queries. A ratio of 1 means that EM rises by as many points as Hit@5, and a ratio near 0 means that the retrieval gain does not reach the answer.</w:t>
      </w:r>
      <w:r>
        <w:t xml:space="preserve"> </w:t>
      </w:r>
      <m:oMath>
        <m:r>
          <m:t>T</m:t>
        </m:r>
        <m:d>
          <m:dPr>
            <m:begChr m:val="("/>
            <m:endChr m:val=")"/>
            <m:sepChr m:val=""/>
            <m:grow/>
          </m:dPr>
          <m:e>
            <m:r>
              <m:t>R</m:t>
            </m:r>
          </m:e>
        </m:d>
      </m:oMath>
      <w:r>
        <w:t xml:space="preserve"> </w:t>
      </w:r>
      <w:r>
        <w:t xml:space="preserve">is a descriptive ratio of paired mean gains. It is not a probability, not a causal conversion efficiency, and not the share of newly retrieved passages that the reader uses; it depends on the baseline and on the retrieval metric, so it describes a pair of retrievers rather than one encoder; and 1 is a reference point, not a target. We therefore also account for the gain query by query. We estimate</w:t>
      </w:r>
      <w:r>
        <w:t xml:space="preserve"> </w:t>
      </w:r>
      <m:oMath>
        <m:r>
          <m:t>T</m:t>
        </m:r>
        <m:d>
          <m:dPr>
            <m:begChr m:val="("/>
            <m:endChr m:val=")"/>
            <m:sepChr m:val=""/>
            <m:grow/>
          </m:dPr>
          <m:e>
            <m:r>
              <m:t>R</m:t>
            </m:r>
          </m:e>
        </m:d>
      </m:oMath>
      <w:r>
        <w:t xml:space="preserve"> </w:t>
      </w:r>
      <w:r>
        <w:t xml:space="preserve">for BM25 and five dense encoders against MiniLM-L6, with two quantised 7–8B readers, on a single-hop dataset (Natural Questions) and a multi-hop dataset (HotpotQA). All runs used free Kaggle T4 GPUs.</w:t>
      </w:r>
    </w:p>
    <w:p>
      <w:pPr>
        <w:pStyle w:val="BodyText"/>
      </w:pPr>
      <w:r>
        <w:t xml:space="preserve">We ask four research questions.</w:t>
      </w:r>
    </w:p>
    <w:p>
      <w:pPr>
        <w:pStyle w:val="DefinitionTerm"/>
      </w:pPr>
      <w:r>
        <w:t xml:space="preserve">RQ1</w:t>
      </w:r>
    </w:p>
    <w:p>
      <w:pPr>
        <w:pStyle w:val="Definition"/>
      </w:pPr>
      <w:r>
        <w:t xml:space="preserve">How much of a Hit@5 gain over a small encoder reaches EM, and does this depend on the reader and the dataset?</w:t>
      </w:r>
    </w:p>
    <w:p>
      <w:pPr>
        <w:pStyle w:val="DefinitionTerm"/>
      </w:pPr>
      <w:r>
        <w:t xml:space="preserve">RQ2</w:t>
      </w:r>
    </w:p>
    <w:p>
      <w:pPr>
        <w:pStyle w:val="Definition"/>
      </w:pPr>
      <w:r>
        <w:t xml:space="preserve">Do larger or newer encoders give higher EM than a mid-size encoder (e5-base-v2)?</w:t>
      </w:r>
    </w:p>
    <w:p>
      <w:pPr>
        <w:pStyle w:val="DefinitionTerm"/>
      </w:pPr>
      <w:r>
        <w:t xml:space="preserve">RQ3</w:t>
      </w:r>
    </w:p>
    <w:p>
      <w:pPr>
        <w:pStyle w:val="Definition"/>
      </w:pPr>
      <w:r>
        <w:t xml:space="preserve">How do context choices change the answer: the number of passages, the kind of non-gold passages, the position of the gold passage, and reranking?</w:t>
      </w:r>
    </w:p>
    <w:p>
      <w:pPr>
        <w:pStyle w:val="DefinitionTerm"/>
      </w:pPr>
      <w:r>
        <w:t xml:space="preserve">RQ4</w:t>
      </w:r>
    </w:p>
    <w:p>
      <w:pPr>
        <w:pStyle w:val="Definition"/>
      </w:pPr>
      <w:r>
        <w:t xml:space="preserve">What is each encoder’s retrieval-stage cost on free hardware, and do our sub-corpus and exact search distort the comparison?</w:t>
      </w:r>
    </w:p>
    <w:p>
      <w:pPr>
        <w:pStyle w:val="FirstParagraph"/>
      </w:pPr>
      <w:r>
        <w:t xml:space="preserve">The study ran in three phases. Phase 1 covered one reader on NQ. Before Phase 2, we registered six predictions (P1–P6) in a dated design document and then ran the new cells and experiments. Before Phase 3, we registered two more (P7, P8) and ran both readers on retrieval from the full NQ corpus, to test whether the 300,000-passage sub-corpus that all other answer results use had changed the NQ ratios. We report whether each stated criterion was met, including the three that were not met in at least one condition.</w:t>
      </w:r>
    </w:p>
    <w:p>
      <w:pPr>
        <w:pStyle w:val="BodyText"/>
      </w:pPr>
      <w:r>
        <w:t xml:space="preserve">The study makes four contributions.</w:t>
      </w:r>
    </w:p>
    <w:p>
      <w:pPr>
        <w:numPr>
          <w:ilvl w:val="0"/>
          <w:numId w:val="1001"/>
        </w:numPr>
      </w:pPr>
      <w:r>
        <w:t xml:space="preserve">Paired estimates of the answer gain per unit of retrieval gain for six retrievers, two readers and two datasets, with bootstrap intervals and a reporting rule fixed in advance, their sensitivity to the answer metric, the baseline, the retrieval metric and the number of passages read, and a registered replication of the NQ ratios on the full corpus (Sections </w:t>
      </w:r>
      <w:hyperlink w:anchor="sec:res-transfer">
        <w:r>
          <w:rPr>
            <w:rStyle w:val="Hyperlink"/>
          </w:rPr>
          <w:t xml:space="preserve">5.2</w:t>
        </w:r>
      </w:hyperlink>
      <w:r>
        <w:t xml:space="preserve">–</w:t>
      </w:r>
      <w:hyperlink w:anchor="sec:res-full">
        <w:r>
          <w:rPr>
            <w:rStyle w:val="Hyperlink"/>
          </w:rPr>
          <w:t xml:space="preserve">5.4</w:t>
        </w:r>
      </w:hyperlink>
      <w:r>
        <w:t xml:space="preserve">).</w:t>
      </w:r>
    </w:p>
    <w:p>
      <w:pPr>
        <w:numPr>
          <w:ilvl w:val="0"/>
          <w:numId w:val="1001"/>
        </w:numPr>
      </w:pPr>
      <w:r>
        <w:t xml:space="preserve">Evidence that, for multi-hop questions, the size of the transfer depends on whether retrieval is scored by complete evidence: with Both@5 instead of Hit@5 the HotpotQA ratios fall to the NQ range (Section </w:t>
      </w:r>
      <w:hyperlink w:anchor="sec:res-sens">
        <w:r>
          <w:rPr>
            <w:rStyle w:val="Hyperlink"/>
          </w:rPr>
          <w:t xml:space="preserve">5.3</w:t>
        </w:r>
      </w:hyperlink>
      <w:r>
        <w:t xml:space="preserve">).</w:t>
      </w:r>
    </w:p>
    <w:p>
      <w:pPr>
        <w:numPr>
          <w:ilvl w:val="0"/>
          <w:numId w:val="1001"/>
        </w:numPr>
      </w:pPr>
      <w:r>
        <w:t xml:space="preserve">A query-level accounting that splits each EM gain exactly into queries that gained, kept or lost labelled evidence, which shows where the NQ and HotpotQA gains sit, and an answer-string check of the passages behind NQ retrieval misses (Section </w:t>
      </w:r>
      <w:hyperlink w:anchor="sec:res-decomp">
        <w:r>
          <w:rPr>
            <w:rStyle w:val="Hyperlink"/>
          </w:rPr>
          <w:t xml:space="preserve">5.5</w:t>
        </w:r>
      </w:hyperlink>
      <w:r>
        <w:t xml:space="preserve">).</w:t>
      </w:r>
    </w:p>
    <w:p>
      <w:pPr>
        <w:numPr>
          <w:ilvl w:val="0"/>
          <w:numId w:val="1001"/>
        </w:numPr>
      </w:pPr>
      <w:r>
        <w:t xml:space="preserve">Measured retrieval-stage cost of each encoder on a free GPU, controlled checks of context composition, reranking, approximate search and the sub-corpus, and a full record of every deviation and failed run (Sections </w:t>
      </w:r>
      <w:hyperlink w:anchor="sec:res-context">
        <w:r>
          <w:rPr>
            <w:rStyle w:val="Hyperlink"/>
          </w:rPr>
          <w:t xml:space="preserve">5.7</w:t>
        </w:r>
      </w:hyperlink>
      <w:r>
        <w:t xml:space="preserve">–</w:t>
      </w:r>
      <w:hyperlink w:anchor="sec:res-cost">
        <w:r>
          <w:rPr>
            <w:rStyle w:val="Hyperlink"/>
          </w:rPr>
          <w:t xml:space="preserve">5.8</w:t>
        </w:r>
      </w:hyperlink>
      <w:r>
        <w:t xml:space="preserve"> </w:t>
      </w:r>
      <w:r>
        <w:t xml:space="preserve">and </w:t>
      </w:r>
      <w:hyperlink w:anchor="sec:deviations">
        <w:r>
          <w:rPr>
            <w:rStyle w:val="Hyperlink"/>
          </w:rPr>
          <w:t xml:space="preserve">4.1</w:t>
        </w:r>
      </w:hyperlink>
      <w:r>
        <w:t xml:space="preserve">).</w:t>
      </w:r>
    </w:p>
    <w:p>
      <w:pPr>
        <w:pStyle w:val="FirstParagraph"/>
      </w:pPr>
      <w:r>
        <w:t xml:space="preserve">Section </w:t>
      </w:r>
      <w:hyperlink w:anchor="sec:related">
        <w:r>
          <w:rPr>
            <w:rStyle w:val="Hyperlink"/>
          </w:rPr>
          <w:t xml:space="preserve">2</w:t>
        </w:r>
      </w:hyperlink>
      <w:r>
        <w:t xml:space="preserve"> </w:t>
      </w:r>
      <w:r>
        <w:t xml:space="preserve">reviews related work. Sections </w:t>
      </w:r>
      <w:hyperlink w:anchor="sec:method">
        <w:r>
          <w:rPr>
            <w:rStyle w:val="Hyperlink"/>
          </w:rPr>
          <w:t xml:space="preserve">3</w:t>
        </w:r>
      </w:hyperlink>
      <w:r>
        <w:t xml:space="preserve"> </w:t>
      </w:r>
      <w:r>
        <w:t xml:space="preserve">and </w:t>
      </w:r>
      <w:hyperlink w:anchor="sec:setup">
        <w:r>
          <w:rPr>
            <w:rStyle w:val="Hyperlink"/>
          </w:rPr>
          <w:t xml:space="preserve">4</w:t>
        </w:r>
      </w:hyperlink>
      <w:r>
        <w:t xml:space="preserve"> </w:t>
      </w:r>
      <w:r>
        <w:t xml:space="preserve">describe the method and setup. Section </w:t>
      </w:r>
      <w:hyperlink w:anchor="sec:results">
        <w:r>
          <w:rPr>
            <w:rStyle w:val="Hyperlink"/>
          </w:rPr>
          <w:t xml:space="preserve">5</w:t>
        </w:r>
      </w:hyperlink>
      <w:r>
        <w:t xml:space="preserve"> </w:t>
      </w:r>
      <w:r>
        <w:t xml:space="preserve">reports the results, Section </w:t>
      </w:r>
      <w:hyperlink w:anchor="sec:discussion">
        <w:r>
          <w:rPr>
            <w:rStyle w:val="Hyperlink"/>
          </w:rPr>
          <w:t xml:space="preserve">6</w:t>
        </w:r>
      </w:hyperlink>
      <w:r>
        <w:t xml:space="preserve"> </w:t>
      </w:r>
      <w:r>
        <w:t xml:space="preserve">discusses them, and Section </w:t>
      </w:r>
      <w:hyperlink w:anchor="sec:limits">
        <w:r>
          <w:rPr>
            <w:rStyle w:val="Hyperlink"/>
          </w:rPr>
          <w:t xml:space="preserve">7</w:t>
        </w:r>
      </w:hyperlink>
      <w:r>
        <w:t xml:space="preserve"> </w:t>
      </w:r>
      <w:r>
        <w:t xml:space="preserve">lists the limits of the study.</w:t>
      </w:r>
    </w:p>
    <w:bookmarkEnd w:id="21"/>
    <w:bookmarkStart w:id="26" w:name="sec:related"/>
    <w:p>
      <w:pPr>
        <w:pStyle w:val="Heading1"/>
      </w:pPr>
      <w:r>
        <w:t xml:space="preserve">Related work</w:t>
      </w:r>
    </w:p>
    <w:bookmarkStart w:id="22" w:name="retrieval-quality-and-answer-quality"/>
    <w:p>
      <w:pPr>
        <w:pStyle w:val="Heading2"/>
      </w:pPr>
      <w:r>
        <w:t xml:space="preserve">Retrieval quality and answer quality</w:t>
      </w:r>
    </w:p>
    <w:p>
      <w:pPr>
        <w:pStyle w:val="FirstParagraph"/>
      </w:pPr>
      <w:r>
        <w:t xml:space="preserve">Dense passage retrieval replaced sparse retrieval as the default initial stage for open-domain question answering</w:t>
      </w:r>
      <w:r>
        <w:t xml:space="preserve"> </w:t>
      </w:r>
      <w:r>
        <w:t xml:space="preserve">(</w:t>
      </w:r>
      <w:hyperlink w:anchor="ref-karpukhin2020dpr">
        <w:r>
          <w:rPr>
            <w:rStyle w:val="Hyperlink"/>
          </w:rPr>
          <w:t xml:space="preserve">Karpukhin et al. 2020</w:t>
        </w:r>
      </w:hyperlink>
      <w:r>
        <w:t xml:space="preserve">;</w:t>
      </w:r>
      <w:r>
        <w:t xml:space="preserve"> </w:t>
      </w:r>
      <w:hyperlink w:anchor="ref-lee2019orqa">
        <w:r>
          <w:rPr>
            <w:rStyle w:val="Hyperlink"/>
          </w:rPr>
          <w:t xml:space="preserve">Lee, Chang, and Toutanova 2019</w:t>
        </w:r>
      </w:hyperlink>
      <w:r>
        <w:t xml:space="preserve">)</w:t>
      </w:r>
      <w:r>
        <w:t xml:space="preserve">, and retrieval-augmented readers turned retrieved passages into answers</w:t>
      </w:r>
      <w:r>
        <w:t xml:space="preserve"> </w:t>
      </w:r>
      <w:r>
        <w:t xml:space="preserve">(</w:t>
      </w:r>
      <w:hyperlink w:anchor="ref-lewis2020rag">
        <w:r>
          <w:rPr>
            <w:rStyle w:val="Hyperlink"/>
          </w:rPr>
          <w:t xml:space="preserve">Lewis et al. 2020</w:t>
        </w:r>
      </w:hyperlink>
      <w:r>
        <w:t xml:space="preserve">;</w:t>
      </w:r>
      <w:r>
        <w:t xml:space="preserve"> </w:t>
      </w:r>
      <w:hyperlink w:anchor="ref-izacard2021fid">
        <w:r>
          <w:rPr>
            <w:rStyle w:val="Hyperlink"/>
          </w:rPr>
          <w:t xml:space="preserve">Izacard and Grave 2021</w:t>
        </w:r>
      </w:hyperlink>
      <w:r>
        <w:t xml:space="preserve">)</w:t>
      </w:r>
      <w:r>
        <w:t xml:space="preserve">. Sentence encoders and general-purpose embedding models made dense retrieval cheap to adopt</w:t>
      </w:r>
      <w:r>
        <w:t xml:space="preserve"> </w:t>
      </w:r>
      <w:r>
        <w:t xml:space="preserve">(</w:t>
      </w:r>
      <w:hyperlink w:anchor="ref-reimers2019sbert">
        <w:r>
          <w:rPr>
            <w:rStyle w:val="Hyperlink"/>
          </w:rPr>
          <w:t xml:space="preserve">Reimers and Gurevych 2019</w:t>
        </w:r>
      </w:hyperlink>
      <w:r>
        <w:t xml:space="preserve">;</w:t>
      </w:r>
      <w:r>
        <w:t xml:space="preserve"> </w:t>
      </w:r>
      <w:hyperlink w:anchor="ref-wang2022e5">
        <w:r>
          <w:rPr>
            <w:rStyle w:val="Hyperlink"/>
          </w:rPr>
          <w:t xml:space="preserve">L. Wang et al. 2022</w:t>
        </w:r>
      </w:hyperlink>
      <w:r>
        <w:t xml:space="preserve">;</w:t>
      </w:r>
      <w:r>
        <w:t xml:space="preserve"> </w:t>
      </w:r>
      <w:hyperlink w:anchor="ref-xiao2024cpack">
        <w:r>
          <w:rPr>
            <w:rStyle w:val="Hyperlink"/>
          </w:rPr>
          <w:t xml:space="preserve">Xiao et al. 2024</w:t>
        </w:r>
      </w:hyperlink>
      <w:r>
        <w:t xml:space="preserve">;</w:t>
      </w:r>
      <w:r>
        <w:t xml:space="preserve"> </w:t>
      </w:r>
      <w:hyperlink w:anchor="ref-zhang2025qwen3emb">
        <w:r>
          <w:rPr>
            <w:rStyle w:val="Hyperlink"/>
          </w:rPr>
          <w:t xml:space="preserve">Zhang et al. 2025</w:t>
        </w:r>
      </w:hyperlink>
      <w:r>
        <w:t xml:space="preserve">)</w:t>
      </w:r>
      <w:r>
        <w:t xml:space="preserve">. Their quality is usually judged on retrieval benchmarks</w:t>
      </w:r>
      <w:r>
        <w:t xml:space="preserve"> </w:t>
      </w:r>
      <w:r>
        <w:t xml:space="preserve">(</w:t>
      </w:r>
      <w:hyperlink w:anchor="ref-thakur2021beir">
        <w:r>
          <w:rPr>
            <w:rStyle w:val="Hyperlink"/>
          </w:rPr>
          <w:t xml:space="preserve">Thakur et al. 2021</w:t>
        </w:r>
      </w:hyperlink>
      <w:r>
        <w:t xml:space="preserve">;</w:t>
      </w:r>
      <w:r>
        <w:t xml:space="preserve"> </w:t>
      </w:r>
      <w:hyperlink w:anchor="ref-muennighoff2023mteb">
        <w:r>
          <w:rPr>
            <w:rStyle w:val="Hyperlink"/>
          </w:rPr>
          <w:t xml:space="preserve">Muennighoff et al. 2023</w:t>
        </w:r>
      </w:hyperlink>
      <w:r>
        <w:t xml:space="preserve">)</w:t>
      </w:r>
      <w:r>
        <w:t xml:space="preserve">.</w:t>
      </w:r>
    </w:p>
    <w:p>
      <w:pPr>
        <w:pStyle w:val="BodyText"/>
      </w:pPr>
      <w:r>
        <w:t xml:space="preserve">Earlier work relates retrieval scores to answer scores in three ways. One line of work correlates retrieval metrics with downstream metrics.</w:t>
      </w:r>
      <w:r>
        <w:t xml:space="preserve"> </w:t>
      </w:r>
      <w:r>
        <w:t xml:space="preserve">Salemi and Zamani (</w:t>
      </w:r>
      <w:hyperlink w:anchor="ref-salemi2024erag">
        <w:r>
          <w:rPr>
            <w:rStyle w:val="Hyperlink"/>
          </w:rPr>
          <w:t xml:space="preserve">2024</w:t>
        </w:r>
      </w:hyperlink>
      <w:r>
        <w:t xml:space="preserve">)</w:t>
      </w:r>
      <w:r>
        <w:t xml:space="preserve"> </w:t>
      </w:r>
      <w:r>
        <w:t xml:space="preserve">report that relevance-label metrics correlate weakly with downstream RAG performance and propose labels derived from the reader itself.</w:t>
      </w:r>
      <w:r>
        <w:t xml:space="preserve"> </w:t>
      </w:r>
      <w:r>
        <w:t xml:space="preserve">Trappolini et al. (</w:t>
      </w:r>
      <w:hyperlink w:anchor="ref-trappolini2025udcg">
        <w:r>
          <w:rPr>
            <w:rStyle w:val="Hyperlink"/>
          </w:rPr>
          <w:t xml:space="preserve">2025</w:t>
        </w:r>
      </w:hyperlink>
      <w:r>
        <w:t xml:space="preserve">)</w:t>
      </w:r>
      <w:r>
        <w:t xml:space="preserve"> </w:t>
      </w:r>
      <w:r>
        <w:t xml:space="preserve">argue that rank-discounted metrics fit a human reader, not a language model, and propose a utility- and distraction-aware gain.</w:t>
      </w:r>
      <w:r>
        <w:t xml:space="preserve"> </w:t>
      </w:r>
      <w:r>
        <w:t xml:space="preserve">Samuel et al. (</w:t>
      </w:r>
      <w:hyperlink w:anchor="ref-samuel2026beyond">
        <w:r>
          <w:rPr>
            <w:rStyle w:val="Hyperlink"/>
          </w:rPr>
          <w:t xml:space="preserve">2026</w:t>
        </w:r>
      </w:hyperlink>
      <w:r>
        <w:t xml:space="preserve">)</w:t>
      </w:r>
      <w:r>
        <w:t xml:space="preserve"> </w:t>
      </w:r>
      <w:r>
        <w:t xml:space="preserve">find positive topic- and system-level correlations between coverage-based retrieval metrics and the coverage of generated reports, with weaker links for relevance-based nDCG. A second line builds ratios.</w:t>
      </w:r>
      <w:r>
        <w:t xml:space="preserve"> </w:t>
      </w:r>
      <w:r>
        <w:t xml:space="preserve">Peng et al. (</w:t>
      </w:r>
      <w:hyperlink w:anchor="ref-peng2026neocorrag">
        <w:r>
          <w:rPr>
            <w:rStyle w:val="Hyperlink"/>
          </w:rPr>
          <w:t xml:space="preserve">2026</w:t>
        </w:r>
      </w:hyperlink>
      <w:r>
        <w:t xml:space="preserve">)</w:t>
      </w:r>
      <w:r>
        <w:t xml:space="preserve"> </w:t>
      </w:r>
      <w:r>
        <w:t xml:space="preserve">define a recall conversion rate as answer F1 divided by Recall@5 and report that it falls as recall rises across RAG methods. Their ratio compares levels across different pipelines. Our ratio compares paired gains of interchangeable encoders against one baseline. A third line manipulates retrieval directly.</w:t>
      </w:r>
      <w:r>
        <w:t xml:space="preserve"> </w:t>
      </w:r>
      <w:r>
        <w:t xml:space="preserve">Leto et al. (</w:t>
      </w:r>
      <w:hyperlink w:anchor="ref-leto2024toward">
        <w:r>
          <w:rPr>
            <w:rStyle w:val="Hyperlink"/>
          </w:rPr>
          <w:t xml:space="preserve">2024</w:t>
        </w:r>
      </w:hyperlink>
      <w:r>
        <w:t xml:space="preserve">)</w:t>
      </w:r>
      <w:r>
        <w:t xml:space="preserve"> </w:t>
      </w:r>
      <w:r>
        <w:t xml:space="preserve">vary the share of gold passages and the accuracy of approximate search for one dense retriever and find that gold-document recall matters far more than search recall.</w:t>
      </w:r>
      <w:r>
        <w:t xml:space="preserve"> </w:t>
      </w:r>
      <w:r>
        <w:t xml:space="preserve">Hitl, Bagić Babac, and Mornar (</w:t>
      </w:r>
      <w:hyperlink w:anchor="ref-hitl2026comparative">
        <w:r>
          <w:rPr>
            <w:rStyle w:val="Hyperlink"/>
          </w:rPr>
          <w:t xml:space="preserve">2026</w:t>
        </w:r>
      </w:hyperlink>
      <w:r>
        <w:t xml:space="preserve">)</w:t>
      </w:r>
      <w:r>
        <w:t xml:space="preserve"> </w:t>
      </w:r>
      <w:r>
        <w:t xml:space="preserve">benchmark combinations of embedding models and 7–9B generators with recall, EM, F1 and latency, and conclude that retrieval quality remained the main determinant of end-to-end quality; their abstract reports no paired ratio of answer gain to retrieval gain. Domain studies report retrieval gains that did not improve answers</w:t>
      </w:r>
      <w:r>
        <w:t xml:space="preserve"> </w:t>
      </w:r>
      <w:r>
        <w:t xml:space="preserve">(</w:t>
      </w:r>
      <w:hyperlink w:anchor="ref-mathur2026policy">
        <w:r>
          <w:rPr>
            <w:rStyle w:val="Hyperlink"/>
          </w:rPr>
          <w:t xml:space="preserve">Mathur et al. 2026</w:t>
        </w:r>
      </w:hyperlink>
      <w:r>
        <w:t xml:space="preserve">;</w:t>
      </w:r>
      <w:r>
        <w:t xml:space="preserve"> </w:t>
      </w:r>
      <w:hyperlink w:anchor="ref-medrano2026fusion">
        <w:r>
          <w:rPr>
            <w:rStyle w:val="Hyperlink"/>
          </w:rPr>
          <w:t xml:space="preserve">Medrano, Verma, and Chhabra 2026</w:t>
        </w:r>
      </w:hyperlink>
      <w:r>
        <w:t xml:space="preserve">;</w:t>
      </w:r>
      <w:r>
        <w:t xml:space="preserve"> </w:t>
      </w:r>
      <w:hyperlink w:anchor="ref-muthyam2026systems">
        <w:r>
          <w:rPr>
            <w:rStyle w:val="Hyperlink"/>
          </w:rPr>
          <w:t xml:space="preserve">Muthyam 2026</w:t>
        </w:r>
      </w:hyperlink>
      <w:r>
        <w:t xml:space="preserve">;</w:t>
      </w:r>
      <w:r>
        <w:t xml:space="preserve"> </w:t>
      </w:r>
      <w:hyperlink w:anchor="ref-ghosh2026evidence">
        <w:r>
          <w:rPr>
            <w:rStyle w:val="Hyperlink"/>
          </w:rPr>
          <w:t xml:space="preserve">Ghosh, Mukhopadhyay, and Chatterjee 2026</w:t>
        </w:r>
      </w:hyperlink>
      <w:r>
        <w:t xml:space="preserve">)</w:t>
      </w:r>
      <w:r>
        <w:t xml:space="preserve">.</w:t>
      </w:r>
      <w:r>
        <w:t xml:space="preserve"> </w:t>
      </w:r>
      <w:r>
        <w:t xml:space="preserve">Bala (</w:t>
      </w:r>
      <w:hyperlink w:anchor="ref-bala2026recall">
        <w:r>
          <w:rPr>
            <w:rStyle w:val="Hyperlink"/>
          </w:rPr>
          <w:t xml:space="preserve">2026</w:t>
        </w:r>
      </w:hyperlink>
      <w:r>
        <w:t xml:space="preserve">)</w:t>
      </w:r>
      <w:r>
        <w:t xml:space="preserve"> </w:t>
      </w:r>
      <w:r>
        <w:t xml:space="preserve">show that recall of the retrieved set can differ from what reaches the reader once a context budget forces truncation.</w:t>
      </w:r>
    </w:p>
    <w:bookmarkEnd w:id="22"/>
    <w:bookmarkStart w:id="23" w:name="context-composition"/>
    <w:p>
      <w:pPr>
        <w:pStyle w:val="Heading2"/>
      </w:pPr>
      <w:r>
        <w:t xml:space="preserve">Context composition</w:t>
      </w:r>
    </w:p>
    <w:p>
      <w:pPr>
        <w:pStyle w:val="FirstParagraph"/>
      </w:pPr>
      <w:r>
        <w:t xml:space="preserve">Readers are sensitive to the passages placed next to the gold passage.</w:t>
      </w:r>
      <w:r>
        <w:t xml:space="preserve"> </w:t>
      </w:r>
      <w:r>
        <w:t xml:space="preserve">Shi et al. (</w:t>
      </w:r>
      <w:hyperlink w:anchor="ref-shi2023distracted">
        <w:r>
          <w:rPr>
            <w:rStyle w:val="Hyperlink"/>
          </w:rPr>
          <w:t xml:space="preserve">2023</w:t>
        </w:r>
      </w:hyperlink>
      <w:r>
        <w:t xml:space="preserve">)</w:t>
      </w:r>
      <w:r>
        <w:t xml:space="preserve"> </w:t>
      </w:r>
      <w:r>
        <w:t xml:space="preserve">show that irrelevant context distracts language models.</w:t>
      </w:r>
      <w:r>
        <w:t xml:space="preserve"> </w:t>
      </w:r>
      <w:r>
        <w:t xml:space="preserve">Cuconasu et al. (</w:t>
      </w:r>
      <w:hyperlink w:anchor="ref-cuconasu2024power">
        <w:r>
          <w:rPr>
            <w:rStyle w:val="Hyperlink"/>
          </w:rPr>
          <w:t xml:space="preserve">2024</w:t>
        </w:r>
      </w:hyperlink>
      <w:r>
        <w:t xml:space="preserve">)</w:t>
      </w:r>
      <w:r>
        <w:t xml:space="preserve"> </w:t>
      </w:r>
      <w:r>
        <w:t xml:space="preserve">find that high-scoring passages without the answer lower accuracy, while random passages placed before the gold passage can raise it.</w:t>
      </w:r>
      <w:r>
        <w:t xml:space="preserve"> </w:t>
      </w:r>
      <w:r>
        <w:t xml:space="preserve">Amiraz et al. (</w:t>
      </w:r>
      <w:hyperlink w:anchor="ref-amiraz2025distracting">
        <w:r>
          <w:rPr>
            <w:rStyle w:val="Hyperlink"/>
          </w:rPr>
          <w:t xml:space="preserve">2025</w:t>
        </w:r>
      </w:hyperlink>
      <w:r>
        <w:t xml:space="preserve">)</w:t>
      </w:r>
      <w:r>
        <w:t xml:space="preserve"> </w:t>
      </w:r>
      <w:r>
        <w:t xml:space="preserve">quantify a distracting effect per passage.</w:t>
      </w:r>
      <w:r>
        <w:t xml:space="preserve"> </w:t>
      </w:r>
      <w:r>
        <w:t xml:space="preserve">Jin et al. (</w:t>
      </w:r>
      <w:hyperlink w:anchor="ref-jin2024longcontext">
        <w:r>
          <w:rPr>
            <w:rStyle w:val="Hyperlink"/>
          </w:rPr>
          <w:t xml:space="preserve">2024</w:t>
        </w:r>
      </w:hyperlink>
      <w:r>
        <w:t xml:space="preserve">)</w:t>
      </w:r>
      <w:r>
        <w:t xml:space="preserve"> </w:t>
      </w:r>
      <w:r>
        <w:t xml:space="preserve">attribute the drop in quality at large retrieval depth to hard negatives, and</w:t>
      </w:r>
      <w:r>
        <w:t xml:space="preserve"> </w:t>
      </w:r>
      <w:r>
        <w:t xml:space="preserve">Repantis et al. (</w:t>
      </w:r>
      <w:hyperlink w:anchor="ref-repantis2026competition">
        <w:r>
          <w:rPr>
            <w:rStyle w:val="Hyperlink"/>
          </w:rPr>
          <w:t xml:space="preserve">2026</w:t>
        </w:r>
      </w:hyperlink>
      <w:r>
        <w:t xml:space="preserve">)</w:t>
      </w:r>
      <w:r>
        <w:t xml:space="preserve"> </w:t>
      </w:r>
      <w:r>
        <w:t xml:space="preserve">isolate competition between passages from context length. Position effects were reported for long contexts</w:t>
      </w:r>
      <w:r>
        <w:t xml:space="preserve"> </w:t>
      </w:r>
      <w:r>
        <w:t xml:space="preserve">(</w:t>
      </w:r>
      <w:hyperlink w:anchor="ref-liu2024lost">
        <w:r>
          <w:rPr>
            <w:rStyle w:val="Hyperlink"/>
          </w:rPr>
          <w:t xml:space="preserve">Liu et al. 2024</w:t>
        </w:r>
      </w:hyperlink>
      <w:r>
        <w:t xml:space="preserve">)</w:t>
      </w:r>
      <w:r>
        <w:t xml:space="preserve">, but</w:t>
      </w:r>
      <w:r>
        <w:t xml:space="preserve"> </w:t>
      </w:r>
      <w:r>
        <w:t xml:space="preserve">Cuconasu et al. (</w:t>
      </w:r>
      <w:hyperlink w:anchor="ref-cuconasu2025positional">
        <w:r>
          <w:rPr>
            <w:rStyle w:val="Hyperlink"/>
          </w:rPr>
          <w:t xml:space="preserve">2025</w:t>
        </w:r>
      </w:hyperlink>
      <w:r>
        <w:t xml:space="preserve">)</w:t>
      </w:r>
      <w:r>
        <w:t xml:space="preserve"> </w:t>
      </w:r>
      <w:r>
        <w:t xml:space="preserve">find them marginal in realistic retrieval settings.</w:t>
      </w:r>
      <w:r>
        <w:t xml:space="preserve"> </w:t>
      </w:r>
      <w:r>
        <w:t xml:space="preserve">Hsia et al. (</w:t>
      </w:r>
      <w:hyperlink w:anchor="ref-hsia2025ragged">
        <w:r>
          <w:rPr>
            <w:rStyle w:val="Hyperlink"/>
          </w:rPr>
          <w:t xml:space="preserve">2025</w:t>
        </w:r>
      </w:hyperlink>
      <w:r>
        <w:t xml:space="preserve">)</w:t>
      </w:r>
      <w:r>
        <w:t xml:space="preserve"> </w:t>
      </w:r>
      <w:r>
        <w:t xml:space="preserve">report that the reader’s tolerance of noise shapes how a RAG system scales with retrieval depth, and</w:t>
      </w:r>
      <w:r>
        <w:t xml:space="preserve"> </w:t>
      </w:r>
      <w:r>
        <w:t xml:space="preserve">Zhao et al. (</w:t>
      </w:r>
      <w:hyperlink w:anchor="ref-zhao2026design">
        <w:r>
          <w:rPr>
            <w:rStyle w:val="Hyperlink"/>
          </w:rPr>
          <w:t xml:space="preserve">2026</w:t>
        </w:r>
      </w:hyperlink>
      <w:r>
        <w:t xml:space="preserve">)</w:t>
      </w:r>
      <w:r>
        <w:t xml:space="preserve"> </w:t>
      </w:r>
      <w:r>
        <w:t xml:space="preserve">find that 5–10 documents work best for question answering across several models.</w:t>
      </w:r>
    </w:p>
    <w:bookmarkEnd w:id="23"/>
    <w:bookmarkStart w:id="24" w:name="encoder-cost"/>
    <w:p>
      <w:pPr>
        <w:pStyle w:val="Heading2"/>
      </w:pPr>
      <w:r>
        <w:t xml:space="preserve">Encoder cost</w:t>
      </w:r>
    </w:p>
    <w:p>
      <w:pPr>
        <w:pStyle w:val="FirstParagraph"/>
      </w:pPr>
      <w:r>
        <w:t xml:space="preserve">Embedding benchmarks report quality; cost is rarely measured in the same study.</w:t>
      </w:r>
      <w:r>
        <w:t xml:space="preserve"> </w:t>
      </w:r>
      <w:r>
        <w:t xml:space="preserve">Assadi, Muennighoff, and Lee (</w:t>
      </w:r>
      <w:hyperlink w:anchor="ref-elassadi2026embedder">
        <w:r>
          <w:rPr>
            <w:rStyle w:val="Hyperlink"/>
          </w:rPr>
          <w:t xml:space="preserve">2026</w:t>
        </w:r>
      </w:hyperlink>
      <w:r>
        <w:t xml:space="preserve">)</w:t>
      </w:r>
      <w:r>
        <w:t xml:space="preserve"> </w:t>
      </w:r>
      <w:r>
        <w:t xml:space="preserve">compare the cost of embedding models and language models on embedding tasks, without a reader. Approximate nearest-neighbour search reduces query cost</w:t>
      </w:r>
      <w:r>
        <w:t xml:space="preserve"> </w:t>
      </w:r>
      <w:r>
        <w:t xml:space="preserve">(</w:t>
      </w:r>
      <w:hyperlink w:anchor="ref-malkov2020hnsw">
        <w:r>
          <w:rPr>
            <w:rStyle w:val="Hyperlink"/>
          </w:rPr>
          <w:t xml:space="preserve">Malkov and Yashunin 2020</w:t>
        </w:r>
      </w:hyperlink>
      <w:r>
        <w:t xml:space="preserve">;</w:t>
      </w:r>
      <w:r>
        <w:t xml:space="preserve"> </w:t>
      </w:r>
      <w:hyperlink w:anchor="ref-johnson2021faiss">
        <w:r>
          <w:rPr>
            <w:rStyle w:val="Hyperlink"/>
          </w:rPr>
          <w:t xml:space="preserve">Johnson, Douze, and Jegou 2021</w:t>
        </w:r>
      </w:hyperlink>
      <w:r>
        <w:t xml:space="preserve">)</w:t>
      </w:r>
      <w:r>
        <w:t xml:space="preserve">;</w:t>
      </w:r>
      <w:r>
        <w:t xml:space="preserve"> </w:t>
      </w:r>
      <w:r>
        <w:t xml:space="preserve">Leto et al. (</w:t>
      </w:r>
      <w:hyperlink w:anchor="ref-leto2024toward">
        <w:r>
          <w:rPr>
            <w:rStyle w:val="Hyperlink"/>
          </w:rPr>
          <w:t xml:space="preserve">2024</w:t>
        </w:r>
      </w:hyperlink>
      <w:r>
        <w:t xml:space="preserve">)</w:t>
      </w:r>
      <w:r>
        <w:t xml:space="preserve"> </w:t>
      </w:r>
      <w:r>
        <w:t xml:space="preserve">find that it changes answer quality little. Efficient serving</w:t>
      </w:r>
      <w:r>
        <w:t xml:space="preserve"> </w:t>
      </w:r>
      <w:r>
        <w:t xml:space="preserve">(</w:t>
      </w:r>
      <w:hyperlink w:anchor="ref-kwon2023vllm">
        <w:r>
          <w:rPr>
            <w:rStyle w:val="Hyperlink"/>
          </w:rPr>
          <w:t xml:space="preserve">Kwon et al. 2023</w:t>
        </w:r>
      </w:hyperlink>
      <w:r>
        <w:t xml:space="preserve">)</w:t>
      </w:r>
      <w:r>
        <w:t xml:space="preserve"> </w:t>
      </w:r>
      <w:r>
        <w:t xml:space="preserve">and weight quantisation</w:t>
      </w:r>
      <w:r>
        <w:t xml:space="preserve"> </w:t>
      </w:r>
      <w:r>
        <w:t xml:space="preserve">(</w:t>
      </w:r>
      <w:hyperlink w:anchor="ref-lin2024awq">
        <w:r>
          <w:rPr>
            <w:rStyle w:val="Hyperlink"/>
          </w:rPr>
          <w:t xml:space="preserve">Lin et al. 2024</w:t>
        </w:r>
      </w:hyperlink>
      <w:r>
        <w:t xml:space="preserve">)</w:t>
      </w:r>
      <w:r>
        <w:t xml:space="preserve"> </w:t>
      </w:r>
      <w:r>
        <w:t xml:space="preserve">make 7–8B readers fit on one consumer-grade GPU.</w:t>
      </w:r>
    </w:p>
    <w:bookmarkEnd w:id="24"/>
    <w:bookmarkStart w:id="25" w:name="evaluation-practice"/>
    <w:p>
      <w:pPr>
        <w:pStyle w:val="Heading2"/>
      </w:pPr>
      <w:r>
        <w:t xml:space="preserve">Evaluation practice</w:t>
      </w:r>
    </w:p>
    <w:p>
      <w:pPr>
        <w:pStyle w:val="FirstParagraph"/>
      </w:pPr>
      <w:r>
        <w:t xml:space="preserve">RAG evaluation frameworks use language models as judges</w:t>
      </w:r>
      <w:r>
        <w:t xml:space="preserve"> </w:t>
      </w:r>
      <w:r>
        <w:t xml:space="preserve">(</w:t>
      </w:r>
      <w:hyperlink w:anchor="ref-es2024ragas">
        <w:r>
          <w:rPr>
            <w:rStyle w:val="Hyperlink"/>
          </w:rPr>
          <w:t xml:space="preserve">Es et al. 2024</w:t>
        </w:r>
      </w:hyperlink>
      <w:r>
        <w:t xml:space="preserve">;</w:t>
      </w:r>
      <w:r>
        <w:t xml:space="preserve"> </w:t>
      </w:r>
      <w:hyperlink w:anchor="ref-saadfalcon2024ares">
        <w:r>
          <w:rPr>
            <w:rStyle w:val="Hyperlink"/>
          </w:rPr>
          <w:t xml:space="preserve">Saad-Falcon et al. 2024</w:t>
        </w:r>
      </w:hyperlink>
      <w:r>
        <w:t xml:space="preserve">;</w:t>
      </w:r>
      <w:r>
        <w:t xml:space="preserve"> </w:t>
      </w:r>
      <w:hyperlink w:anchor="ref-zheng2023judge">
        <w:r>
          <w:rPr>
            <w:rStyle w:val="Hyperlink"/>
          </w:rPr>
          <w:t xml:space="preserve">Zheng et al. 2023</w:t>
        </w:r>
      </w:hyperlink>
      <w:r>
        <w:t xml:space="preserve">)</w:t>
      </w:r>
      <w:r>
        <w:t xml:space="preserve">, and benchmarks package many retrievers and readers</w:t>
      </w:r>
      <w:r>
        <w:t xml:space="preserve"> </w:t>
      </w:r>
      <w:r>
        <w:t xml:space="preserve">(</w:t>
      </w:r>
      <w:hyperlink w:anchor="ref-rau2024bergen">
        <w:r>
          <w:rPr>
            <w:rStyle w:val="Hyperlink"/>
          </w:rPr>
          <w:t xml:space="preserve">Rau et al. 2024</w:t>
        </w:r>
      </w:hyperlink>
      <w:r>
        <w:t xml:space="preserve">;</w:t>
      </w:r>
      <w:r>
        <w:t xml:space="preserve"> </w:t>
      </w:r>
      <w:hyperlink w:anchor="ref-petroni2021kilt">
        <w:r>
          <w:rPr>
            <w:rStyle w:val="Hyperlink"/>
          </w:rPr>
          <w:t xml:space="preserve">Petroni et al. 2021</w:t>
        </w:r>
      </w:hyperlink>
      <w:r>
        <w:t xml:space="preserve">;</w:t>
      </w:r>
      <w:r>
        <w:t xml:space="preserve"> </w:t>
      </w:r>
      <w:hyperlink w:anchor="ref-lyu2025crud">
        <w:r>
          <w:rPr>
            <w:rStyle w:val="Hyperlink"/>
          </w:rPr>
          <w:t xml:space="preserve">Lyu et al. 2025</w:t>
        </w:r>
      </w:hyperlink>
      <w:r>
        <w:t xml:space="preserve">)</w:t>
      </w:r>
      <w:r>
        <w:t xml:space="preserve">. Lexical EM undercounts correct answers from language models</w:t>
      </w:r>
      <w:r>
        <w:t xml:space="preserve"> </w:t>
      </w:r>
      <w:r>
        <w:t xml:space="preserve">(</w:t>
      </w:r>
      <w:hyperlink w:anchor="ref-kamalloo2023">
        <w:r>
          <w:rPr>
            <w:rStyle w:val="Hyperlink"/>
          </w:rPr>
          <w:t xml:space="preserve">Kamalloo et al. 2023</w:t>
        </w:r>
      </w:hyperlink>
      <w:r>
        <w:t xml:space="preserve">)</w:t>
      </w:r>
      <w:r>
        <w:t xml:space="preserve">; we therefore also report token F1 and answer containment. For significance testing we follow advice from natural language processing and information retrieval: paired tests, multiplicity control and effect sizes with intervals</w:t>
      </w:r>
      <w:r>
        <w:t xml:space="preserve"> </w:t>
      </w:r>
      <w:r>
        <w:t xml:space="preserve">(</w:t>
      </w:r>
      <w:hyperlink w:anchor="ref-dror2018">
        <w:r>
          <w:rPr>
            <w:rStyle w:val="Hyperlink"/>
          </w:rPr>
          <w:t xml:space="preserve">Dror et al. 2018</w:t>
        </w:r>
      </w:hyperlink>
      <w:r>
        <w:t xml:space="preserve">;</w:t>
      </w:r>
      <w:r>
        <w:t xml:space="preserve"> </w:t>
      </w:r>
      <w:hyperlink w:anchor="ref-smucker2007">
        <w:r>
          <w:rPr>
            <w:rStyle w:val="Hyperlink"/>
          </w:rPr>
          <w:t xml:space="preserve">Smucker, Allan, and Carterette 2007</w:t>
        </w:r>
      </w:hyperlink>
      <w:r>
        <w:t xml:space="preserve">;</w:t>
      </w:r>
      <w:r>
        <w:t xml:space="preserve"> </w:t>
      </w:r>
      <w:hyperlink w:anchor="ref-sakai2014">
        <w:r>
          <w:rPr>
            <w:rStyle w:val="Hyperlink"/>
          </w:rPr>
          <w:t xml:space="preserve">Sakai 2014</w:t>
        </w:r>
      </w:hyperlink>
      <w:r>
        <w:t xml:space="preserve">)</w:t>
      </w:r>
      <w:r>
        <w:t xml:space="preserve">.</w:t>
      </w:r>
    </w:p>
    <w:bookmarkEnd w:id="25"/>
    <w:bookmarkEnd w:id="26"/>
    <w:bookmarkStart w:id="55" w:name="sec:method"/>
    <w:p>
      <w:pPr>
        <w:pStyle w:val="Heading1"/>
      </w:pPr>
      <w:r>
        <w:t xml:space="preserve">Method</w:t>
      </w:r>
    </w:p>
    <w:p>
      <w:pPr>
        <w:pStyle w:val="FirstParagraph"/>
      </w:pPr>
      <w:r>
        <w:t xml:space="preserve">Fig. </w:t>
      </w:r>
      <w:hyperlink w:anchor="fig:system">
        <w:r>
          <w:rPr>
            <w:rStyle w:val="Hyperlink"/>
          </w:rPr>
          <w:t xml:space="preserve">1</w:t>
        </w:r>
      </w:hyperlink>
      <w:r>
        <w:t xml:space="preserve"> </w:t>
      </w:r>
      <w:r>
        <w:t xml:space="preserve">shows the system under test. A question goes to one of seven retrievers, which searches a fixed corpus; the top</w:t>
      </w:r>
      <w:r>
        <w:t xml:space="preserve"> </w:t>
      </w:r>
      <m:oMath>
        <m:r>
          <m:t>k</m:t>
        </m:r>
      </m:oMath>
      <w:r>
        <w:t xml:space="preserve"> </w:t>
      </w:r>
      <w:r>
        <w:t xml:space="preserve">passages go to one of two readers; the answer is scored against reference answers. Only the retriever changes between conditions within a reader–dataset cell.</w:t>
      </w:r>
    </w:p>
    <w:p>
      <w:pPr>
        <w:pStyle w:val="CaptionedFigure"/>
      </w:pPr>
      <w:r>
        <w:drawing>
          <wp:inline>
            <wp:extent cx="5334000" cy="1936586"/>
            <wp:effectExtent b="0" l="0" r="0" t="0"/>
            <wp:docPr descr="" title="" id="28" name="Picture"/>
            <a:graphic>
              <a:graphicData uri="http://schemas.openxmlformats.org/drawingml/2006/picture">
                <pic:pic>
                  <pic:nvPicPr>
                    <pic:cNvPr descr="/home/claude/rag-embed-transfer/paper_figures/out/fig7_system.png" id="29" name="Picture"/>
                    <pic:cNvPicPr>
                      <a:picLocks noChangeArrowheads="1" noChangeAspect="1"/>
                    </pic:cNvPicPr>
                  </pic:nvPicPr>
                  <pic:blipFill>
                    <a:blip r:embed="rId27"/>
                    <a:stretch>
                      <a:fillRect/>
                    </a:stretch>
                  </pic:blipFill>
                  <pic:spPr bwMode="auto">
                    <a:xfrm>
                      <a:off x="0" y="0"/>
                      <a:ext cx="5334000" cy="1936586"/>
                    </a:xfrm>
                    <a:prstGeom prst="rect">
                      <a:avLst/>
                    </a:prstGeom>
                    <a:noFill/>
                    <a:ln w="9525">
                      <a:noFill/>
                      <a:headEnd/>
                      <a:tailEnd/>
                    </a:ln>
                  </pic:spPr>
                </pic:pic>
              </a:graphicData>
            </a:graphic>
          </wp:inline>
        </w:drawing>
      </w:r>
    </w:p>
    <w:p>
      <w:pPr>
        <w:pStyle w:val="ImageCaption"/>
      </w:pPr>
      <w:r>
        <w:t xml:space="preserve">System under test. Within a reader–dataset cell only the retriever changes. Cost is measured at the retrieval stage. The LLM judge was used only in Phase 1 and was later excluded (Section </w:t>
      </w:r>
      <w:hyperlink w:anchor="sec:res-judge">
        <w:r>
          <w:rPr>
            <w:rStyle w:val="Hyperlink"/>
          </w:rPr>
          <w:t xml:space="preserve">5.9</w:t>
        </w:r>
      </w:hyperlink>
      <w:r>
        <w:t xml:space="preserve">).</w:t>
      </w:r>
    </w:p>
    <w:bookmarkStart w:id="32" w:name="sec:ratio"/>
    <w:p>
      <w:pPr>
        <w:pStyle w:val="Heading2"/>
      </w:pPr>
      <w:r>
        <w:t xml:space="preserve">Transfer ratio</w:t>
      </w:r>
    </w:p>
    <w:p>
      <w:pPr>
        <w:pStyle w:val="FirstParagraph"/>
      </w:pPr>
      <w:r>
        <w:t xml:space="preserve">Let</w:t>
      </w:r>
      <w:r>
        <w:t xml:space="preserve"> </w:t>
      </w:r>
      <m:oMath>
        <m:r>
          <m:t>Q</m:t>
        </m:r>
      </m:oMath>
      <w:r>
        <w:t xml:space="preserve"> </w:t>
      </w:r>
      <w:r>
        <w:t xml:space="preserve">be a fixed set of generation queries. For retriever</w:t>
      </w:r>
      <w:r>
        <w:t xml:space="preserve"> </w:t>
      </w:r>
      <m:oMath>
        <m:r>
          <m:t>R</m:t>
        </m:r>
      </m:oMath>
      <w:r>
        <w:t xml:space="preserve"> </w:t>
      </w:r>
      <w:r>
        <w:t xml:space="preserve">and query</w:t>
      </w:r>
      <w:r>
        <w:t xml:space="preserve"> </w:t>
      </w:r>
      <m:oMath>
        <m:r>
          <m:t>q</m:t>
        </m:r>
      </m:oMath>
      <w:r>
        <w:t xml:space="preserve">, let</w:t>
      </w:r>
      <w:r>
        <w:t xml:space="preserve"> </w:t>
      </w:r>
      <m:oMath>
        <m:sSub>
          <m:e>
            <m:r>
              <m:t>h</m:t>
            </m:r>
          </m:e>
          <m:sub>
            <m:r>
              <m:t>R</m:t>
            </m:r>
          </m:sub>
        </m:sSub>
        <m:d>
          <m:dPr>
            <m:begChr m:val="("/>
            <m:endChr m:val=")"/>
            <m:sepChr m:val=""/>
            <m:grow/>
          </m:dPr>
          <m:e>
            <m:r>
              <m:t>q</m:t>
            </m:r>
          </m:e>
        </m:d>
        <m:r>
          <m:rPr>
            <m:sty m:val="p"/>
          </m:rPr>
          <m:t>∈</m:t>
        </m:r>
        <m:r>
          <m:rPr>
            <m:sty m:val="p"/>
          </m:rPr>
          <m:t>{</m:t>
        </m:r>
        <m:r>
          <m:t>0</m:t>
        </m:r>
        <m:r>
          <m:rPr>
            <m:sty m:val="p"/>
          </m:rPr>
          <m:t>,</m:t>
        </m:r>
        <m:r>
          <m:t>1</m:t>
        </m:r>
        <m:r>
          <m:rPr>
            <m:sty m:val="p"/>
          </m:rPr>
          <m:t>}</m:t>
        </m:r>
      </m:oMath>
      <w:r>
        <w:t xml:space="preserve"> </w:t>
      </w:r>
      <w:r>
        <w:t xml:space="preserve">indicate that at least one gold passage of</w:t>
      </w:r>
      <w:r>
        <w:t xml:space="preserve"> </w:t>
      </w:r>
      <m:oMath>
        <m:r>
          <m:t>q</m:t>
        </m:r>
      </m:oMath>
      <w:r>
        <w:t xml:space="preserve"> </w:t>
      </w:r>
      <w:r>
        <w:t xml:space="preserve">is among the top five passages, and let</w:t>
      </w:r>
      <w:r>
        <w:t xml:space="preserve"> </w:t>
      </w:r>
      <m:oMath>
        <m:sSub>
          <m:e>
            <m:r>
              <m:t>e</m:t>
            </m:r>
          </m:e>
          <m:sub>
            <m:r>
              <m:t>R</m:t>
            </m:r>
          </m:sub>
        </m:sSub>
        <m:d>
          <m:dPr>
            <m:begChr m:val="("/>
            <m:endChr m:val=")"/>
            <m:sepChr m:val=""/>
            <m:grow/>
          </m:dPr>
          <m:e>
            <m:r>
              <m:t>q</m:t>
            </m:r>
          </m:e>
        </m:d>
        <m:r>
          <m:rPr>
            <m:sty m:val="p"/>
          </m:rPr>
          <m:t>∈</m:t>
        </m:r>
        <m:r>
          <m:rPr>
            <m:sty m:val="p"/>
          </m:rPr>
          <m:t>{</m:t>
        </m:r>
        <m:r>
          <m:t>0</m:t>
        </m:r>
        <m:r>
          <m:rPr>
            <m:sty m:val="p"/>
          </m:rPr>
          <m:t>,</m:t>
        </m:r>
        <m:r>
          <m:t>1</m:t>
        </m:r>
        <m:r>
          <m:rPr>
            <m:sty m:val="p"/>
          </m:rPr>
          <m:t>}</m:t>
        </m:r>
      </m:oMath>
      <w:r>
        <w:t xml:space="preserve"> </w:t>
      </w:r>
      <w:r>
        <w:t xml:space="preserve">be the exact match of the reader’s answer given those five passages. Write</w:t>
      </w:r>
      <w:r>
        <w:t xml:space="preserve"> </w:t>
      </w:r>
      <m:oMath>
        <m:sSub>
          <m:e>
            <m:acc>
              <m:accPr>
                <m:chr m:val="‾"/>
              </m:accPr>
              <m:e>
                <m:r>
                  <m:t>h</m:t>
                </m:r>
              </m:e>
            </m:acc>
          </m:e>
          <m:sub>
            <m:r>
              <m:t>R</m:t>
            </m:r>
          </m:sub>
        </m:sSub>
      </m:oMath>
      <w:r>
        <w:t xml:space="preserve"> </w:t>
      </w:r>
      <w:r>
        <w:t xml:space="preserve">and</w:t>
      </w:r>
      <w:r>
        <w:t xml:space="preserve"> </w:t>
      </w:r>
      <m:oMath>
        <m:sSub>
          <m:e>
            <m:acc>
              <m:accPr>
                <m:chr m:val="‾"/>
              </m:accPr>
              <m:e>
                <m:r>
                  <m:t>e</m:t>
                </m:r>
              </m:e>
            </m:acc>
          </m:e>
          <m:sub>
            <m:r>
              <m:t>R</m:t>
            </m:r>
          </m:sub>
        </m:sSub>
      </m:oMath>
      <w:r>
        <w:t xml:space="preserve"> </w:t>
      </w:r>
      <w:r>
        <w:t xml:space="preserve">for the means over</w:t>
      </w:r>
      <w:r>
        <w:t xml:space="preserve"> </w:t>
      </w:r>
      <m:oMath>
        <m:r>
          <m:t>Q</m:t>
        </m:r>
      </m:oMath>
      <w:r>
        <w:t xml:space="preserve">. With MiniLM-L6 as the baseline</w:t>
      </w:r>
      <w:r>
        <w:t xml:space="preserve"> </w:t>
      </w:r>
      <m:oMath>
        <m:sSub>
          <m:e>
            <m:r>
              <m:t>R</m:t>
            </m:r>
          </m:e>
          <m:sub>
            <m:r>
              <m:t>1</m:t>
            </m:r>
          </m:sub>
        </m:sSub>
      </m:oMath>
      <w:r>
        <w:t xml:space="preserve">, the transfer ratio is</w:t>
      </w:r>
    </w:p>
    <w:p>
      <w:pPr>
        <w:pStyle w:val="BodyText"/>
      </w:pPr>
      <m:oMathPara>
        <m:oMathParaPr>
          <m:jc m:val="center"/>
        </m:oMathParaPr>
        <m:oMath>
          <m:r>
            <m:t>T</m:t>
          </m:r>
          <m:d>
            <m:dPr>
              <m:begChr m:val="("/>
              <m:endChr m:val=")"/>
              <m:sepChr m:val=""/>
              <m:grow/>
            </m:dPr>
            <m:e>
              <m:r>
                <m:t>R</m:t>
              </m:r>
            </m:e>
          </m:d>
          <m:r>
            <m:rPr>
              <m:sty m:val="p"/>
            </m:rPr>
            <m:t>=</m:t>
          </m:r>
          <m:f>
            <m:fPr>
              <m:type m:val="bar"/>
            </m:fPr>
            <m:num>
              <m:sSub>
                <m:e>
                  <m:acc>
                    <m:accPr>
                      <m:chr m:val="‾"/>
                    </m:accPr>
                    <m:e>
                      <m:r>
                        <m:t>e</m:t>
                      </m:r>
                    </m:e>
                  </m:acc>
                </m:e>
                <m:sub>
                  <m:r>
                    <m:t>R</m:t>
                  </m:r>
                </m:sub>
              </m:sSub>
              <m:r>
                <m:rPr>
                  <m:sty m:val="p"/>
                </m:rPr>
                <m:t>−</m:t>
              </m:r>
              <m:sSub>
                <m:e>
                  <m:acc>
                    <m:accPr>
                      <m:chr m:val="‾"/>
                    </m:accPr>
                    <m:e>
                      <m:r>
                        <m:t>e</m:t>
                      </m:r>
                    </m:e>
                  </m:acc>
                </m:e>
                <m:sub>
                  <m:sSub>
                    <m:e>
                      <m:r>
                        <m:t>R</m:t>
                      </m:r>
                    </m:e>
                    <m:sub>
                      <m:r>
                        <m:t>1</m:t>
                      </m:r>
                    </m:sub>
                  </m:sSub>
                </m:sub>
              </m:sSub>
            </m:num>
            <m:den>
              <m:sSub>
                <m:e>
                  <m:acc>
                    <m:accPr>
                      <m:chr m:val="‾"/>
                    </m:accPr>
                    <m:e>
                      <m:r>
                        <m:t>h</m:t>
                      </m:r>
                    </m:e>
                  </m:acc>
                </m:e>
                <m:sub>
                  <m:r>
                    <m:t>R</m:t>
                  </m:r>
                </m:sub>
              </m:sSub>
              <m:r>
                <m:rPr>
                  <m:sty m:val="p"/>
                </m:rPr>
                <m:t>−</m:t>
              </m:r>
              <m:sSub>
                <m:e>
                  <m:acc>
                    <m:accPr>
                      <m:chr m:val="‾"/>
                    </m:accPr>
                    <m:e>
                      <m:r>
                        <m:t>h</m:t>
                      </m:r>
                    </m:e>
                  </m:acc>
                </m:e>
                <m:sub>
                  <m:sSub>
                    <m:e>
                      <m:r>
                        <m:t>R</m:t>
                      </m:r>
                    </m:e>
                    <m:sub>
                      <m:r>
                        <m:t>1</m:t>
                      </m:r>
                    </m:sub>
                  </m:sSub>
                </m:sub>
              </m:sSub>
            </m:den>
          </m:f>
          <m:r>
            <m:rPr>
              <m:sty m:val="p"/>
            </m:rPr>
            <m:t>.</m:t>
          </m:r>
        </m:oMath>
      </m:oMathPara>
    </w:p>
    <w:p>
      <w:pPr>
        <w:pStyle w:val="FirstParagraph"/>
      </w:pPr>
      <w:r>
        <w:t xml:space="preserve">Both differences are paired: they use the same queries, the same reader, the same prompt and the same decoding.</w:t>
      </w:r>
      <w:r>
        <w:t xml:space="preserve"> </w:t>
      </w:r>
      <m:oMath>
        <m:r>
          <m:t>T</m:t>
        </m:r>
        <m:d>
          <m:dPr>
            <m:begChr m:val="("/>
            <m:endChr m:val=")"/>
            <m:sepChr m:val=""/>
            <m:grow/>
          </m:dPr>
          <m:e>
            <m:r>
              <m:t>R</m:t>
            </m:r>
          </m:e>
        </m:d>
      </m:oMath>
      <w:r>
        <w:t xml:space="preserve"> </w:t>
      </w:r>
      <w:r>
        <w:t xml:space="preserve">is a ratio of mean differences. It is not the probability that one extra hit produces one extra correct answer, because the queries that gain a hit need not be the queries that gain an answer. Ratios are compared with the unrounded bootstrap bounds; a bound of exactly 1 counts as reaching 1. We report</w:t>
      </w:r>
      <w:r>
        <w:t xml:space="preserve"> </w:t>
      </w:r>
      <m:oMath>
        <m:r>
          <m:t>T</m:t>
        </m:r>
        <m:d>
          <m:dPr>
            <m:begChr m:val="("/>
            <m:endChr m:val=")"/>
            <m:sepChr m:val=""/>
            <m:grow/>
          </m:dPr>
          <m:e>
            <m:r>
              <m:t>R</m:t>
            </m:r>
          </m:e>
        </m:d>
      </m:oMath>
      <w:r>
        <w:t xml:space="preserve"> </w:t>
      </w:r>
      <w:r>
        <w:t xml:space="preserve">only if</w:t>
      </w:r>
      <w:r>
        <w:t xml:space="preserve"> </w:t>
      </w:r>
      <m:oMath>
        <m:d>
          <m:dPr>
            <m:begChr m:val="|"/>
            <m:endChr m:val="|"/>
            <m:sepChr m:val=""/>
            <m:grow/>
          </m:dPr>
          <m:e>
            <m:sSub>
              <m:e>
                <m:acc>
                  <m:accPr>
                    <m:chr m:val="‾"/>
                  </m:accPr>
                  <m:e>
                    <m:r>
                      <m:t>h</m:t>
                    </m:r>
                  </m:e>
                </m:acc>
              </m:e>
              <m:sub>
                <m:r>
                  <m:t>R</m:t>
                </m:r>
              </m:sub>
            </m:sSub>
            <m:r>
              <m:rPr>
                <m:sty m:val="p"/>
              </m:rPr>
              <m:t>−</m:t>
            </m:r>
            <m:sSub>
              <m:e>
                <m:acc>
                  <m:accPr>
                    <m:chr m:val="‾"/>
                  </m:accPr>
                  <m:e>
                    <m:r>
                      <m:t>h</m:t>
                    </m:r>
                  </m:e>
                </m:acc>
              </m:e>
              <m:sub>
                <m:sSub>
                  <m:e>
                    <m:r>
                      <m:t>R</m:t>
                    </m:r>
                  </m:e>
                  <m:sub>
                    <m:r>
                      <m:t>1</m:t>
                    </m:r>
                  </m:sub>
                </m:sSub>
              </m:sub>
            </m:sSub>
          </m:e>
        </m:d>
      </m:oMath>
      <w:r>
        <w:t xml:space="preserve"> </w:t>
      </w:r>
      <w:r>
        <w:t xml:space="preserve">exceeds 2 percentage points and the Hit@5 difference is significant after Holm correction; otherwise the ratio is marked as not estimable. This rule was fixed in the Phase 1 design to avoid ratios with near-zero denominators.</w:t>
      </w:r>
      <w:r>
        <w:t xml:space="preserve"> </w:t>
      </w:r>
      <m:oMath>
        <m:r>
          <m:t>T</m:t>
        </m:r>
        <m:d>
          <m:dPr>
            <m:begChr m:val="("/>
            <m:endChr m:val=")"/>
            <m:sepChr m:val=""/>
            <m:grow/>
          </m:dPr>
          <m:e>
            <m:r>
              <m:t>R</m:t>
            </m:r>
          </m:e>
        </m:d>
      </m:oMath>
      <w:r>
        <w:t xml:space="preserve"> </w:t>
      </w:r>
      <w:r>
        <w:t xml:space="preserve">depends on the choice of</w:t>
      </w:r>
      <w:r>
        <w:t xml:space="preserve"> </w:t>
      </w:r>
      <m:oMath>
        <m:sSub>
          <m:e>
            <m:r>
              <m:t>R</m:t>
            </m:r>
          </m:e>
          <m:sub>
            <m:r>
              <m:t>1</m:t>
            </m:r>
          </m:sub>
        </m:sSub>
      </m:oMath>
      <w:r>
        <w:t xml:space="preserve">. As post hoc sensitivity analyses we therefore repeat every ratio with BM25 as the baseline and, for HotpotQA, with Both@5 instead of Hit@5 in the denominator, under the same rule.</w:t>
      </w:r>
    </w:p>
    <w:bookmarkStart w:id="30" w:name="decomposition"/>
    <w:p>
      <w:pPr>
        <w:pStyle w:val="Heading4"/>
      </w:pPr>
      <w:r>
        <w:t xml:space="preserve">Decomposition</w:t>
      </w:r>
    </w:p>
    <w:p>
      <w:pPr>
        <w:pStyle w:val="FirstParagraph"/>
      </w:pPr>
      <w:r>
        <w:t xml:space="preserve">Let</w:t>
      </w:r>
      <w:r>
        <w:t xml:space="preserve"> </w:t>
      </w:r>
      <m:oMath>
        <m:sSub>
          <m:e>
            <m:r>
              <m:t>a</m:t>
            </m:r>
          </m:e>
          <m:sub>
            <m:r>
              <m:t>R</m:t>
            </m:r>
          </m:sub>
        </m:sSub>
        <m:r>
          <m:rPr>
            <m:sty m:val="p"/>
          </m:rPr>
          <m:t>=</m:t>
        </m:r>
        <m:r>
          <m:t>P</m:t>
        </m:r>
        <m:d>
          <m:dPr>
            <m:begChr m:val="("/>
            <m:endChr m:val=")"/>
            <m:sepChr m:val=""/>
            <m:grow/>
          </m:dPr>
          <m:e>
            <m:sSub>
              <m:e>
                <m:r>
                  <m:t>e</m:t>
                </m:r>
              </m:e>
              <m:sub>
                <m:r>
                  <m:t>R</m:t>
                </m:r>
              </m:sub>
            </m:sSub>
            <m:r>
              <m:rPr>
                <m:sty m:val="p"/>
              </m:rPr>
              <m:t>=</m:t>
            </m:r>
            <m:r>
              <m:t>1</m:t>
            </m:r>
            <m:r>
              <m:rPr>
                <m:sty m:val="p"/>
              </m:rPr>
              <m:t>∣</m:t>
            </m:r>
            <m:sSub>
              <m:e>
                <m:r>
                  <m:t>h</m:t>
                </m:r>
              </m:e>
              <m:sub>
                <m:r>
                  <m:t>R</m:t>
                </m:r>
              </m:sub>
            </m:sSub>
            <m:r>
              <m:rPr>
                <m:sty m:val="p"/>
              </m:rPr>
              <m:t>=</m:t>
            </m:r>
            <m:r>
              <m:t>1</m:t>
            </m:r>
          </m:e>
        </m:d>
      </m:oMath>
      <w:r>
        <w:t xml:space="preserve"> </w:t>
      </w:r>
      <w:r>
        <w:t xml:space="preserve">and</w:t>
      </w:r>
      <w:r>
        <w:t xml:space="preserve"> </w:t>
      </w:r>
      <m:oMath>
        <m:sSub>
          <m:e>
            <m:r>
              <m:t>b</m:t>
            </m:r>
          </m:e>
          <m:sub>
            <m:r>
              <m:t>R</m:t>
            </m:r>
          </m:sub>
        </m:sSub>
        <m:r>
          <m:rPr>
            <m:sty m:val="p"/>
          </m:rPr>
          <m:t>=</m:t>
        </m:r>
        <m:r>
          <m:t>P</m:t>
        </m:r>
        <m:d>
          <m:dPr>
            <m:begChr m:val="("/>
            <m:endChr m:val=")"/>
            <m:sepChr m:val=""/>
            <m:grow/>
          </m:dPr>
          <m:e>
            <m:sSub>
              <m:e>
                <m:r>
                  <m:t>e</m:t>
                </m:r>
              </m:e>
              <m:sub>
                <m:r>
                  <m:t>R</m:t>
                </m:r>
              </m:sub>
            </m:sSub>
            <m:r>
              <m:rPr>
                <m:sty m:val="p"/>
              </m:rPr>
              <m:t>=</m:t>
            </m:r>
            <m:r>
              <m:t>1</m:t>
            </m:r>
            <m:r>
              <m:rPr>
                <m:sty m:val="p"/>
              </m:rPr>
              <m:t>∣</m:t>
            </m:r>
            <m:sSub>
              <m:e>
                <m:r>
                  <m:t>h</m:t>
                </m:r>
              </m:e>
              <m:sub>
                <m:r>
                  <m:t>R</m:t>
                </m:r>
              </m:sub>
            </m:sSub>
            <m:r>
              <m:rPr>
                <m:sty m:val="p"/>
              </m:rPr>
              <m:t>=</m:t>
            </m:r>
            <m:r>
              <m:t>0</m:t>
            </m:r>
          </m:e>
        </m:d>
      </m:oMath>
      <w:r>
        <w:t xml:space="preserve"> </w:t>
      </w:r>
      <w:r>
        <w:t xml:space="preserve">be the EM rates among hits and misses. Then</w:t>
      </w:r>
      <w:r>
        <w:t xml:space="preserve"> </w:t>
      </w:r>
      <m:oMath>
        <m:sSub>
          <m:e>
            <m:acc>
              <m:accPr>
                <m:chr m:val="‾"/>
              </m:accPr>
              <m:e>
                <m:r>
                  <m:t>e</m:t>
                </m:r>
              </m:e>
            </m:acc>
          </m:e>
          <m:sub>
            <m:r>
              <m:t>R</m:t>
            </m:r>
          </m:sub>
        </m:sSub>
        <m:r>
          <m:rPr>
            <m:sty m:val="p"/>
          </m:rPr>
          <m:t>=</m:t>
        </m:r>
        <m:sSub>
          <m:e>
            <m:acc>
              <m:accPr>
                <m:chr m:val="‾"/>
              </m:accPr>
              <m:e>
                <m:r>
                  <m:t>h</m:t>
                </m:r>
              </m:e>
            </m:acc>
          </m:e>
          <m:sub>
            <m:r>
              <m:t>R</m:t>
            </m:r>
          </m:sub>
        </m:sSub>
        <m:sSub>
          <m:e>
            <m:r>
              <m:t>a</m:t>
            </m:r>
          </m:e>
          <m:sub>
            <m:r>
              <m:t>R</m:t>
            </m:r>
          </m:sub>
        </m:sSub>
        <m:r>
          <m:rPr>
            <m:sty m:val="p"/>
          </m:rPr>
          <m:t>+</m:t>
        </m:r>
        <m:d>
          <m:dPr>
            <m:begChr m:val="("/>
            <m:endChr m:val=")"/>
            <m:sepChr m:val=""/>
            <m:grow/>
          </m:dPr>
          <m:e>
            <m:r>
              <m:t>1</m:t>
            </m:r>
            <m:r>
              <m:rPr>
                <m:sty m:val="p"/>
              </m:rPr>
              <m:t>−</m:t>
            </m:r>
            <m:sSub>
              <m:e>
                <m:acc>
                  <m:accPr>
                    <m:chr m:val="‾"/>
                  </m:accPr>
                  <m:e>
                    <m:r>
                      <m:t>h</m:t>
                    </m:r>
                  </m:e>
                </m:acc>
              </m:e>
              <m:sub>
                <m:r>
                  <m:t>R</m:t>
                </m:r>
              </m:sub>
            </m:sSub>
          </m:e>
        </m:d>
        <m:sSub>
          <m:e>
            <m:r>
              <m:t>b</m:t>
            </m:r>
          </m:e>
          <m:sub>
            <m:r>
              <m:t>R</m:t>
            </m:r>
          </m:sub>
        </m:sSub>
      </m:oMath>
      <w:r>
        <w:t xml:space="preserve">, and Eq. </w:t>
      </w:r>
      <w:hyperlink w:anchor="eq:ratio">
        <w:r>
          <w:rPr>
            <w:rStyle w:val="Hyperlink"/>
          </w:rPr>
          <w:t xml:space="preserve">[eq:ratio]</w:t>
        </w:r>
      </w:hyperlink>
      <w:r>
        <w:t xml:space="preserve"> </w:t>
      </w:r>
      <w:r>
        <w:t xml:space="preserve">splits exactly into</w:t>
      </w:r>
    </w:p>
    <w:p>
      <w:pPr>
        <w:pStyle w:val="BodyText"/>
      </w:pPr>
      <m:oMathPara>
        <m:oMathParaPr>
          <m:jc m:val="center"/>
        </m:oMathParaPr>
        <m:oMath>
          <m:r>
            <m:t>T</m:t>
          </m:r>
          <m:d>
            <m:dPr>
              <m:begChr m:val="("/>
              <m:endChr m:val=")"/>
              <m:sepChr m:val=""/>
              <m:grow/>
            </m:dPr>
            <m:e>
              <m:r>
                <m:t>R</m:t>
              </m:r>
            </m:e>
          </m:d>
          <m:r>
            <m:rPr>
              <m:sty m:val="p"/>
            </m:rPr>
            <m:t>=</m:t>
          </m:r>
          <m:limLow>
            <m:e>
              <m:limLow>
                <m:e>
                  <m:d>
                    <m:dPr>
                      <m:begChr m:val="("/>
                      <m:endChr m:val=")"/>
                      <m:sepChr m:val=""/>
                      <m:grow/>
                    </m:dPr>
                    <m:e>
                      <m:sSub>
                        <m:e>
                          <m:r>
                            <m:t>a</m:t>
                          </m:r>
                        </m:e>
                        <m:sub>
                          <m:sSub>
                            <m:e>
                              <m:r>
                                <m:t>R</m:t>
                              </m:r>
                            </m:e>
                            <m:sub>
                              <m:r>
                                <m:t>1</m:t>
                              </m:r>
                            </m:sub>
                          </m:sSub>
                        </m:sub>
                      </m:sSub>
                      <m:r>
                        <m:rPr>
                          <m:sty m:val="p"/>
                        </m:rPr>
                        <m:t>−</m:t>
                      </m:r>
                      <m:sSub>
                        <m:e>
                          <m:r>
                            <m:t>b</m:t>
                          </m:r>
                        </m:e>
                        <m:sub>
                          <m:sSub>
                            <m:e>
                              <m:r>
                                <m:t>R</m:t>
                              </m:r>
                            </m:e>
                            <m:sub>
                              <m:r>
                                <m:t>1</m:t>
                              </m:r>
                            </m:sub>
                          </m:sSub>
                        </m:sub>
                      </m:sSub>
                    </m:e>
                  </m:d>
                </m:e>
                <m:lim>
                  <m:r>
                    <m:rPr>
                      <m:sty m:val="p"/>
                    </m:rPr>
                    <m:t>⏟</m:t>
                  </m:r>
                </m:lim>
              </m:limLow>
            </m:e>
            <m:lim>
              <m:r>
                <m:rPr>
                  <m:nor/>
                  <m:sty m:val="p"/>
                </m:rPr>
                <m:t>baseline hit–miss gap</m:t>
              </m:r>
            </m:lim>
          </m:limLow>
          <m:r>
            <m:rPr>
              <m:sty m:val="p"/>
            </m:rPr>
            <m:t>+</m:t>
          </m:r>
          <m:limLow>
            <m:e>
              <m:limLow>
                <m:e>
                  <m:f>
                    <m:fPr>
                      <m:type m:val="bar"/>
                    </m:fPr>
                    <m:num>
                      <m:sSub>
                        <m:e>
                          <m:acc>
                            <m:accPr>
                              <m:chr m:val="‾"/>
                            </m:accPr>
                            <m:e>
                              <m:r>
                                <m:t>h</m:t>
                              </m:r>
                            </m:e>
                          </m:acc>
                        </m:e>
                        <m:sub>
                          <m:r>
                            <m:t>R</m:t>
                          </m:r>
                        </m:sub>
                      </m:sSub>
                      <m:r>
                        <m:t> </m:t>
                      </m:r>
                      <m:d>
                        <m:dPr>
                          <m:begChr m:val="("/>
                          <m:endChr m:val=")"/>
                          <m:sepChr m:val=""/>
                          <m:grow/>
                        </m:dPr>
                        <m:e>
                          <m:sSub>
                            <m:e>
                              <m:r>
                                <m:t>a</m:t>
                              </m:r>
                            </m:e>
                            <m:sub>
                              <m:r>
                                <m:t>R</m:t>
                              </m:r>
                            </m:sub>
                          </m:sSub>
                          <m:r>
                            <m:rPr>
                              <m:sty m:val="p"/>
                            </m:rPr>
                            <m:t>−</m:t>
                          </m:r>
                          <m:sSub>
                            <m:e>
                              <m:r>
                                <m:t>a</m:t>
                              </m:r>
                            </m:e>
                            <m:sub>
                              <m:sSub>
                                <m:e>
                                  <m:r>
                                    <m:t>R</m:t>
                                  </m:r>
                                </m:e>
                                <m:sub>
                                  <m:r>
                                    <m:t>1</m:t>
                                  </m:r>
                                </m:sub>
                              </m:sSub>
                            </m:sub>
                          </m:sSub>
                        </m:e>
                      </m:d>
                      <m:r>
                        <m:rPr>
                          <m:sty m:val="p"/>
                        </m:rPr>
                        <m:t>+</m:t>
                      </m:r>
                      <m:d>
                        <m:dPr>
                          <m:begChr m:val="("/>
                          <m:endChr m:val=")"/>
                          <m:sepChr m:val=""/>
                          <m:grow/>
                        </m:dPr>
                        <m:e>
                          <m:r>
                            <m:t>1</m:t>
                          </m:r>
                          <m:r>
                            <m:rPr>
                              <m:sty m:val="p"/>
                            </m:rPr>
                            <m:t>−</m:t>
                          </m:r>
                          <m:sSub>
                            <m:e>
                              <m:acc>
                                <m:accPr>
                                  <m:chr m:val="‾"/>
                                </m:accPr>
                                <m:e>
                                  <m:r>
                                    <m:t>h</m:t>
                                  </m:r>
                                </m:e>
                              </m:acc>
                            </m:e>
                            <m:sub>
                              <m:r>
                                <m:t>R</m:t>
                              </m:r>
                            </m:sub>
                          </m:sSub>
                        </m:e>
                      </m:d>
                      <m:r>
                        <m:t> </m:t>
                      </m:r>
                      <m:d>
                        <m:dPr>
                          <m:begChr m:val="("/>
                          <m:endChr m:val=")"/>
                          <m:sepChr m:val=""/>
                          <m:grow/>
                        </m:dPr>
                        <m:e>
                          <m:sSub>
                            <m:e>
                              <m:r>
                                <m:t>b</m:t>
                              </m:r>
                            </m:e>
                            <m:sub>
                              <m:r>
                                <m:t>R</m:t>
                              </m:r>
                            </m:sub>
                          </m:sSub>
                          <m:r>
                            <m:rPr>
                              <m:sty m:val="p"/>
                            </m:rPr>
                            <m:t>−</m:t>
                          </m:r>
                          <m:sSub>
                            <m:e>
                              <m:r>
                                <m:t>b</m:t>
                              </m:r>
                            </m:e>
                            <m:sub>
                              <m:sSub>
                                <m:e>
                                  <m:r>
                                    <m:t>R</m:t>
                                  </m:r>
                                </m:e>
                                <m:sub>
                                  <m:r>
                                    <m:t>1</m:t>
                                  </m:r>
                                </m:sub>
                              </m:sSub>
                            </m:sub>
                          </m:sSub>
                        </m:e>
                      </m:d>
                    </m:num>
                    <m:den>
                      <m:sSub>
                        <m:e>
                          <m:acc>
                            <m:accPr>
                              <m:chr m:val="‾"/>
                            </m:accPr>
                            <m:e>
                              <m:r>
                                <m:t>h</m:t>
                              </m:r>
                            </m:e>
                          </m:acc>
                        </m:e>
                        <m:sub>
                          <m:r>
                            <m:t>R</m:t>
                          </m:r>
                        </m:sub>
                      </m:sSub>
                      <m:r>
                        <m:rPr>
                          <m:sty m:val="p"/>
                        </m:rPr>
                        <m:t>−</m:t>
                      </m:r>
                      <m:sSub>
                        <m:e>
                          <m:acc>
                            <m:accPr>
                              <m:chr m:val="‾"/>
                            </m:accPr>
                            <m:e>
                              <m:r>
                                <m:t>h</m:t>
                              </m:r>
                            </m:e>
                          </m:acc>
                        </m:e>
                        <m:sub>
                          <m:sSub>
                            <m:e>
                              <m:r>
                                <m:t>R</m:t>
                              </m:r>
                            </m:e>
                            <m:sub>
                              <m:r>
                                <m:t>1</m:t>
                              </m:r>
                            </m:sub>
                          </m:sSub>
                        </m:sub>
                      </m:sSub>
                    </m:den>
                  </m:f>
                </m:e>
                <m:lim>
                  <m:r>
                    <m:rPr>
                      <m:sty m:val="p"/>
                    </m:rPr>
                    <m:t>⏟</m:t>
                  </m:r>
                </m:lim>
              </m:limLow>
            </m:e>
            <m:lim>
              <m:r>
                <m:rPr>
                  <m:nor/>
                  <m:sty m:val="p"/>
                </m:rPr>
                <m:t>change in conditional EM</m:t>
              </m:r>
            </m:lim>
          </m:limLow>
          <m:r>
            <m:rPr>
              <m:sty m:val="p"/>
            </m:rPr>
            <m:t>.</m:t>
          </m:r>
        </m:oMath>
      </m:oMathPara>
    </w:p>
    <w:p>
      <w:pPr>
        <w:pStyle w:val="FirstParagraph"/>
      </w:pPr>
      <w:r>
        <w:t xml:space="preserve">Multiplied by</w:t>
      </w:r>
      <w:r>
        <w:t xml:space="preserve"> </w:t>
      </w:r>
      <m:oMath>
        <m:sSub>
          <m:e>
            <m:acc>
              <m:accPr>
                <m:chr m:val="‾"/>
              </m:accPr>
              <m:e>
                <m:r>
                  <m:t>h</m:t>
                </m:r>
              </m:e>
            </m:acc>
          </m:e>
          <m:sub>
            <m:r>
              <m:t>R</m:t>
            </m:r>
          </m:sub>
        </m:sSub>
        <m:r>
          <m:rPr>
            <m:sty m:val="p"/>
          </m:rPr>
          <m:t>−</m:t>
        </m:r>
        <m:sSub>
          <m:e>
            <m:acc>
              <m:accPr>
                <m:chr m:val="‾"/>
              </m:accPr>
              <m:e>
                <m:r>
                  <m:t>h</m:t>
                </m:r>
              </m:e>
            </m:acc>
          </m:e>
          <m:sub>
            <m:sSub>
              <m:e>
                <m:r>
                  <m:t>R</m:t>
                </m:r>
              </m:e>
              <m:sub>
                <m:r>
                  <m:t>1</m:t>
                </m:r>
              </m:sub>
            </m:sSub>
          </m:sub>
        </m:sSub>
      </m:oMath>
      <w:r>
        <w:t xml:space="preserve">, Eq. </w:t>
      </w:r>
      <w:hyperlink w:anchor="eq:decomp">
        <w:r>
          <w:rPr>
            <w:rStyle w:val="Hyperlink"/>
          </w:rPr>
          <w:t xml:space="preserve">[eq:decomp]</w:t>
        </w:r>
      </w:hyperlink>
      <w:r>
        <w:t xml:space="preserve"> </w:t>
      </w:r>
      <w:r>
        <w:t xml:space="preserve">splits the EM gain into three terms: a hit-prevalence term</w:t>
      </w:r>
      <w:r>
        <w:t xml:space="preserve"> </w:t>
      </w:r>
      <m:oMath>
        <m:d>
          <m:dPr>
            <m:begChr m:val="("/>
            <m:endChr m:val=")"/>
            <m:sepChr m:val=""/>
            <m:grow/>
          </m:dPr>
          <m:e>
            <m:sSub>
              <m:e>
                <m:acc>
                  <m:accPr>
                    <m:chr m:val="‾"/>
                  </m:accPr>
                  <m:e>
                    <m:r>
                      <m:t>h</m:t>
                    </m:r>
                  </m:e>
                </m:acc>
              </m:e>
              <m:sub>
                <m:r>
                  <m:t>R</m:t>
                </m:r>
              </m:sub>
            </m:sSub>
            <m:r>
              <m:rPr>
                <m:sty m:val="p"/>
              </m:rPr>
              <m:t>−</m:t>
            </m:r>
            <m:sSub>
              <m:e>
                <m:acc>
                  <m:accPr>
                    <m:chr m:val="‾"/>
                  </m:accPr>
                  <m:e>
                    <m:r>
                      <m:t>h</m:t>
                    </m:r>
                  </m:e>
                </m:acc>
              </m:e>
              <m:sub>
                <m:sSub>
                  <m:e>
                    <m:r>
                      <m:t>R</m:t>
                    </m:r>
                  </m:e>
                  <m:sub>
                    <m:r>
                      <m:t>1</m:t>
                    </m:r>
                  </m:sub>
                </m:sSub>
              </m:sub>
            </m:sSub>
          </m:e>
        </m:d>
        <m:d>
          <m:dPr>
            <m:begChr m:val="("/>
            <m:endChr m:val=")"/>
            <m:sepChr m:val=""/>
            <m:grow/>
          </m:dPr>
          <m:e>
            <m:sSub>
              <m:e>
                <m:r>
                  <m:t>a</m:t>
                </m:r>
              </m:e>
              <m:sub>
                <m:sSub>
                  <m:e>
                    <m:r>
                      <m:t>R</m:t>
                    </m:r>
                  </m:e>
                  <m:sub>
                    <m:r>
                      <m:t>1</m:t>
                    </m:r>
                  </m:sub>
                </m:sSub>
              </m:sub>
            </m:sSub>
            <m:r>
              <m:rPr>
                <m:sty m:val="p"/>
              </m:rPr>
              <m:t>−</m:t>
            </m:r>
            <m:sSub>
              <m:e>
                <m:r>
                  <m:t>b</m:t>
                </m:r>
              </m:e>
              <m:sub>
                <m:sSub>
                  <m:e>
                    <m:r>
                      <m:t>R</m:t>
                    </m:r>
                  </m:e>
                  <m:sub>
                    <m:r>
                      <m:t>1</m:t>
                    </m:r>
                  </m:sub>
                </m:sSub>
              </m:sub>
            </m:sSub>
          </m:e>
        </m:d>
      </m:oMath>
      <w:r>
        <w:t xml:space="preserve">, an EM-among-hits term</w:t>
      </w:r>
      <w:r>
        <w:t xml:space="preserve"> </w:t>
      </w:r>
      <m:oMath>
        <m:sSub>
          <m:e>
            <m:acc>
              <m:accPr>
                <m:chr m:val="‾"/>
              </m:accPr>
              <m:e>
                <m:r>
                  <m:t>h</m:t>
                </m:r>
              </m:e>
            </m:acc>
          </m:e>
          <m:sub>
            <m:r>
              <m:t>R</m:t>
            </m:r>
          </m:sub>
        </m:sSub>
        <m:r>
          <m:t> </m:t>
        </m:r>
        <m:d>
          <m:dPr>
            <m:begChr m:val="("/>
            <m:endChr m:val=")"/>
            <m:sepChr m:val=""/>
            <m:grow/>
          </m:dPr>
          <m:e>
            <m:sSub>
              <m:e>
                <m:r>
                  <m:t>a</m:t>
                </m:r>
              </m:e>
              <m:sub>
                <m:r>
                  <m:t>R</m:t>
                </m:r>
              </m:sub>
            </m:sSub>
            <m:r>
              <m:rPr>
                <m:sty m:val="p"/>
              </m:rPr>
              <m:t>−</m:t>
            </m:r>
            <m:sSub>
              <m:e>
                <m:r>
                  <m:t>a</m:t>
                </m:r>
              </m:e>
              <m:sub>
                <m:sSub>
                  <m:e>
                    <m:r>
                      <m:t>R</m:t>
                    </m:r>
                  </m:e>
                  <m:sub>
                    <m:r>
                      <m:t>1</m:t>
                    </m:r>
                  </m:sub>
                </m:sSub>
              </m:sub>
            </m:sSub>
          </m:e>
        </m:d>
      </m:oMath>
      <w:r>
        <w:t xml:space="preserve"> </w:t>
      </w:r>
      <w:r>
        <w:t xml:space="preserve">and an EM-among-misses term</w:t>
      </w:r>
      <w:r>
        <w:t xml:space="preserve"> </w:t>
      </w:r>
      <m:oMath>
        <m:d>
          <m:dPr>
            <m:begChr m:val="("/>
            <m:endChr m:val=")"/>
            <m:sepChr m:val=""/>
            <m:grow/>
          </m:dPr>
          <m:e>
            <m:r>
              <m:t>1</m:t>
            </m:r>
            <m:r>
              <m:rPr>
                <m:sty m:val="p"/>
              </m:rPr>
              <m:t>−</m:t>
            </m:r>
            <m:sSub>
              <m:e>
                <m:acc>
                  <m:accPr>
                    <m:chr m:val="‾"/>
                  </m:accPr>
                  <m:e>
                    <m:r>
                      <m:t>h</m:t>
                    </m:r>
                  </m:e>
                </m:acc>
              </m:e>
              <m:sub>
                <m:r>
                  <m:t>R</m:t>
                </m:r>
              </m:sub>
            </m:sSub>
          </m:e>
        </m:d>
        <m:r>
          <m:t> </m:t>
        </m:r>
        <m:d>
          <m:dPr>
            <m:begChr m:val="("/>
            <m:endChr m:val=")"/>
            <m:sepChr m:val=""/>
            <m:grow/>
          </m:dPr>
          <m:e>
            <m:sSub>
              <m:e>
                <m:r>
                  <m:t>b</m:t>
                </m:r>
              </m:e>
              <m:sub>
                <m:r>
                  <m:t>R</m:t>
                </m:r>
              </m:sub>
            </m:sSub>
            <m:r>
              <m:rPr>
                <m:sty m:val="p"/>
              </m:rPr>
              <m:t>−</m:t>
            </m:r>
            <m:sSub>
              <m:e>
                <m:r>
                  <m:t>b</m:t>
                </m:r>
              </m:e>
              <m:sub>
                <m:sSub>
                  <m:e>
                    <m:r>
                      <m:t>R</m:t>
                    </m:r>
                  </m:e>
                  <m:sub>
                    <m:r>
                      <m:t>1</m:t>
                    </m:r>
                  </m:sub>
                </m:sSub>
              </m:sub>
            </m:sSub>
          </m:e>
        </m:d>
      </m:oMath>
      <w:r>
        <w:t xml:space="preserve">. If a better encoder only turned misses into hits and left</w:t>
      </w:r>
      <w:r>
        <w:t xml:space="preserve"> </w:t>
      </w:r>
      <m:oMath>
        <m:r>
          <m:t>a</m:t>
        </m:r>
      </m:oMath>
      <w:r>
        <w:t xml:space="preserve"> </w:t>
      </w:r>
      <w:r>
        <w:t xml:space="preserve">and</w:t>
      </w:r>
      <w:r>
        <w:t xml:space="preserve"> </w:t>
      </w:r>
      <m:oMath>
        <m:r>
          <m:t>b</m:t>
        </m:r>
      </m:oMath>
      <w:r>
        <w:t xml:space="preserve"> </w:t>
      </w:r>
      <w:r>
        <w:t xml:space="preserve">unchanged,</w:t>
      </w:r>
      <w:r>
        <w:t xml:space="preserve"> </w:t>
      </w:r>
      <m:oMath>
        <m:r>
          <m:t>T</m:t>
        </m:r>
        <m:d>
          <m:dPr>
            <m:begChr m:val="("/>
            <m:endChr m:val=")"/>
            <m:sepChr m:val=""/>
            <m:grow/>
          </m:dPr>
          <m:e>
            <m:r>
              <m:t>R</m:t>
            </m:r>
          </m:e>
        </m:d>
      </m:oMath>
      <w:r>
        <w:t xml:space="preserve"> </w:t>
      </w:r>
      <w:r>
        <w:t xml:space="preserve">would equal the baseline gap. We report the three terms with bootstrap intervals over the same resamples as</w:t>
      </w:r>
      <w:r>
        <w:t xml:space="preserve"> </w:t>
      </w:r>
      <m:oMath>
        <m:r>
          <m:t>T</m:t>
        </m:r>
        <m:d>
          <m:dPr>
            <m:begChr m:val="("/>
            <m:endChr m:val=")"/>
            <m:sepChr m:val=""/>
            <m:grow/>
          </m:dPr>
          <m:e>
            <m:r>
              <m:t>R</m:t>
            </m:r>
          </m:e>
        </m:d>
      </m:oMath>
      <w:r>
        <w:t xml:space="preserve">, and the share of the EM gain carried by the last two together. The split is not unique. Eq. </w:t>
      </w:r>
      <w:hyperlink w:anchor="eq:decomp">
        <w:r>
          <w:rPr>
            <w:rStyle w:val="Hyperlink"/>
          </w:rPr>
          <w:t xml:space="preserve">[eq:decomp]</w:t>
        </w:r>
      </w:hyperlink>
      <w:r>
        <w:t xml:space="preserve"> </w:t>
      </w:r>
      <w:r>
        <w:t xml:space="preserve">weights the change in hit rate by the baseline’s conditional rates; a symmetric form averages the two orderings of</w:t>
      </w:r>
      <w:r>
        <w:t xml:space="preserve"> </w:t>
      </w:r>
      <m:oMath>
        <m:sSub>
          <m:e>
            <m:r>
              <m:t>R</m:t>
            </m:r>
          </m:e>
          <m:sub>
            <m:r>
              <m:t>1</m:t>
            </m:r>
          </m:sub>
        </m:sSub>
      </m:oMath>
      <w:r>
        <w:t xml:space="preserve"> </w:t>
      </w:r>
      <w:r>
        <w:t xml:space="preserve">and</w:t>
      </w:r>
      <w:r>
        <w:t xml:space="preserve"> </w:t>
      </w:r>
      <m:oMath>
        <m:r>
          <m:t>R</m:t>
        </m:r>
      </m:oMath>
      <w:r>
        <w:t xml:space="preserve">, and we report it alongside. Either form is an accounting identity, not a causal attribution: the queries that count as hits differ between encoders, so a change in</w:t>
      </w:r>
      <w:r>
        <w:t xml:space="preserve"> </w:t>
      </w:r>
      <m:oMath>
        <m:r>
          <m:t>a</m:t>
        </m:r>
      </m:oMath>
      <w:r>
        <w:t xml:space="preserve"> </w:t>
      </w:r>
      <w:r>
        <w:t xml:space="preserve">can reflect which questions are hits as well as how useful a hit is. This decomposition was not part of the registered analysis; we report it as a post hoc description.</w:t>
      </w:r>
    </w:p>
    <w:bookmarkEnd w:id="30"/>
    <w:bookmarkStart w:id="31" w:name="query-level-accounting"/>
    <w:p>
      <w:pPr>
        <w:pStyle w:val="Heading4"/>
      </w:pPr>
      <w:r>
        <w:t xml:space="preserve">Query-level accounting</w:t>
      </w:r>
    </w:p>
    <w:p>
      <w:pPr>
        <w:pStyle w:val="FirstParagraph"/>
      </w:pPr>
      <w:r>
        <w:t xml:space="preserve">The decomposition works with rates. To see where the gain sits, we also group the queries of a cell by their Hit@5 under MiniLM-L6 and under encoder</w:t>
      </w:r>
      <w:r>
        <w:t xml:space="preserve"> </w:t>
      </w:r>
      <m:oMath>
        <m:r>
          <m:t>R</m:t>
        </m:r>
      </m:oMath>
      <w:r>
        <w:t xml:space="preserve">: miss</w:t>
      </w:r>
      <m:oMath>
        <m:r>
          <m:rPr>
            <m:sty m:val="p"/>
          </m:rPr>
          <m:t>→</m:t>
        </m:r>
      </m:oMath>
      <w:r>
        <w:t xml:space="preserve">hit, hit</w:t>
      </w:r>
      <m:oMath>
        <m:r>
          <m:rPr>
            <m:sty m:val="p"/>
          </m:rPr>
          <m:t>→</m:t>
        </m:r>
      </m:oMath>
      <w:r>
        <w:t xml:space="preserve">hit, hit</w:t>
      </w:r>
      <m:oMath>
        <m:r>
          <m:rPr>
            <m:sty m:val="p"/>
          </m:rPr>
          <m:t>→</m:t>
        </m:r>
      </m:oMath>
      <w:r>
        <w:t xml:space="preserve">miss and miss</w:t>
      </w:r>
      <m:oMath>
        <m:r>
          <m:rPr>
            <m:sty m:val="p"/>
          </m:rPr>
          <m:t>→</m:t>
        </m:r>
      </m:oMath>
      <w:r>
        <w:t xml:space="preserve">miss. For each group we report its size, the EM of both retrievers within it, the numbers of answers that turned from wrong to right and from right to wrong, and its contribution to the EM gain,</w:t>
      </w:r>
      <w:r>
        <w:t xml:space="preserve"> </w:t>
      </w:r>
      <m:oMath>
        <m:nary>
          <m:naryPr>
            <m:chr m:val="∑"/>
            <m:limLoc m:val="undOvr"/>
            <m:subHide m:val="off"/>
            <m:supHide m:val="on"/>
          </m:naryPr>
          <m:sub>
            <m:r>
              <m:t>q</m:t>
            </m:r>
            <m:r>
              <m:rPr>
                <m:sty m:val="p"/>
              </m:rPr>
              <m:t>∈</m:t>
            </m:r>
            <m:r>
              <m:t>G</m:t>
            </m:r>
          </m:sub>
          <m:sup>
            <m:r>
              <m:t>​</m:t>
            </m:r>
          </m:sup>
          <m:e>
            <m:d>
              <m:dPr>
                <m:begChr m:val="("/>
                <m:endChr m:val=")"/>
                <m:sepChr m:val=""/>
                <m:grow/>
              </m:dPr>
              <m:e>
                <m:sSub>
                  <m:e>
                    <m:r>
                      <m:t>e</m:t>
                    </m:r>
                  </m:e>
                  <m:sub>
                    <m:r>
                      <m:t>R</m:t>
                    </m:r>
                  </m:sub>
                </m:sSub>
                <m:d>
                  <m:dPr>
                    <m:begChr m:val="("/>
                    <m:endChr m:val=")"/>
                    <m:sepChr m:val=""/>
                    <m:grow/>
                  </m:dPr>
                  <m:e>
                    <m:r>
                      <m:t>q</m:t>
                    </m:r>
                  </m:e>
                </m:d>
                <m:r>
                  <m:rPr>
                    <m:sty m:val="p"/>
                  </m:rPr>
                  <m:t>−</m:t>
                </m:r>
                <m:sSub>
                  <m:e>
                    <m:r>
                      <m:t>e</m:t>
                    </m:r>
                  </m:e>
                  <m:sub>
                    <m:sSub>
                      <m:e>
                        <m:r>
                          <m:t>R</m:t>
                        </m:r>
                      </m:e>
                      <m:sub>
                        <m:r>
                          <m:t>1</m:t>
                        </m:r>
                      </m:sub>
                    </m:sSub>
                  </m:sub>
                </m:sSub>
                <m:d>
                  <m:dPr>
                    <m:begChr m:val="("/>
                    <m:endChr m:val=")"/>
                    <m:sepChr m:val=""/>
                    <m:grow/>
                  </m:dPr>
                  <m:e>
                    <m:r>
                      <m:t>q</m:t>
                    </m:r>
                  </m:e>
                </m:d>
              </m:e>
            </m:d>
          </m:e>
        </m:nary>
        <m:r>
          <m:rPr>
            <m:sty m:val="p"/>
          </m:rPr>
          <m:t>/</m:t>
        </m:r>
        <m:d>
          <m:dPr>
            <m:begChr m:val="|"/>
            <m:endChr m:val="|"/>
            <m:sepChr m:val=""/>
            <m:grow/>
          </m:dPr>
          <m:e>
            <m:r>
              <m:t>Q</m:t>
            </m:r>
          </m:e>
        </m:d>
      </m:oMath>
      <w:r>
        <w:t xml:space="preserve">. The four contributions add up to</w:t>
      </w:r>
      <w:r>
        <w:t xml:space="preserve"> </w:t>
      </w:r>
      <m:oMath>
        <m:sSub>
          <m:e>
            <m:acc>
              <m:accPr>
                <m:chr m:val="‾"/>
              </m:accPr>
              <m:e>
                <m:r>
                  <m:t>e</m:t>
                </m:r>
              </m:e>
            </m:acc>
          </m:e>
          <m:sub>
            <m:r>
              <m:t>R</m:t>
            </m:r>
          </m:sub>
        </m:sSub>
        <m:r>
          <m:rPr>
            <m:sty m:val="p"/>
          </m:rPr>
          <m:t>−</m:t>
        </m:r>
        <m:sSub>
          <m:e>
            <m:acc>
              <m:accPr>
                <m:chr m:val="‾"/>
              </m:accPr>
              <m:e>
                <m:r>
                  <m:t>e</m:t>
                </m:r>
              </m:e>
            </m:acc>
          </m:e>
          <m:sub>
            <m:sSub>
              <m:e>
                <m:r>
                  <m:t>R</m:t>
                </m:r>
              </m:e>
              <m:sub>
                <m:r>
                  <m:t>1</m:t>
                </m:r>
              </m:sub>
            </m:sSub>
          </m:sub>
        </m:sSub>
      </m:oMath>
      <w:r>
        <w:t xml:space="preserve"> </w:t>
      </w:r>
      <w:r>
        <w:t xml:space="preserve">exactly. For HotpotQA we group the queries in the same way by the number of supporting passages (0, 1 or 2) in the top five. The groups are defined by retrieval outcomes, so they describe where the EM difference sits, not what caused it. This analysis is post hoc.</w:t>
      </w:r>
    </w:p>
    <w:bookmarkEnd w:id="31"/>
    <w:bookmarkEnd w:id="32"/>
    <w:bookmarkStart w:id="36" w:name="sec:data"/>
    <w:p>
      <w:pPr>
        <w:pStyle w:val="Heading2"/>
      </w:pPr>
      <w:r>
        <w:t xml:space="preserve">Data</w:t>
      </w:r>
    </w:p>
    <w:bookmarkStart w:id="33" w:name="natural-questions"/>
    <w:p>
      <w:pPr>
        <w:pStyle w:val="Heading4"/>
      </w:pPr>
      <w:r>
        <w:t xml:space="preserve">Natural Questions</w:t>
      </w:r>
    </w:p>
    <w:p>
      <w:pPr>
        <w:pStyle w:val="FirstParagraph"/>
      </w:pPr>
      <w:r>
        <w:t xml:space="preserve">We used the BEIR version of Natural Questions</w:t>
      </w:r>
      <w:r>
        <w:t xml:space="preserve"> </w:t>
      </w:r>
      <w:r>
        <w:t xml:space="preserve">(</w:t>
      </w:r>
      <w:hyperlink w:anchor="ref-kwiatkowski2019nq">
        <w:r>
          <w:rPr>
            <w:rStyle w:val="Hyperlink"/>
          </w:rPr>
          <w:t xml:space="preserve">Kwiatkowski et al. 2019</w:t>
        </w:r>
      </w:hyperlink>
      <w:r>
        <w:t xml:space="preserve">;</w:t>
      </w:r>
      <w:r>
        <w:t xml:space="preserve"> </w:t>
      </w:r>
      <w:hyperlink w:anchor="ref-thakur2021beir">
        <w:r>
          <w:rPr>
            <w:rStyle w:val="Hyperlink"/>
          </w:rPr>
          <w:t xml:space="preserve">Thakur et al. 2021</w:t>
        </w:r>
      </w:hyperlink>
      <w:r>
        <w:t xml:space="preserve">)</w:t>
      </w:r>
      <w:r>
        <w:t xml:space="preserve">: 3,452 judged test queries and a corpus of 2,681,468 Wikipedia passages. BEIR does not ship short answers, so we joined its queries to NQ-open</w:t>
      </w:r>
      <w:r>
        <w:t xml:space="preserve"> </w:t>
      </w:r>
      <w:r>
        <w:t xml:space="preserve">(</w:t>
      </w:r>
      <w:hyperlink w:anchor="ref-lee2019orqa">
        <w:r>
          <w:rPr>
            <w:rStyle w:val="Hyperlink"/>
          </w:rPr>
          <w:t xml:space="preserve">Lee, Chang, and Toutanova 2019</w:t>
        </w:r>
      </w:hyperlink>
      <w:r>
        <w:t xml:space="preserve">)</w:t>
      </w:r>
      <w:r>
        <w:t xml:space="preserve"> </w:t>
      </w:r>
      <w:r>
        <w:t xml:space="preserve">by normalised question text. The join matched 2,255 queries; 1,197 had no match and none had more than one. All 2,255 joined queries form the NQ generation set. Table </w:t>
      </w:r>
      <w:hyperlink w:anchor="tab:data">
        <w:r>
          <w:rPr>
            <w:rStyle w:val="Hyperlink"/>
          </w:rPr>
          <w:t xml:space="preserve">10</w:t>
        </w:r>
      </w:hyperlink>
      <w:r>
        <w:t xml:space="preserve"> </w:t>
      </w:r>
      <w:r>
        <w:t xml:space="preserve">in the appendix summarises both datasets and sub-corpora.</w:t>
      </w:r>
    </w:p>
    <w:bookmarkEnd w:id="33"/>
    <w:bookmarkStart w:id="34" w:name="hotpotqa"/>
    <w:p>
      <w:pPr>
        <w:pStyle w:val="Heading4"/>
      </w:pPr>
      <w:r>
        <w:t xml:space="preserve">HotpotQA</w:t>
      </w:r>
    </w:p>
    <w:p>
      <w:pPr>
        <w:pStyle w:val="FirstParagraph"/>
      </w:pPr>
      <w:r>
        <w:t xml:space="preserve">We used the BEIR version of HotpotQA</w:t>
      </w:r>
      <w:r>
        <w:t xml:space="preserve"> </w:t>
      </w:r>
      <w:r>
        <w:t xml:space="preserve">(</w:t>
      </w:r>
      <w:hyperlink w:anchor="ref-yang2018hotpotqa">
        <w:r>
          <w:rPr>
            <w:rStyle w:val="Hyperlink"/>
          </w:rPr>
          <w:t xml:space="preserve">Yang et al. 2018</w:t>
        </w:r>
      </w:hyperlink>
      <w:r>
        <w:t xml:space="preserve">;</w:t>
      </w:r>
      <w:r>
        <w:t xml:space="preserve"> </w:t>
      </w:r>
      <w:hyperlink w:anchor="ref-thakur2021beir">
        <w:r>
          <w:rPr>
            <w:rStyle w:val="Hyperlink"/>
          </w:rPr>
          <w:t xml:space="preserve">Thakur et al. 2021</w:t>
        </w:r>
      </w:hyperlink>
      <w:r>
        <w:t xml:space="preserve">)</w:t>
      </w:r>
      <w:r>
        <w:t xml:space="preserve">: 7,405 judged test queries, two gold passages per query, and a corpus of 5,233,329 passages. Answers come from the fullwiki validation release, joined by question id; all queries matched. The generation set is the leading 2,000 queries of a seeded order (1,616 bridge and 384 comparison questions).</w:t>
      </w:r>
    </w:p>
    <w:bookmarkEnd w:id="34"/>
    <w:bookmarkStart w:id="35" w:name="sub-corpus"/>
    <w:p>
      <w:pPr>
        <w:pStyle w:val="Heading4"/>
      </w:pPr>
      <w:r>
        <w:t xml:space="preserve">Sub-corpus</w:t>
      </w:r>
    </w:p>
    <w:p>
      <w:pPr>
        <w:pStyle w:val="FirstParagraph"/>
      </w:pPr>
      <w:r>
        <w:t xml:space="preserve">Encoding millions of passages with six encoders exceeds a free GPU budget, so each dataset uses a 300,000-passage sub-corpus. It contains the gold passages of all judged queries, the top-</w:t>
      </w:r>
      <m:oMath>
        <m:r>
          <m:t>d</m:t>
        </m:r>
      </m:oMath>
      <w:r>
        <w:t xml:space="preserve"> </w:t>
      </w:r>
      <w:r>
        <w:t xml:space="preserve">BM25 passages of every judged query (</w:t>
      </w:r>
      <m:oMath>
        <m:r>
          <m:t>d</m:t>
        </m:r>
      </m:oMath>
      <w:r>
        <w:t xml:space="preserve"> </w:t>
      </w:r>
      <w:r>
        <w:t xml:space="preserve">= 42 for NQ and 19 for HotpotQA, set by a pre-registered formula), and a seeded random fill. All retrievers search the same sub-corpus. The NQ sub-corpus has 4,201 gold, 127,791 BM25 and 168,008 random passages; the HotpotQA sub-corpus has 13,783, 118,726 and 167,491. Because every gold passage is present, absolute retrieval scores are higher than on the full corpus. The construction also treats the retrievers unequally: it keeps BM25’s own strongest competitors for every judged query, but not those of the dense encoders, so it favours the dense encoders relative to BM25. The gold labels of the evaluation queries are used only to insert their gold passages; no model is trained on them. Section </w:t>
      </w:r>
      <w:hyperlink w:anchor="sec:res-full">
        <w:r>
          <w:rPr>
            <w:rStyle w:val="Hyperlink"/>
          </w:rPr>
          <w:t xml:space="preserve">5.4</w:t>
        </w:r>
      </w:hyperlink>
      <w:r>
        <w:t xml:space="preserve"> </w:t>
      </w:r>
      <w:r>
        <w:t xml:space="preserve">checks whether the NQ transfer ratios change on the full corpus, and Section </w:t>
      </w:r>
      <w:hyperlink w:anchor="sec:res-cost">
        <w:r>
          <w:rPr>
            <w:rStyle w:val="Hyperlink"/>
          </w:rPr>
          <w:t xml:space="preserve">5.8</w:t>
        </w:r>
      </w:hyperlink>
      <w:r>
        <w:t xml:space="preserve"> </w:t>
      </w:r>
      <w:r>
        <w:t xml:space="preserve">whether the ordering of retrievers changes.</w:t>
      </w:r>
    </w:p>
    <w:bookmarkEnd w:id="35"/>
    <w:bookmarkEnd w:id="36"/>
    <w:bookmarkStart w:id="37" w:name="sec:retrievers"/>
    <w:p>
      <w:pPr>
        <w:pStyle w:val="Heading2"/>
      </w:pPr>
      <w:r>
        <w:t xml:space="preserve">Retrievers</w:t>
      </w:r>
    </w:p>
    <w:p>
      <w:pPr>
        <w:pStyle w:val="FirstParagraph"/>
      </w:pPr>
      <w:r>
        <w:t xml:space="preserve">BM25 used the bm25s library</w:t>
      </w:r>
      <w:r>
        <w:t xml:space="preserve"> </w:t>
      </w:r>
      <w:r>
        <w:t xml:space="preserve">(</w:t>
      </w:r>
      <w:hyperlink w:anchor="ref-lu2024bm25s">
        <w:r>
          <w:rPr>
            <w:rStyle w:val="Hyperlink"/>
          </w:rPr>
          <w:t xml:space="preserve">Lù 2024</w:t>
        </w:r>
      </w:hyperlink>
      <w:r>
        <w:t xml:space="preserve">)</w:t>
      </w:r>
      <w:r>
        <w:t xml:space="preserve"> </w:t>
      </w:r>
      <w:r>
        <w:t xml:space="preserve">with the Lucene variant,</w:t>
      </w:r>
      <w:r>
        <w:t xml:space="preserve"> </w:t>
      </w:r>
      <m:oMath>
        <m:sSub>
          <m:e>
            <m:r>
              <m:t>k</m:t>
            </m:r>
          </m:e>
          <m:sub>
            <m:r>
              <m:t>1</m:t>
            </m:r>
          </m:sub>
        </m:sSub>
        <m:r>
          <m:rPr>
            <m:sty m:val="p"/>
          </m:rPr>
          <m:t>=</m:t>
        </m:r>
        <m:r>
          <m:t>1.2</m:t>
        </m:r>
      </m:oMath>
      <w:r>
        <w:t xml:space="preserve">,</w:t>
      </w:r>
      <w:r>
        <w:t xml:space="preserve"> </w:t>
      </w:r>
      <m:oMath>
        <m:r>
          <m:t>b</m:t>
        </m:r>
        <m:r>
          <m:rPr>
            <m:sty m:val="p"/>
          </m:rPr>
          <m:t>=</m:t>
        </m:r>
        <m:r>
          <m:t>0.75</m:t>
        </m:r>
      </m:oMath>
      <w:r>
        <w:t xml:space="preserve">, lower-casing and no stemming or stop-word removal</w:t>
      </w:r>
      <w:r>
        <w:t xml:space="preserve"> </w:t>
      </w:r>
      <w:r>
        <w:t xml:space="preserve">(</w:t>
      </w:r>
      <w:hyperlink w:anchor="ref-robertson2009bm25">
        <w:r>
          <w:rPr>
            <w:rStyle w:val="Hyperlink"/>
          </w:rPr>
          <w:t xml:space="preserve">Robertson and Zaragoza 2009</w:t>
        </w:r>
      </w:hyperlink>
      <w:r>
        <w:t xml:space="preserve">)</w:t>
      </w:r>
      <w:r>
        <w:t xml:space="preserve">. The six dense encoders were all-MiniLM-L6-v2</w:t>
      </w:r>
      <w:r>
        <w:t xml:space="preserve"> </w:t>
      </w:r>
      <w:r>
        <w:t xml:space="preserve">(</w:t>
      </w:r>
      <w:hyperlink w:anchor="ref-reimers2019sbert">
        <w:r>
          <w:rPr>
            <w:rStyle w:val="Hyperlink"/>
          </w:rPr>
          <w:t xml:space="preserve">Reimers and Gurevych 2019</w:t>
        </w:r>
      </w:hyperlink>
      <w:r>
        <w:t xml:space="preserve">;</w:t>
      </w:r>
      <w:r>
        <w:t xml:space="preserve"> </w:t>
      </w:r>
      <w:hyperlink w:anchor="ref-wang2020minilm">
        <w:r>
          <w:rPr>
            <w:rStyle w:val="Hyperlink"/>
          </w:rPr>
          <w:t xml:space="preserve">W. Wang et al. 2020</w:t>
        </w:r>
      </w:hyperlink>
      <w:r>
        <w:t xml:space="preserve">)</w:t>
      </w:r>
      <w:r>
        <w:t xml:space="preserve">, bge-small, bge-base and bge-large v1.5</w:t>
      </w:r>
      <w:r>
        <w:t xml:space="preserve"> </w:t>
      </w:r>
      <w:r>
        <w:t xml:space="preserve">(</w:t>
      </w:r>
      <w:hyperlink w:anchor="ref-xiao2024cpack">
        <w:r>
          <w:rPr>
            <w:rStyle w:val="Hyperlink"/>
          </w:rPr>
          <w:t xml:space="preserve">Xiao et al. 2024</w:t>
        </w:r>
      </w:hyperlink>
      <w:r>
        <w:t xml:space="preserve">)</w:t>
      </w:r>
      <w:r>
        <w:t xml:space="preserve">, e5-base-v2</w:t>
      </w:r>
      <w:r>
        <w:t xml:space="preserve"> </w:t>
      </w:r>
      <w:r>
        <w:t xml:space="preserve">(</w:t>
      </w:r>
      <w:hyperlink w:anchor="ref-wang2022e5">
        <w:r>
          <w:rPr>
            <w:rStyle w:val="Hyperlink"/>
          </w:rPr>
          <w:t xml:space="preserve">L. Wang et al. 2022</w:t>
        </w:r>
      </w:hyperlink>
      <w:r>
        <w:t xml:space="preserve">)</w:t>
      </w:r>
      <w:r>
        <w:t xml:space="preserve"> </w:t>
      </w:r>
      <w:r>
        <w:t xml:space="preserve">and Qwen3-Embedding-0.6B</w:t>
      </w:r>
      <w:r>
        <w:t xml:space="preserve"> </w:t>
      </w:r>
      <w:r>
        <w:t xml:space="preserve">(</w:t>
      </w:r>
      <w:hyperlink w:anchor="ref-zhang2025qwen3emb">
        <w:r>
          <w:rPr>
            <w:rStyle w:val="Hyperlink"/>
          </w:rPr>
          <w:t xml:space="preserve">Zhang et al. 2025</w:t>
        </w:r>
      </w:hyperlink>
      <w:r>
        <w:t xml:space="preserve">)</w:t>
      </w:r>
      <w:r>
        <w:t xml:space="preserve">. Each model ran at a pinned revision in half precision with a maximum of 256 tokens and its documented query and passage prefixes. Dense search used exact inner-product search in FAISS</w:t>
      </w:r>
      <w:r>
        <w:t xml:space="preserve"> </w:t>
      </w:r>
      <w:r>
        <w:t xml:space="preserve">(</w:t>
      </w:r>
      <w:hyperlink w:anchor="ref-johnson2021faiss">
        <w:r>
          <w:rPr>
            <w:rStyle w:val="Hyperlink"/>
          </w:rPr>
          <w:t xml:space="preserve">Johnson, Douze, and Jegou 2021</w:t>
        </w:r>
      </w:hyperlink>
      <w:r>
        <w:t xml:space="preserve">)</w:t>
      </w:r>
      <w:r>
        <w:t xml:space="preserve">. Table </w:t>
      </w:r>
      <w:hyperlink w:anchor="tab:models">
        <w:r>
          <w:rPr>
            <w:rStyle w:val="Hyperlink"/>
          </w:rPr>
          <w:t xml:space="preserve">[tab:models]</w:t>
        </w:r>
      </w:hyperlink>
      <w:r>
        <w:t xml:space="preserve"> </w:t>
      </w:r>
      <w:r>
        <w:t xml:space="preserve">in the appendix lists the models, revisions and prefixes.</w:t>
      </w:r>
    </w:p>
    <w:bookmarkEnd w:id="37"/>
    <w:bookmarkStart w:id="38" w:name="sec:readers"/>
    <w:p>
      <w:pPr>
        <w:pStyle w:val="Heading2"/>
      </w:pPr>
      <w:r>
        <w:t xml:space="preserve">Readers and prompts</w:t>
      </w:r>
    </w:p>
    <w:p>
      <w:pPr>
        <w:pStyle w:val="FirstParagraph"/>
      </w:pPr>
      <w:r>
        <w:t xml:space="preserve">The readers were Qwen2.5-7B-Instruct</w:t>
      </w:r>
      <w:r>
        <w:t xml:space="preserve"> </w:t>
      </w:r>
      <w:r>
        <w:t xml:space="preserve">(</w:t>
      </w:r>
      <w:hyperlink w:anchor="ref-qwen2025qwen25">
        <w:r>
          <w:rPr>
            <w:rStyle w:val="Hyperlink"/>
          </w:rPr>
          <w:t xml:space="preserve">Qwen et al. 2024</w:t>
        </w:r>
      </w:hyperlink>
      <w:r>
        <w:t xml:space="preserve">)</w:t>
      </w:r>
      <w:r>
        <w:t xml:space="preserve"> </w:t>
      </w:r>
      <w:r>
        <w:t xml:space="preserve">and Llama-3.1-8B-Instruct</w:t>
      </w:r>
      <w:r>
        <w:t xml:space="preserve"> </w:t>
      </w:r>
      <w:r>
        <w:t xml:space="preserve">(</w:t>
      </w:r>
      <w:hyperlink w:anchor="ref-grattafiori2024llama3">
        <w:r>
          <w:rPr>
            <w:rStyle w:val="Hyperlink"/>
          </w:rPr>
          <w:t xml:space="preserve">Grattafiori et al. 2024</w:t>
        </w:r>
      </w:hyperlink>
      <w:r>
        <w:t xml:space="preserve">)</w:t>
      </w:r>
      <w:r>
        <w:t xml:space="preserve">, both in 4-bit AWQ form</w:t>
      </w:r>
      <w:r>
        <w:t xml:space="preserve"> </w:t>
      </w:r>
      <w:r>
        <w:t xml:space="preserve">(</w:t>
      </w:r>
      <w:hyperlink w:anchor="ref-lin2024awq">
        <w:r>
          <w:rPr>
            <w:rStyle w:val="Hyperlink"/>
          </w:rPr>
          <w:t xml:space="preserve">Lin et al. 2024</w:t>
        </w:r>
      </w:hyperlink>
      <w:r>
        <w:t xml:space="preserve">)</w:t>
      </w:r>
      <w:r>
        <w:t xml:space="preserve">, served with vLLM</w:t>
      </w:r>
      <w:r>
        <w:t xml:space="preserve"> </w:t>
      </w:r>
      <w:r>
        <w:t xml:space="preserve">(</w:t>
      </w:r>
      <w:hyperlink w:anchor="ref-kwon2023vllm">
        <w:r>
          <w:rPr>
            <w:rStyle w:val="Hyperlink"/>
          </w:rPr>
          <w:t xml:space="preserve">Kwon et al. 2023</w:t>
        </w:r>
      </w:hyperlink>
      <w:r>
        <w:t xml:space="preserve">)</w:t>
      </w:r>
      <w:r>
        <w:t xml:space="preserve"> </w:t>
      </w:r>
      <w:r>
        <w:t xml:space="preserve">on one T4 each. Decoding was greedy with at most 32 new tokens and a stop at a newline. The main prompt (A1) gives the top</w:t>
      </w:r>
      <w:r>
        <w:t xml:space="preserve"> </w:t>
      </w:r>
      <m:oMath>
        <m:r>
          <m:t>k</m:t>
        </m:r>
        <m:r>
          <m:rPr>
            <m:sty m:val="p"/>
          </m:rPr>
          <m:t>=</m:t>
        </m:r>
        <m:r>
          <m:t>5</m:t>
        </m:r>
      </m:oMath>
      <w:r>
        <w:t xml:space="preserve"> </w:t>
      </w:r>
      <w:r>
        <w:t xml:space="preserve">passages in rank order, each as</w:t>
      </w:r>
      <w:r>
        <w:t xml:space="preserve"> </w:t>
      </w:r>
      <w:r>
        <w:t xml:space="preserve">“</w:t>
      </w:r>
      <w:r>
        <w:t xml:space="preserve">[i] title / text</w:t>
      </w:r>
      <w:r>
        <w:t xml:space="preserve">”</w:t>
      </w:r>
      <w:r>
        <w:t xml:space="preserve">, and asks for a short answer (Appendix </w:t>
      </w:r>
      <w:hyperlink w:anchor="app:prompts">
        <w:r>
          <w:rPr>
            <w:rStyle w:val="Hyperlink"/>
          </w:rPr>
          <w:t xml:space="preserve">9</w:t>
        </w:r>
      </w:hyperlink>
      <w:r>
        <w:t xml:space="preserve">). Two reference conditions frame each cell: closed book (no passages) and gold passages only. They are references, not hard bounds: a retrieved context can in principle beat the gold-only context.</w:t>
      </w:r>
    </w:p>
    <w:bookmarkEnd w:id="38"/>
    <w:bookmarkStart w:id="39" w:name="sec:metrics"/>
    <w:p>
      <w:pPr>
        <w:pStyle w:val="Heading2"/>
      </w:pPr>
      <w:r>
        <w:t xml:space="preserve">Metrics</w:t>
      </w:r>
    </w:p>
    <w:p>
      <w:pPr>
        <w:pStyle w:val="FirstParagraph"/>
      </w:pPr>
      <w:r>
        <w:t xml:space="preserve">Hit@5 is 1 if at least one gold passage is in the top five. Every HotpotQA query has exactly two distinct gold passages; Both@5 is 1 if both are in the top five. nDCG@10 uses binary gains. EM is 1 if the normalised answer equals a normalised reference answer. Normalisation follows SQuAD (lower case, no punctuation or articles, single spaces) and also removes typographic quotes, en and em dashes and the ellipsis; a plain SQuAD normaliser would change the score of 91 of 131,855 answers (0.07%). Token F1 and answer containment (AC; a normalised reference occurs in the normalised output) are secondary metrics, because lexical EM undercounts correct answers from language models</w:t>
      </w:r>
      <w:r>
        <w:t xml:space="preserve"> </w:t>
      </w:r>
      <w:r>
        <w:t xml:space="preserve">(</w:t>
      </w:r>
      <w:hyperlink w:anchor="ref-kamalloo2023">
        <w:r>
          <w:rPr>
            <w:rStyle w:val="Hyperlink"/>
          </w:rPr>
          <w:t xml:space="preserve">Kamalloo et al. 2023</w:t>
        </w:r>
      </w:hyperlink>
      <w:r>
        <w:t xml:space="preserve">)</w:t>
      </w:r>
      <w:r>
        <w:t xml:space="preserve">.</w:t>
      </w:r>
    </w:p>
    <w:bookmarkEnd w:id="39"/>
    <w:bookmarkStart w:id="40" w:name="sec:stats"/>
    <w:p>
      <w:pPr>
        <w:pStyle w:val="Heading2"/>
      </w:pPr>
      <w:r>
        <w:t xml:space="preserve">Statistical analysis</w:t>
      </w:r>
    </w:p>
    <w:p>
      <w:pPr>
        <w:pStyle w:val="FirstParagraph"/>
      </w:pPr>
      <w:r>
        <w:t xml:space="preserve">All comparisons are paired by query. Binary outcomes use the exact McNemar test</w:t>
      </w:r>
      <w:r>
        <w:t xml:space="preserve"> </w:t>
      </w:r>
      <w:r>
        <w:t xml:space="preserve">(</w:t>
      </w:r>
      <w:hyperlink w:anchor="ref-mcnemar1947">
        <w:r>
          <w:rPr>
            <w:rStyle w:val="Hyperlink"/>
          </w:rPr>
          <w:t xml:space="preserve">McNemar 1947</w:t>
        </w:r>
      </w:hyperlink>
      <w:r>
        <w:t xml:space="preserve">)</w:t>
      </w:r>
      <w:r>
        <w:t xml:space="preserve">. Within each reader–dataset cell, the 21 pairwise retriever comparisons of a metric form one family with Holm correction</w:t>
      </w:r>
      <w:r>
        <w:t xml:space="preserve"> </w:t>
      </w:r>
      <w:r>
        <w:t xml:space="preserve">(</w:t>
      </w:r>
      <w:hyperlink w:anchor="ref-holm1979">
        <w:r>
          <w:rPr>
            <w:rStyle w:val="Hyperlink"/>
          </w:rPr>
          <w:t xml:space="preserve">Holm 1979</w:t>
        </w:r>
      </w:hyperlink>
      <w:r>
        <w:t xml:space="preserve">)</w:t>
      </w:r>
      <w:r>
        <w:t xml:space="preserve">; on the full NQ corpus the family is the six pairs among the four retrievers run there. Intervals are 95% percentile bootstrap intervals over queries</w:t>
      </w:r>
      <w:r>
        <w:t xml:space="preserve"> </w:t>
      </w:r>
      <w:r>
        <w:t xml:space="preserve">(</w:t>
      </w:r>
      <w:hyperlink w:anchor="ref-efron1993bootstrap">
        <w:r>
          <w:rPr>
            <w:rStyle w:val="Hyperlink"/>
          </w:rPr>
          <w:t xml:space="preserve">Efron and Tibshirani 1993</w:t>
        </w:r>
      </w:hyperlink>
      <w:r>
        <w:t xml:space="preserve">)</w:t>
      </w:r>
      <w:r>
        <w:t xml:space="preserve"> </w:t>
      </w:r>
      <w:r>
        <w:t xml:space="preserve">with 10,000 resamples and seed 0; for</w:t>
      </w:r>
      <w:r>
        <w:t xml:space="preserve"> </w:t>
      </w:r>
      <m:oMath>
        <m:r>
          <m:t>T</m:t>
        </m:r>
        <m:d>
          <m:dPr>
            <m:begChr m:val="("/>
            <m:endChr m:val=")"/>
            <m:sepChr m:val=""/>
            <m:grow/>
          </m:dPr>
          <m:e>
            <m:r>
              <m:t>R</m:t>
            </m:r>
          </m:e>
        </m:d>
      </m:oMath>
      <w:r>
        <w:t xml:space="preserve"> </w:t>
      </w:r>
      <w:r>
        <w:t xml:space="preserve">the numerator and denominator are resampled together, and no resample produced a zero or reversed Hit@5 difference. For the query-level accounting each query keeps its group, so group sizes vary across resamples and the interval is for the group’s contribution to the population EM gain. A secondary model pools the four cells: a logistic generalised estimating equation</w:t>
      </w:r>
      <w:r>
        <w:t xml:space="preserve"> </w:t>
      </w:r>
      <w:r>
        <w:t xml:space="preserve">(</w:t>
      </w:r>
      <w:hyperlink w:anchor="ref-liang1986gee">
        <w:r>
          <w:rPr>
            <w:rStyle w:val="Hyperlink"/>
          </w:rPr>
          <w:t xml:space="preserve">Liang and Zeger 1986</w:t>
        </w:r>
      </w:hyperlink>
      <w:r>
        <w:t xml:space="preserve">)</w:t>
      </w:r>
      <w:r>
        <w:t xml:space="preserve"> </w:t>
      </w:r>
      <w:r>
        <w:t xml:space="preserve">for EM with retriever, dataset and reader as factors, an exchangeable working correlation within query, and empirical (sandwich) standard errors. The cluster is the query, which carries all retrievers and both readers of its dataset. This registered model assumes one retriever effect for both datasets. Post hoc, we test that assumption with a Wald test of retriever</w:t>
      </w:r>
      <w:r>
        <w:t xml:space="preserve"> </w:t>
      </w:r>
      <m:oMath>
        <m:r>
          <m:rPr>
            <m:sty m:val="p"/>
          </m:rPr>
          <m:t>×</m:t>
        </m:r>
      </m:oMath>
      <w:r>
        <w:t xml:space="preserve"> </w:t>
      </w:r>
      <w:r>
        <w:t xml:space="preserve">dataset interaction terms (and of retriever</w:t>
      </w:r>
      <w:r>
        <w:t xml:space="preserve"> </w:t>
      </w:r>
      <m:oMath>
        <m:r>
          <m:rPr>
            <m:sty m:val="p"/>
          </m:rPr>
          <m:t>×</m:t>
        </m:r>
      </m:oMath>
      <w:r>
        <w:t xml:space="preserve"> </w:t>
      </w:r>
      <w:r>
        <w:t xml:space="preserve">reader terms) and report dataset-specific odds ratios from the interaction model. Agreement between the LLM judge and human labels uses Cohen’s</w:t>
      </w:r>
      <w:r>
        <w:t xml:space="preserve"> </w:t>
      </w:r>
      <m:oMath>
        <m:r>
          <m:t>κ</m:t>
        </m:r>
      </m:oMath>
      <w:r>
        <w:t xml:space="preserve"> </w:t>
      </w:r>
      <w:r>
        <w:t xml:space="preserve">(</w:t>
      </w:r>
      <w:hyperlink w:anchor="ref-cohen1960kappa">
        <w:r>
          <w:rPr>
            <w:rStyle w:val="Hyperlink"/>
          </w:rPr>
          <w:t xml:space="preserve">Cohen 1960</w:t>
        </w:r>
      </w:hyperlink>
      <w:r>
        <w:t xml:space="preserve">;</w:t>
      </w:r>
      <w:r>
        <w:t xml:space="preserve"> </w:t>
      </w:r>
      <w:hyperlink w:anchor="ref-landis1977">
        <w:r>
          <w:rPr>
            <w:rStyle w:val="Hyperlink"/>
          </w:rPr>
          <w:t xml:space="preserve">Landis and Koch 1977</w:t>
        </w:r>
      </w:hyperlink>
      <w:r>
        <w:t xml:space="preserve">)</w:t>
      </w:r>
      <w:r>
        <w:t xml:space="preserve">. A non-significant test is reported as</w:t>
      </w:r>
      <w:r>
        <w:t xml:space="preserve"> </w:t>
      </w:r>
      <w:r>
        <w:t xml:space="preserve">“</w:t>
      </w:r>
      <w:r>
        <w:t xml:space="preserve">no difference detected</w:t>
      </w:r>
      <w:r>
        <w:t xml:space="preserve">”</w:t>
      </w:r>
      <w:r>
        <w:t xml:space="preserve">, not as equivalence.</w:t>
      </w:r>
    </w:p>
    <w:bookmarkEnd w:id="40"/>
    <w:bookmarkStart w:id="44" w:name="sec:prereg"/>
    <w:p>
      <w:pPr>
        <w:pStyle w:val="Heading2"/>
      </w:pPr>
      <w:r>
        <w:t xml:space="preserve">Pre-registered predictions</w:t>
      </w:r>
    </w:p>
    <w:p>
      <w:pPr>
        <w:pStyle w:val="FirstParagraph"/>
      </w:pPr>
      <w:r>
        <w:t xml:space="preserve">Phase 1 (Qwen reader, NQ) was designed and committed before any data were generated. Before Phase 2 we registered six predictions (Table </w:t>
      </w:r>
      <w:hyperlink w:anchor="tab:predictions">
        <w:r>
          <w:rPr>
            <w:rStyle w:val="Hyperlink"/>
          </w:rPr>
          <w:t xml:space="preserve">[tab:predictions]</w:t>
        </w:r>
      </w:hyperlink>
      <w:r>
        <w:t xml:space="preserve">):</w:t>
      </w:r>
    </w:p>
    <w:p>
      <w:pPr>
        <w:pStyle w:val="DefinitionTerm"/>
      </w:pPr>
      <w:r>
        <w:t xml:space="preserve">P1</w:t>
      </w:r>
    </w:p>
    <w:p>
      <w:pPr>
        <w:pStyle w:val="Definition"/>
      </w:pPr>
      <w:r>
        <w:t xml:space="preserve">In each new cell, every reportable</w:t>
      </w:r>
      <w:r>
        <w:t xml:space="preserve"> </w:t>
      </w:r>
      <m:oMath>
        <m:r>
          <m:t>T</m:t>
        </m:r>
        <m:d>
          <m:dPr>
            <m:begChr m:val="("/>
            <m:endChr m:val=")"/>
            <m:sepChr m:val=""/>
            <m:grow/>
          </m:dPr>
          <m:e>
            <m:r>
              <m:t>R</m:t>
            </m:r>
          </m:e>
        </m:d>
      </m:oMath>
      <w:r>
        <w:t xml:space="preserve"> </w:t>
      </w:r>
      <w:r>
        <w:t xml:space="preserve">of a dense encoder has an upper 95% bound below 1.</w:t>
      </w:r>
    </w:p>
    <w:p>
      <w:pPr>
        <w:pStyle w:val="DefinitionTerm"/>
      </w:pPr>
      <w:r>
        <w:t xml:space="preserve">P2</w:t>
      </w:r>
    </w:p>
    <w:p>
      <w:pPr>
        <w:pStyle w:val="Definition"/>
      </w:pPr>
      <w:r>
        <w:t xml:space="preserve">In each new cell, bge-large and Qwen3-Embedding-0.6B show no Holm-significant EM gain over e5-base-v2.</w:t>
      </w:r>
    </w:p>
    <w:p>
      <w:pPr>
        <w:pStyle w:val="DefinitionTerm"/>
      </w:pPr>
      <w:r>
        <w:t xml:space="preserve">P3</w:t>
      </w:r>
    </w:p>
    <w:p>
      <w:pPr>
        <w:pStyle w:val="Definition"/>
      </w:pPr>
      <w:r>
        <w:t xml:space="preserve">The nDCG@10 ordering of BM25, MiniLM-L6, bge-small and e5-base-v2 on the sub-corpus holds on the full corpus.</w:t>
      </w:r>
    </w:p>
    <w:p>
      <w:pPr>
        <w:pStyle w:val="DefinitionTerm"/>
      </w:pPr>
      <w:r>
        <w:t xml:space="preserve">P4</w:t>
      </w:r>
    </w:p>
    <w:p>
      <w:pPr>
        <w:pStyle w:val="Definition"/>
      </w:pPr>
      <w:r>
        <w:t xml:space="preserve">For every retriever, EM at</w:t>
      </w:r>
      <w:r>
        <w:t xml:space="preserve"> </w:t>
      </w:r>
      <m:oMath>
        <m:r>
          <m:t>k</m:t>
        </m:r>
        <m:r>
          <m:rPr>
            <m:sty m:val="p"/>
          </m:rPr>
          <m:t>=</m:t>
        </m:r>
        <m:r>
          <m:t>1</m:t>
        </m:r>
      </m:oMath>
      <w:r>
        <w:t xml:space="preserve"> </w:t>
      </w:r>
      <w:r>
        <w:t xml:space="preserve">is lower than at</w:t>
      </w:r>
      <w:r>
        <w:t xml:space="preserve"> </w:t>
      </w:r>
      <m:oMath>
        <m:r>
          <m:t>k</m:t>
        </m:r>
        <m:r>
          <m:rPr>
            <m:sty m:val="p"/>
          </m:rPr>
          <m:t>=</m:t>
        </m:r>
        <m:r>
          <m:t>5</m:t>
        </m:r>
      </m:oMath>
      <w:r>
        <w:t xml:space="preserve">.</w:t>
      </w:r>
    </w:p>
    <w:p>
      <w:pPr>
        <w:pStyle w:val="DefinitionTerm"/>
      </w:pPr>
      <w:r>
        <w:t xml:space="preserve">P5</w:t>
      </w:r>
    </w:p>
    <w:p>
      <w:pPr>
        <w:pStyle w:val="Definition"/>
      </w:pPr>
      <w:r>
        <w:t xml:space="preserve">Gold plus four hard negatives gives lower EM than gold plus four random passages.</w:t>
      </w:r>
    </w:p>
    <w:p>
      <w:pPr>
        <w:pStyle w:val="DefinitionTerm"/>
      </w:pPr>
      <w:r>
        <w:t xml:space="preserve">P6</w:t>
      </w:r>
    </w:p>
    <w:p>
      <w:pPr>
        <w:pStyle w:val="Definition"/>
      </w:pPr>
      <w:r>
        <w:t xml:space="preserve">The position of the gold passage (1, 3 or 5) changes EM.</w:t>
      </w:r>
    </w:p>
    <w:p>
      <w:pPr>
        <w:pStyle w:val="FirstParagraph"/>
      </w:pPr>
      <w:r>
        <w:t xml:space="preserve">Before Phase 3 we registered two predictions for the readers on the full NQ corpus, together with the analysis of Section </w:t>
      </w:r>
      <w:hyperlink w:anchor="sec:res-full">
        <w:r>
          <w:rPr>
            <w:rStyle w:val="Hyperlink"/>
          </w:rPr>
          <w:t xml:space="preserve">5.4</w:t>
        </w:r>
      </w:hyperlink>
      <w:r>
        <w:t xml:space="preserve">:</w:t>
      </w:r>
    </w:p>
    <w:p>
      <w:pPr>
        <w:pStyle w:val="DefinitionTerm"/>
      </w:pPr>
      <w:r>
        <w:t xml:space="preserve">P7</w:t>
      </w:r>
    </w:p>
    <w:p>
      <w:pPr>
        <w:pStyle w:val="Definition"/>
      </w:pPr>
      <w:r>
        <w:t xml:space="preserve">For each reader, every reportable full-corpus</w:t>
      </w:r>
      <w:r>
        <w:t xml:space="preserve"> </w:t>
      </w:r>
      <m:oMath>
        <m:r>
          <m:t>T</m:t>
        </m:r>
        <m:d>
          <m:dPr>
            <m:begChr m:val="("/>
            <m:endChr m:val=")"/>
            <m:sepChr m:val=""/>
            <m:grow/>
          </m:dPr>
          <m:e>
            <m:r>
              <m:t>R</m:t>
            </m:r>
          </m:e>
        </m:d>
      </m:oMath>
      <w:r>
        <w:t xml:space="preserve"> </w:t>
      </w:r>
      <w:r>
        <w:t xml:space="preserve">of a dense encoder has an upper 95% bound below 1.</w:t>
      </w:r>
    </w:p>
    <w:p>
      <w:pPr>
        <w:pStyle w:val="DefinitionTerm"/>
      </w:pPr>
      <w:r>
        <w:t xml:space="preserve">P8</w:t>
      </w:r>
    </w:p>
    <w:p>
      <w:pPr>
        <w:pStyle w:val="Definition"/>
      </w:pPr>
      <w:r>
        <w:t xml:space="preserve">For each reader, the full-corpus</w:t>
      </w:r>
      <w:r>
        <w:t xml:space="preserve"> </w:t>
      </w:r>
      <m:oMath>
        <m:r>
          <m:t>T</m:t>
        </m:r>
      </m:oMath>
      <w:r>
        <w:t xml:space="preserve"> </w:t>
      </w:r>
      <w:r>
        <w:t xml:space="preserve">of e5-base-v2 lies inside its sub-corpus 95% interval.</w:t>
      </w:r>
    </w:p>
    <w:p>
      <w:pPr>
        <w:pStyle w:val="FirstParagraph"/>
      </w:pPr>
      <w:r>
        <w:t xml:space="preserve">Fig. </w:t>
      </w:r>
      <w:hyperlink w:anchor="fig:phases">
        <w:r>
          <w:rPr>
            <w:rStyle w:val="Hyperlink"/>
          </w:rPr>
          <w:t xml:space="preserve">2</w:t>
        </w:r>
      </w:hyperlink>
      <w:r>
        <w:t xml:space="preserve"> </w:t>
      </w:r>
      <w:r>
        <w:t xml:space="preserve">shows the sessions of the three phases. The Qwen–NQ cell and the</w:t>
      </w:r>
      <w:r>
        <w:t xml:space="preserve"> </w:t>
      </w:r>
      <m:oMath>
        <m:r>
          <m:t>k</m:t>
        </m:r>
      </m:oMath>
      <w:r>
        <w:t xml:space="preserve"> </w:t>
      </w:r>
      <w:r>
        <w:t xml:space="preserve">ablation for BM25, MiniLM-L6 and bge-large existed before registration. Their P1, P2 and P4 verdicts are therefore not confirmatory, and Table </w:t>
      </w:r>
      <w:hyperlink w:anchor="tab:predictions">
        <w:r>
          <w:rPr>
            <w:rStyle w:val="Hyperlink"/>
          </w:rPr>
          <w:t xml:space="preserve">[tab:predictions]</w:t>
        </w:r>
      </w:hyperlink>
      <w:r>
        <w:t xml:space="preserve"> </w:t>
      </w:r>
      <w:r>
        <w:t xml:space="preserve">marks them. All other analyses are descriptive or secondary. Appendix </w:t>
      </w:r>
      <w:hyperlink w:anchor="app:prereg">
        <w:r>
          <w:rPr>
            <w:rStyle w:val="Hyperlink"/>
          </w:rPr>
          <w:t xml:space="preserve">12</w:t>
        </w:r>
      </w:hyperlink>
      <w:r>
        <w:t xml:space="preserve"> </w:t>
      </w:r>
      <w:r>
        <w:t xml:space="preserve">lists the design documents and their dates.</w:t>
      </w:r>
    </w:p>
    <w:p>
      <w:pPr>
        <w:pStyle w:val="CaptionedFigure"/>
      </w:pPr>
      <w:r>
        <w:drawing>
          <wp:inline>
            <wp:extent cx="5012379" cy="2330343"/>
            <wp:effectExtent b="0" l="0" r="0" t="0"/>
            <wp:docPr descr="" title="" id="42" name="Picture"/>
            <a:graphic>
              <a:graphicData uri="http://schemas.openxmlformats.org/drawingml/2006/picture">
                <pic:pic>
                  <pic:nvPicPr>
                    <pic:cNvPr descr="/home/claude/rag-embed-transfer/paper_figures/out/fig8_phases.png" id="43" name="Picture"/>
                    <pic:cNvPicPr>
                      <a:picLocks noChangeArrowheads="1" noChangeAspect="1"/>
                    </pic:cNvPicPr>
                  </pic:nvPicPr>
                  <pic:blipFill>
                    <a:blip r:embed="rId41"/>
                    <a:stretch>
                      <a:fillRect/>
                    </a:stretch>
                  </pic:blipFill>
                  <pic:spPr bwMode="auto">
                    <a:xfrm>
                      <a:off x="0" y="0"/>
                      <a:ext cx="5012379" cy="2330343"/>
                    </a:xfrm>
                    <a:prstGeom prst="rect">
                      <a:avLst/>
                    </a:prstGeom>
                    <a:noFill/>
                    <a:ln w="9525">
                      <a:noFill/>
                      <a:headEnd/>
                      <a:tailEnd/>
                    </a:ln>
                  </pic:spPr>
                </pic:pic>
              </a:graphicData>
            </a:graphic>
          </wp:inline>
        </w:drawing>
      </w:r>
    </w:p>
    <w:p>
      <w:pPr>
        <w:pStyle w:val="ImageCaption"/>
      </w:pPr>
      <w:r>
        <w:t xml:space="preserve">Study phases and Kaggle sessions. Each phase started with a dated design document; Phase 2 added the second dataset, the second reader and the additional experiments, and Phase 3 the readers on full-corpus NQ retrieval.</w:t>
      </w:r>
    </w:p>
    <w:bookmarkEnd w:id="44"/>
    <w:bookmarkStart w:id="54" w:name="sec:extra"/>
    <w:p>
      <w:pPr>
        <w:pStyle w:val="Heading2"/>
      </w:pPr>
      <w:r>
        <w:t xml:space="preserve">Additional experiments</w:t>
      </w:r>
    </w:p>
    <w:bookmarkStart w:id="45" w:name="top-k-e4"/>
    <w:p>
      <w:pPr>
        <w:pStyle w:val="Heading4"/>
      </w:pPr>
      <w:r>
        <w:t xml:space="preserve">Top-</w:t>
      </w:r>
      <m:oMath>
        <m:r>
          <m:t>k</m:t>
        </m:r>
      </m:oMath>
      <w:r>
        <w:t xml:space="preserve"> </w:t>
      </w:r>
      <w:r>
        <w:t xml:space="preserve">(E4)</w:t>
      </w:r>
    </w:p>
    <w:p>
      <w:pPr>
        <w:pStyle w:val="FirstParagraph"/>
      </w:pPr>
      <w:r>
        <w:t xml:space="preserve">The Qwen reader answered all NQ queries with</w:t>
      </w:r>
      <w:r>
        <w:t xml:space="preserve"> </w:t>
      </w:r>
      <m:oMath>
        <m:r>
          <m:t>k</m:t>
        </m:r>
        <m:r>
          <m:rPr>
            <m:sty m:val="p"/>
          </m:rPr>
          <m:t>∈</m:t>
        </m:r>
        <m:r>
          <m:rPr>
            <m:sty m:val="p"/>
          </m:rPr>
          <m:t>{</m:t>
        </m:r>
        <m:r>
          <m:t>1</m:t>
        </m:r>
        <m:r>
          <m:rPr>
            <m:sty m:val="p"/>
          </m:rPr>
          <m:t>,</m:t>
        </m:r>
        <m:r>
          <m:t>3</m:t>
        </m:r>
        <m:r>
          <m:rPr>
            <m:sty m:val="p"/>
          </m:rPr>
          <m:t>,</m:t>
        </m:r>
        <m:r>
          <m:t>5</m:t>
        </m:r>
        <m:r>
          <m:rPr>
            <m:sty m:val="p"/>
          </m:rPr>
          <m:t>,</m:t>
        </m:r>
        <m:r>
          <m:t>10</m:t>
        </m:r>
        <m:r>
          <m:rPr>
            <m:sty m:val="p"/>
          </m:rPr>
          <m:t>}</m:t>
        </m:r>
      </m:oMath>
      <w:r>
        <w:t xml:space="preserve"> </w:t>
      </w:r>
      <w:r>
        <w:t xml:space="preserve">for all seven retrievers.</w:t>
      </w:r>
    </w:p>
    <w:bookmarkEnd w:id="45"/>
    <w:bookmarkStart w:id="46" w:name="context-composition-e12"/>
    <w:p>
      <w:pPr>
        <w:pStyle w:val="Heading4"/>
      </w:pPr>
      <w:r>
        <w:t xml:space="preserve">Context composition (E12)</w:t>
      </w:r>
    </w:p>
    <w:p>
      <w:pPr>
        <w:pStyle w:val="FirstParagraph"/>
      </w:pPr>
      <w:r>
        <w:t xml:space="preserve">On the leading 500 NQ generation queries of the seeded order, the Qwen reader always saw five passages: gold at position 1 plus four hard negatives (M1); gold at position 3 or 5 among the same negatives (M3, M5); gold at position 1 plus four random passages (MR); and the gold passage alone (MG). Hard negatives are the top-ranked BM25 passages that are not labelled gold.</w:t>
      </w:r>
    </w:p>
    <w:bookmarkEnd w:id="46"/>
    <w:bookmarkStart w:id="47" w:name="reranking-e5"/>
    <w:p>
      <w:pPr>
        <w:pStyle w:val="Heading4"/>
      </w:pPr>
      <w:r>
        <w:t xml:space="preserve">Reranking (E5)</w:t>
      </w:r>
    </w:p>
    <w:p>
      <w:pPr>
        <w:pStyle w:val="FirstParagraph"/>
      </w:pPr>
      <w:r>
        <w:t xml:space="preserve">A cross-encoder, bge-reranker-base, reranked the top 50 passages of BM25 and of e5-base-v2</w:t>
      </w:r>
      <w:r>
        <w:t xml:space="preserve"> </w:t>
      </w:r>
      <w:r>
        <w:t xml:space="preserve">(</w:t>
      </w:r>
      <w:hyperlink w:anchor="ref-nogueira2019passage">
        <w:r>
          <w:rPr>
            <w:rStyle w:val="Hyperlink"/>
          </w:rPr>
          <w:t xml:space="preserve">Nogueira and Cho 2019</w:t>
        </w:r>
      </w:hyperlink>
      <w:r>
        <w:t xml:space="preserve">;</w:t>
      </w:r>
      <w:r>
        <w:t xml:space="preserve"> </w:t>
      </w:r>
      <w:hyperlink w:anchor="ref-xiao2024cpack">
        <w:r>
          <w:rPr>
            <w:rStyle w:val="Hyperlink"/>
          </w:rPr>
          <w:t xml:space="preserve">Xiao et al. 2024</w:t>
        </w:r>
      </w:hyperlink>
      <w:r>
        <w:t xml:space="preserve">)</w:t>
      </w:r>
      <w:r>
        <w:t xml:space="preserve">; the Qwen reader then answered NQ from the reranked top five.</w:t>
      </w:r>
    </w:p>
    <w:bookmarkEnd w:id="47"/>
    <w:bookmarkStart w:id="48" w:name="approximate-search-e6"/>
    <w:p>
      <w:pPr>
        <w:pStyle w:val="Heading4"/>
      </w:pPr>
      <w:r>
        <w:t xml:space="preserve">Approximate search (E6)</w:t>
      </w:r>
    </w:p>
    <w:p>
      <w:pPr>
        <w:pStyle w:val="FirstParagraph"/>
      </w:pPr>
      <w:r>
        <w:t xml:space="preserve">HNSW indexes</w:t>
      </w:r>
      <w:r>
        <w:t xml:space="preserve"> </w:t>
      </w:r>
      <w:r>
        <w:t xml:space="preserve">(</w:t>
      </w:r>
      <w:hyperlink w:anchor="ref-malkov2020hnsw">
        <w:r>
          <w:rPr>
            <w:rStyle w:val="Hyperlink"/>
          </w:rPr>
          <w:t xml:space="preserve">Malkov and Yashunin 2020</w:t>
        </w:r>
      </w:hyperlink>
      <w:r>
        <w:t xml:space="preserve">)</w:t>
      </w:r>
      <w:r>
        <w:t xml:space="preserve"> </w:t>
      </w:r>
      <w:r>
        <w:t xml:space="preserve">(</w:t>
      </w:r>
      <m:oMath>
        <m:r>
          <m:t>M</m:t>
        </m:r>
        <m:r>
          <m:rPr>
            <m:sty m:val="p"/>
          </m:rPr>
          <m:t>=</m:t>
        </m:r>
        <m:r>
          <m:t>32</m:t>
        </m:r>
      </m:oMath>
      <w:r>
        <w:t xml:space="preserve">, efConstruction 200, efSearch 64 and 128) replaced exact search for MiniLM-L6, bge-small and e5-base-v2 on the NQ sub-corpus.</w:t>
      </w:r>
    </w:p>
    <w:bookmarkEnd w:id="48"/>
    <w:bookmarkStart w:id="49" w:name="full-corpus-e9"/>
    <w:p>
      <w:pPr>
        <w:pStyle w:val="Heading4"/>
      </w:pPr>
      <w:r>
        <w:t xml:space="preserve">Full corpus (E9)</w:t>
      </w:r>
    </w:p>
    <w:p>
      <w:pPr>
        <w:pStyle w:val="FirstParagraph"/>
      </w:pPr>
      <w:r>
        <w:t xml:space="preserve">BM25, MiniLM-L6, bge-small and e5-base-v2 retrieved from the full NQ corpus for all judged queries.</w:t>
      </w:r>
    </w:p>
    <w:bookmarkEnd w:id="49"/>
    <w:bookmarkStart w:id="50" w:name="full-corpus-readers-phase-3"/>
    <w:p>
      <w:pPr>
        <w:pStyle w:val="Heading4"/>
      </w:pPr>
      <w:r>
        <w:t xml:space="preserve">Full-corpus readers (Phase 3)</w:t>
      </w:r>
    </w:p>
    <w:p>
      <w:pPr>
        <w:pStyle w:val="FirstParagraph"/>
      </w:pPr>
      <w:r>
        <w:t xml:space="preserve">MiniLM-L6, bge-small and e5-base-v2 encoded all 2,681,468 NQ passages again, with the same revisions and settings, and exact search returned the top 100 passages for every judged query; the BM25 full-corpus run of Phase 1 was reused. Both readers then answered the 2,255 NQ generation queries from the top five passages of these four retrievers with prompt A1 and greedy decoding (18,040 answers). The ranked lists, reader outputs and scores were all stored.</w:t>
      </w:r>
    </w:p>
    <w:bookmarkEnd w:id="50"/>
    <w:bookmarkStart w:id="51" w:name="answer-strings-in-passages"/>
    <w:p>
      <w:pPr>
        <w:pStyle w:val="Heading4"/>
      </w:pPr>
      <w:r>
        <w:t xml:space="preserve">Answer strings in passages</w:t>
      </w:r>
    </w:p>
    <w:p>
      <w:pPr>
        <w:pStyle w:val="FirstParagraph"/>
      </w:pPr>
      <w:r>
        <w:t xml:space="preserve">For each run and query we checked whether any of the top five passages contains a reference answer: a normalised reference occurs as a whole-token span of the normalised passage title and text, the rule of answer containment. The same check covered the gold passages and, for the context experiment, the four hard negatives of each question. This is a lexical check; it was registered with Phase 3 and is descriptive.</w:t>
      </w:r>
    </w:p>
    <w:bookmarkEnd w:id="51"/>
    <w:bookmarkStart w:id="52" w:name="retrieval-stage-cost-e7"/>
    <w:p>
      <w:pPr>
        <w:pStyle w:val="Heading4"/>
      </w:pPr>
      <w:r>
        <w:t xml:space="preserve">Retrieval-stage cost (E7)</w:t>
      </w:r>
    </w:p>
    <w:p>
      <w:pPr>
        <w:pStyle w:val="FirstParagraph"/>
      </w:pPr>
      <w:r>
        <w:t xml:space="preserve">For each encoder we measured passage-encoding throughput on 20,000 passages (batch 128, after warm-up, with GPU synchronisation) and batch-1 query-encoding latency on 500 queries, five times in one session.</w:t>
      </w:r>
    </w:p>
    <w:bookmarkEnd w:id="52"/>
    <w:bookmarkStart w:id="53" w:name="judge-validation-e3"/>
    <w:p>
      <w:pPr>
        <w:pStyle w:val="Heading4"/>
      </w:pPr>
      <w:r>
        <w:t xml:space="preserve">Judge validation (E3)</w:t>
      </w:r>
    </w:p>
    <w:p>
      <w:pPr>
        <w:pStyle w:val="FirstParagraph"/>
      </w:pPr>
      <w:r>
        <w:t xml:space="preserve">In Phase 1, an LLM judge (Mistral-7B-Instruct-v0.3;</w:t>
      </w:r>
      <w:r>
        <w:t xml:space="preserve"> </w:t>
      </w:r>
      <w:r>
        <w:t xml:space="preserve">(</w:t>
      </w:r>
      <w:hyperlink w:anchor="ref-jiang2023mistral">
        <w:r>
          <w:rPr>
            <w:rStyle w:val="Hyperlink"/>
          </w:rPr>
          <w:t xml:space="preserve">Jiang et al. 2023</w:t>
        </w:r>
      </w:hyperlink>
      <w:r>
        <w:t xml:space="preserve">)</w:t>
      </w:r>
      <w:r>
        <w:t xml:space="preserve">) labelled whether each answer was supported by its passages, for 500 NQ queries per retriever. The author labelled a stratified sample of 200 items without seeing the judge’s verdicts. The registered rule was: use the judge if</w:t>
      </w:r>
      <w:r>
        <w:t xml:space="preserve"> </w:t>
      </w:r>
      <m:oMath>
        <m:r>
          <m:t>κ</m:t>
        </m:r>
        <m:r>
          <m:rPr>
            <m:sty m:val="p"/>
          </m:rPr>
          <m:t>≥</m:t>
        </m:r>
        <m:r>
          <m:t>0.4</m:t>
        </m:r>
      </m:oMath>
      <w:r>
        <w:t xml:space="preserve">, use it only with a sensitivity analysis if</w:t>
      </w:r>
      <w:r>
        <w:t xml:space="preserve"> </w:t>
      </w:r>
      <m:oMath>
        <m:r>
          <m:t>0.2</m:t>
        </m:r>
        <m:r>
          <m:rPr>
            <m:sty m:val="p"/>
          </m:rPr>
          <m:t>≤</m:t>
        </m:r>
        <m:r>
          <m:t>κ</m:t>
        </m:r>
        <m:r>
          <m:rPr>
            <m:sty m:val="p"/>
          </m:rPr>
          <m:t>&lt;</m:t>
        </m:r>
        <m:r>
          <m:t>0.4</m:t>
        </m:r>
      </m:oMath>
      <w:r>
        <w:t xml:space="preserve">, and exclude it if</w:t>
      </w:r>
      <w:r>
        <w:t xml:space="preserve"> </w:t>
      </w:r>
      <m:oMath>
        <m:r>
          <m:t>κ</m:t>
        </m:r>
        <m:r>
          <m:rPr>
            <m:sty m:val="p"/>
          </m:rPr>
          <m:t>&lt;</m:t>
        </m:r>
        <m:r>
          <m:t>0.2</m:t>
        </m:r>
      </m:oMath>
      <w:r>
        <w:t xml:space="preserve">.</w:t>
      </w:r>
    </w:p>
    <w:bookmarkEnd w:id="53"/>
    <w:bookmarkEnd w:id="54"/>
    <w:bookmarkEnd w:id="55"/>
    <w:bookmarkStart w:id="61" w:name="sec:setup"/>
    <w:p>
      <w:pPr>
        <w:pStyle w:val="Heading1"/>
      </w:pPr>
      <w:r>
        <w:t xml:space="preserve">Experimental setup</w:t>
      </w:r>
    </w:p>
    <w:bookmarkStart w:id="56" w:name="hardware-and-software"/>
    <w:p>
      <w:pPr>
        <w:pStyle w:val="Heading4"/>
      </w:pPr>
      <w:r>
        <w:t xml:space="preserve">Hardware and software</w:t>
      </w:r>
    </w:p>
    <w:p>
      <w:pPr>
        <w:pStyle w:val="FirstParagraph"/>
      </w:pPr>
      <w:r>
        <w:t xml:space="preserve">All runs used free Kaggle notebook sessions with two NVIDIA Tesla T4 GPUs (15 GB each), four virtual CPUs and 31.3 GiB of memory. Each process used one GPU; two processes could run in parallel. The code of every session was embedded in its notebook and checked against a fixed version-control tree hash before it ran. Every session recorded its Python version, package versions and model revisions. The readers ran with the same stack in every session (PyTorch 2.13.0 with CUDA 13.0, vLLM 0.30.0, Transformers 5.17.0). Between Phases 1 and 2 the Kaggle image changed from Python 3.12.13 to 3.13.15, and NumPy from 2.0.2 to 2.1.3; Phase 3 used the same image and package versions as Phase 2. The two sessions that encoded the NQ and HotpotQA sub-corpora used older images (PyTorch 2.10.0 and 2.11.0 with CUDA 12.8, Transformers 5.0.0); Table </w:t>
      </w:r>
      <w:hyperlink w:anchor="tab:env">
        <w:r>
          <w:rPr>
            <w:rStyle w:val="Hyperlink"/>
          </w:rPr>
          <w:t xml:space="preserve">[tab:env]</w:t>
        </w:r>
      </w:hyperlink>
      <w:r>
        <w:t xml:space="preserve"> </w:t>
      </w:r>
      <w:r>
        <w:t xml:space="preserve">lists the software of every session as its environment log recorded it.</w:t>
      </w:r>
    </w:p>
    <w:bookmarkEnd w:id="56"/>
    <w:bookmarkStart w:id="57" w:name="determinism-across-phases"/>
    <w:p>
      <w:pPr>
        <w:pStyle w:val="Heading4"/>
      </w:pPr>
      <w:r>
        <w:t xml:space="preserve">Determinism across phases</w:t>
      </w:r>
    </w:p>
    <w:p>
      <w:pPr>
        <w:pStyle w:val="FirstParagraph"/>
      </w:pPr>
      <w:r>
        <w:t xml:space="preserve">Some comparisons cross the software change between Phase 1 and the later phases: the Qwen–NQ cell against the new cells in the pooled model,</w:t>
      </w:r>
      <w:r>
        <w:t xml:space="preserve"> </w:t>
      </w:r>
      <m:oMath>
        <m:r>
          <m:t>k</m:t>
        </m:r>
        <m:r>
          <m:rPr>
            <m:sty m:val="p"/>
          </m:rPr>
          <m:t>=</m:t>
        </m:r>
        <m:r>
          <m:t>5</m:t>
        </m:r>
      </m:oMath>
      <w:r>
        <w:t xml:space="preserve"> </w:t>
      </w:r>
      <w:r>
        <w:t xml:space="preserve">against the new</w:t>
      </w:r>
      <w:r>
        <w:t xml:space="preserve"> </w:t>
      </w:r>
      <m:oMath>
        <m:r>
          <m:t>k</m:t>
        </m:r>
      </m:oMath>
      <w:r>
        <w:t xml:space="preserve"> </w:t>
      </w:r>
      <w:r>
        <w:t xml:space="preserve">values, the reranker runs against the Phase 1 runs, and the Phase 3 full-corpus runs of the Qwen reader against its Phase 1 sub-corpus runs. To check that the software change does not alter the reader, we compared Phases 1 and 2 on inputs that were identical by construction: the gold-only context of Phase 1 and the gold-only condition of the context experiment. Of 397 identical prompts, 396 produced identical outputs; the one difference was a shorter answer to the same question. A rerun of 100 prompts within one session gave 100/100 identical outputs.</w:t>
      </w:r>
    </w:p>
    <w:bookmarkEnd w:id="57"/>
    <w:bookmarkStart w:id="58" w:name="seeds-and-repetitions"/>
    <w:p>
      <w:pPr>
        <w:pStyle w:val="Heading4"/>
      </w:pPr>
      <w:r>
        <w:t xml:space="preserve">Seeds and repetitions</w:t>
      </w:r>
    </w:p>
    <w:p>
      <w:pPr>
        <w:pStyle w:val="FirstParagraph"/>
      </w:pPr>
      <w:r>
        <w:t xml:space="preserve">The query order (seed 20260926), bootstrap (seed 0), decoding (greedy, seed 0) and the random passages of the context experiment were fixed. Retrieval and greedy decoding are deterministic within a session, so we ran each answer condition once. The cost measurements were repeated five times.</w:t>
      </w:r>
    </w:p>
    <w:bookmarkEnd w:id="58"/>
    <w:bookmarkStart w:id="59" w:name="analysis-and-verification"/>
    <w:p>
      <w:pPr>
        <w:pStyle w:val="Heading4"/>
      </w:pPr>
      <w:r>
        <w:t xml:space="preserve">Analysis and verification</w:t>
      </w:r>
    </w:p>
    <w:p>
      <w:pPr>
        <w:pStyle w:val="FirstParagraph"/>
      </w:pPr>
      <w:r>
        <w:t xml:space="preserve">One analysis script reads only the committed raw outputs and writes all statistics, tables and figures. The author reran it on a second computer and obtained identical output. A separate script, written without the project code and using only the Python standard library, re-scored all 131,855 answers from the raw reader outputs, recomputed every Hit@5 and EM mean, every transfer ratio point estimate, all 84 pairwise EM tests with their Holm adjustment, and Cohen’s</w:t>
      </w:r>
      <w:r>
        <w:t xml:space="preserve"> </w:t>
      </w:r>
      <m:oMath>
        <m:r>
          <m:t>κ</m:t>
        </m:r>
      </m:oMath>
      <w:r>
        <w:t xml:space="preserve">. It found no disagreement. Bootstrap intervals, F1, answer containment and the pooled model were not re-implemented independently. Phase 3 has its own analysis script, which also reads only committed outputs. It checks that the passages each reader saw equal the top five of the stored ranked lists, and that the sub-corpus intervals it recomputes equal the committed ones. Re-encoding the full corpus gave Hit@5 and nDCG@10 values identical to those of the earlier full-corpus check (E9) for all four retrievers. A second script, again written without the project code, re-scored all 18,040 Phase 3 answers from the raw reader outputs and recomputed the means, ratios with their intervals, McNemar tests, query-level contributions and the answer-string shares of MiniLM-L6 and e5-base-v2; it found no disagreement.</w:t>
      </w:r>
    </w:p>
    <w:bookmarkEnd w:id="59"/>
    <w:bookmarkStart w:id="60" w:name="sec:deviations"/>
    <w:p>
      <w:pPr>
        <w:pStyle w:val="Heading2"/>
      </w:pPr>
      <w:r>
        <w:t xml:space="preserve">Deviations and failed runs</w:t>
      </w:r>
    </w:p>
    <w:p>
      <w:pPr>
        <w:pStyle w:val="FirstParagraph"/>
      </w:pPr>
      <w:r>
        <w:t xml:space="preserve">We list every departure from the registered design.</w:t>
      </w:r>
    </w:p>
    <w:p>
      <w:pPr>
        <w:numPr>
          <w:ilvl w:val="0"/>
          <w:numId w:val="1002"/>
        </w:numPr>
      </w:pPr>
      <w:r>
        <w:rPr>
          <w:bCs/>
          <w:b/>
        </w:rPr>
        <w:t xml:space="preserve">NQ join gate.</w:t>
      </w:r>
      <w:r>
        <w:t xml:space="preserve"> </w:t>
      </w:r>
      <w:r>
        <w:t xml:space="preserve">The original design required a join rate of at least 0.70 between BEIR-NQ and NQ-open; the observed rate was 0.653. Before any outcome was observed, we replaced the gate with a minimum of 1,000 joined queries, because the two resources are independently filtered subsets of Natural Questions. Retrieval results on all 3,452 judged queries are reported where they matter (Table </w:t>
      </w:r>
      <w:hyperlink w:anchor="tab:fullcorpus">
        <w:r>
          <w:rPr>
            <w:rStyle w:val="Hyperlink"/>
          </w:rPr>
          <w:t xml:space="preserve">7</w:t>
        </w:r>
      </w:hyperlink>
      <w:r>
        <w:t xml:space="preserve">).</w:t>
      </w:r>
    </w:p>
    <w:p>
      <w:pPr>
        <w:numPr>
          <w:ilvl w:val="0"/>
          <w:numId w:val="1002"/>
        </w:numPr>
      </w:pPr>
      <w:r>
        <w:rPr>
          <w:bCs/>
          <w:b/>
        </w:rPr>
        <w:t xml:space="preserve">Software image.</w:t>
      </w:r>
      <w:r>
        <w:t xml:space="preserve"> </w:t>
      </w:r>
      <w:r>
        <w:t xml:space="preserve">The initial Phase 2 session stopped at the environment check because the Kaggle image had moved to Python 3.13, for which the pinned NumPy had no wheel. We unpinned NumPy and recorded all version differences; no data were produced by the stopped run.</w:t>
      </w:r>
    </w:p>
    <w:p>
      <w:pPr>
        <w:numPr>
          <w:ilvl w:val="0"/>
          <w:numId w:val="1002"/>
        </w:numPr>
      </w:pPr>
      <w:r>
        <w:rPr>
          <w:bCs/>
          <w:b/>
        </w:rPr>
        <w:t xml:space="preserve">Failed reader start.</w:t>
      </w:r>
      <w:r>
        <w:t xml:space="preserve"> </w:t>
      </w:r>
      <w:r>
        <w:t xml:space="preserve">The initial HotpotQA reader session stopped before generating anything because the image’s torchaudio build did not match the CUDA version of PyTorch. Later sessions reinstalled the matching build and checked the stack before any other step.</w:t>
      </w:r>
    </w:p>
    <w:p>
      <w:pPr>
        <w:numPr>
          <w:ilvl w:val="0"/>
          <w:numId w:val="1002"/>
        </w:numPr>
      </w:pPr>
      <w:r>
        <w:rPr>
          <w:bCs/>
          <w:b/>
        </w:rPr>
        <w:t xml:space="preserve">Reduced scope of E6.</w:t>
      </w:r>
      <w:r>
        <w:t xml:space="preserve"> </w:t>
      </w:r>
      <w:r>
        <w:t xml:space="preserve">Approximate search was planned for all six encoders. To stay within the GPU quota it ran for MiniLM-L6, bge-small and e5-base-v2, using the sub-corpus rows of the full-corpus embeddings.</w:t>
      </w:r>
    </w:p>
    <w:p>
      <w:pPr>
        <w:numPr>
          <w:ilvl w:val="0"/>
          <w:numId w:val="1002"/>
        </w:numPr>
      </w:pPr>
      <w:r>
        <w:rPr>
          <w:bCs/>
          <w:b/>
        </w:rPr>
        <w:t xml:space="preserve">E7 scope.</w:t>
      </w:r>
      <w:r>
        <w:t xml:space="preserve"> </w:t>
      </w:r>
      <w:r>
        <w:t xml:space="preserve">The repeated cost measurement covered encoding throughput and query-encoding latency; search latency was measured separately in E6 and is not repeated.</w:t>
      </w:r>
    </w:p>
    <w:p>
      <w:pPr>
        <w:numPr>
          <w:ilvl w:val="0"/>
          <w:numId w:val="1002"/>
        </w:numPr>
      </w:pPr>
      <w:r>
        <w:rPr>
          <w:bCs/>
          <w:b/>
        </w:rPr>
        <w:t xml:space="preserve">Phase 1 deviations.</w:t>
      </w:r>
      <w:r>
        <w:t xml:space="preserve"> </w:t>
      </w:r>
      <w:r>
        <w:t xml:space="preserve">We dropped the planned RAGAS cross-check, because its local deployment needed infrastructure that was untested on our hardware. We did not run the planned Matryoshka dimension ablation for Qwen3-Embedding-0.6B, so dimension and model are confounded in our cost comparison. The design planned two annotators for the judge validation; one took part. One gold-passage output reached the token limit, so the judge scored 499 instead of 500 gold items. The initial Phase 1 reading session stopped before generating because a notebook cell ran before the restore step; it was rerun with unchanged code. We estimated the Phase 1 CPU benchmark at one hour; it took eight hours and 24 minutes. This used free quota but changed no data.</w:t>
      </w:r>
    </w:p>
    <w:p>
      <w:pPr>
        <w:numPr>
          <w:ilvl w:val="0"/>
          <w:numId w:val="1002"/>
        </w:numPr>
      </w:pPr>
      <w:r>
        <w:rPr>
          <w:bCs/>
          <w:b/>
        </w:rPr>
        <w:t xml:space="preserve">Failure log.</w:t>
      </w:r>
      <w:r>
        <w:t xml:space="preserve"> </w:t>
      </w:r>
      <w:r>
        <w:t xml:space="preserve">The design promised one machine-readable failure log. Failures were recorded instead in two dated design addenda and in the session logs.</w:t>
      </w:r>
    </w:p>
    <w:p>
      <w:pPr>
        <w:numPr>
          <w:ilvl w:val="0"/>
          <w:numId w:val="1002"/>
        </w:numPr>
      </w:pPr>
      <w:r>
        <w:rPr>
          <w:bCs/>
          <w:b/>
        </w:rPr>
        <w:t xml:space="preserve">Phase 3 human audit.</w:t>
      </w:r>
      <w:r>
        <w:t xml:space="preserve"> </w:t>
      </w:r>
      <w:r>
        <w:t xml:space="preserve">The Phase 3 design adds a blinded audit of 100 seeded e5-base-v2 retrieval misses by the author. Its labels were not complete when this version was written, so it is not reported. The Phase 3 session itself ran as registered, with no failed run.</w:t>
      </w:r>
    </w:p>
    <w:p>
      <w:pPr>
        <w:pStyle w:val="FirstParagraph"/>
      </w:pPr>
      <w:r>
        <w:t xml:space="preserve">No run was repeated to obtain a different result, and no result was discarded.</w:t>
      </w:r>
    </w:p>
    <w:bookmarkEnd w:id="60"/>
    <w:bookmarkEnd w:id="61"/>
    <w:bookmarkStart w:id="118" w:name="sec:results"/>
    <w:p>
      <w:pPr>
        <w:pStyle w:val="Heading1"/>
      </w:pPr>
      <w:r>
        <w:t xml:space="preserve">Results</w:t>
      </w:r>
    </w:p>
    <w:bookmarkStart w:id="65" w:name="sec:res-retrieval"/>
    <w:p>
      <w:pPr>
        <w:pStyle w:val="Heading2"/>
      </w:pPr>
      <w:r>
        <w:t xml:space="preserve">Retrieval</w:t>
      </w:r>
    </w:p>
    <w:p>
      <w:pPr>
        <w:pStyle w:val="FirstParagraph"/>
      </w:pPr>
      <w:r>
        <w:t xml:space="preserve">Table </w:t>
      </w:r>
      <w:hyperlink w:anchor="tab:retrieval">
        <w:r>
          <w:rPr>
            <w:rStyle w:val="Hyperlink"/>
          </w:rPr>
          <w:t xml:space="preserve">[tab:retrieval]</w:t>
        </w:r>
      </w:hyperlink>
      <w:r>
        <w:t xml:space="preserve"> </w:t>
      </w:r>
      <w:r>
        <w:t xml:space="preserve">gives retrieval quality on the generation queries, and Table </w:t>
      </w:r>
      <w:hyperlink w:anchor="tab:ci">
        <w:r>
          <w:rPr>
            <w:rStyle w:val="Hyperlink"/>
          </w:rPr>
          <w:t xml:space="preserve">[tab:ci]</w:t>
        </w:r>
      </w:hyperlink>
      <w:r>
        <w:t xml:space="preserve"> </w:t>
      </w:r>
      <w:r>
        <w:t xml:space="preserve">gives the intervals. On NQ, the dense encoders differed widely. MiniLM-L6 reached 0.664 and e5-base-v2 0.816; bge-large (0.796) came second. Qwen3-Embedding-0.6B (0.744) placed between bge-small and bge-base. BM25 reached 0.363. On HotpotQA, Hit@5 nearly saturated: all dense encoders except MiniLM-L6 scored between 0.945 and 0.961, against 0.817 for MiniLM-L6 and 0.833 for BM25. The stricter Both@5 separated them more clearly: bge-large found both supporting passages for 0.621 of the questions, e5-base-v2 for 0.544, Qwen3-Embedding-0.6B for 0.444 and MiniLM-L6 for 0.230. Table </w:t>
      </w:r>
      <w:hyperlink w:anchor="tab:retrieval">
        <w:r>
          <w:rPr>
            <w:rStyle w:val="Hyperlink"/>
          </w:rPr>
          <w:t xml:space="preserve">[tab:retrieval]</w:t>
        </w:r>
      </w:hyperlink>
      <w:r>
        <w:t xml:space="preserve"> </w:t>
      </w:r>
      <w:r>
        <w:t xml:space="preserve">also gives Hit@1, Hit@10, nDCG@10 and MRR@10, and Fig. </w:t>
      </w:r>
      <w:hyperlink w:anchor="fig:retrieval">
        <w:r>
          <w:rPr>
            <w:rStyle w:val="Hyperlink"/>
          </w:rPr>
          <w:t xml:space="preserve">3</w:t>
        </w:r>
      </w:hyperlink>
      <w:r>
        <w:t xml:space="preserve"> </w:t>
      </w:r>
      <w:r>
        <w:t xml:space="preserve">shows the main metrics with their intervals. On NQ, nDCG@10 ordered the retrievers as Hit@5 did, from 0.277 for BM25 and 0.520 for MiniLM-L6 to 0.667 for e5-base-v2. On HotpotQA, nDCG@10 ranged from 0.549 (MiniLM-L6) to 0.797 (bge-large).</w:t>
      </w:r>
    </w:p>
    <w:p>
      <w:pPr>
        <w:pStyle w:val="CaptionedFigure"/>
      </w:pPr>
      <w:r>
        <w:drawing>
          <wp:inline>
            <wp:extent cx="5334000" cy="1559894"/>
            <wp:effectExtent b="0" l="0" r="0" t="0"/>
            <wp:docPr descr="" title="" id="63" name="Picture"/>
            <a:graphic>
              <a:graphicData uri="http://schemas.openxmlformats.org/drawingml/2006/picture">
                <pic:pic>
                  <pic:nvPicPr>
                    <pic:cNvPr descr="/home/claude/rag-embed-transfer/paper_figures/out/fig9_retrieval.png" id="64" name="Picture"/>
                    <pic:cNvPicPr>
                      <a:picLocks noChangeArrowheads="1" noChangeAspect="1"/>
                    </pic:cNvPicPr>
                  </pic:nvPicPr>
                  <pic:blipFill>
                    <a:blip r:embed="rId62"/>
                    <a:stretch>
                      <a:fillRect/>
                    </a:stretch>
                  </pic:blipFill>
                  <pic:spPr bwMode="auto">
                    <a:xfrm>
                      <a:off x="0" y="0"/>
                      <a:ext cx="5334000" cy="1559894"/>
                    </a:xfrm>
                    <a:prstGeom prst="rect">
                      <a:avLst/>
                    </a:prstGeom>
                    <a:noFill/>
                    <a:ln w="9525">
                      <a:noFill/>
                      <a:headEnd/>
                      <a:tailEnd/>
                    </a:ln>
                  </pic:spPr>
                </pic:pic>
              </a:graphicData>
            </a:graphic>
          </wp:inline>
        </w:drawing>
      </w:r>
    </w:p>
    <w:p>
      <w:pPr>
        <w:pStyle w:val="ImageCaption"/>
      </w:pPr>
      <w:r>
        <w:t xml:space="preserve">Retrieval quality on the generation queries with 95% bootstrap intervals: NQ Hit@5 and nDCG@10 (2,255 queries), HotpotQA Hit@5 and Both@5 (2,000 queries).</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pPr>
          </w:p>
        </w:tc>
        <w:tc>
          <w:tcPr>
            <w:gridSpan w:val="5"/>
          </w:tcPr>
          <w:p>
            <w:pPr>
              <w:pStyle w:val="Compact"/>
              <w:jc w:val="center"/>
            </w:pPr>
            <w:r>
              <w:t xml:space="preserve">NQ (2,255 queries)</w:t>
            </w:r>
          </w:p>
        </w:tc>
        <w:tc>
          <w:tcPr>
            <w:gridSpan w:val="5"/>
          </w:tcPr>
          <w:p>
            <w:pPr>
              <w:pStyle w:val="Compact"/>
              <w:jc w:val="center"/>
            </w:pPr>
            <w:r>
              <w:t xml:space="preserve">HotpotQA (2,000 queries)</w:t>
            </w:r>
          </w:p>
        </w:tc>
      </w:tr>
      <w:tr>
        <w:tc>
          <w:tcPr/>
          <w:p>
            <w:pPr>
              <w:pStyle w:val="Compact"/>
              <w:jc w:val="left"/>
            </w:pPr>
            <w:r>
              <w:t xml:space="preserve">2-6</w:t>
            </w:r>
            <w:r>
              <w:t xml:space="preserve">(lr)</w:t>
            </w:r>
            <w:r>
              <w:t xml:space="preserve">7-11</w:t>
            </w:r>
            <w:r>
              <w:t xml:space="preserve"> </w:t>
            </w:r>
            <w:r>
              <w:t xml:space="preserve">Retriever</w:t>
            </w:r>
          </w:p>
        </w:tc>
        <w:tc>
          <w:tcPr/>
          <w:p>
            <w:pPr>
              <w:pStyle w:val="Compact"/>
              <w:jc w:val="center"/>
            </w:pPr>
            <w:r>
              <w:t xml:space="preserve">Hit@1</w:t>
            </w:r>
          </w:p>
        </w:tc>
        <w:tc>
          <w:tcPr/>
          <w:p>
            <w:pPr>
              <w:pStyle w:val="Compact"/>
              <w:jc w:val="center"/>
            </w:pPr>
            <w:r>
              <w:t xml:space="preserve">Hit@5</w:t>
            </w:r>
          </w:p>
        </w:tc>
        <w:tc>
          <w:tcPr/>
          <w:p>
            <w:pPr>
              <w:pStyle w:val="Compact"/>
              <w:jc w:val="center"/>
            </w:pPr>
            <w:r>
              <w:t xml:space="preserve">Hit@10</w:t>
            </w:r>
          </w:p>
        </w:tc>
        <w:tc>
          <w:tcPr/>
          <w:p>
            <w:pPr>
              <w:pStyle w:val="Compact"/>
              <w:jc w:val="center"/>
            </w:pPr>
            <w:r>
              <w:t xml:space="preserve">nDCG@10</w:t>
            </w:r>
          </w:p>
        </w:tc>
        <w:tc>
          <w:tcPr/>
          <w:p>
            <w:pPr>
              <w:pStyle w:val="Compact"/>
              <w:jc w:val="center"/>
            </w:pPr>
            <w:r>
              <w:t xml:space="preserve">MRR@10</w:t>
            </w:r>
          </w:p>
        </w:tc>
        <w:tc>
          <w:tcPr/>
          <w:p>
            <w:pPr>
              <w:pStyle w:val="Compact"/>
              <w:jc w:val="center"/>
            </w:pPr>
            <w:r>
              <w:t xml:space="preserve">Hit@1</w:t>
            </w:r>
          </w:p>
        </w:tc>
        <w:tc>
          <w:tcPr/>
          <w:p>
            <w:pPr>
              <w:pStyle w:val="Compact"/>
              <w:jc w:val="center"/>
            </w:pPr>
            <w:r>
              <w:t xml:space="preserve">Hit@5</w:t>
            </w:r>
          </w:p>
        </w:tc>
        <w:tc>
          <w:tcPr/>
          <w:p>
            <w:pPr>
              <w:pStyle w:val="Compact"/>
              <w:jc w:val="center"/>
            </w:pPr>
            <w:r>
              <w:t xml:space="preserve">Both@5</w:t>
            </w:r>
          </w:p>
        </w:tc>
        <w:tc>
          <w:tcPr/>
          <w:p>
            <w:pPr>
              <w:pStyle w:val="Compact"/>
              <w:jc w:val="center"/>
            </w:pPr>
            <w:r>
              <w:t xml:space="preserve">nDCG@10</w:t>
            </w:r>
          </w:p>
        </w:tc>
        <w:tc>
          <w:tcPr/>
          <w:p>
            <w:pPr>
              <w:pStyle w:val="Compact"/>
              <w:jc w:val="center"/>
            </w:pPr>
            <w:r>
              <w:t xml:space="preserve">MRR@10</w:t>
            </w:r>
          </w:p>
        </w:tc>
      </w:tr>
      <w:tr>
        <w:tc>
          <w:tcPr/>
          <w:p>
            <w:pPr>
              <w:pStyle w:val="Compact"/>
              <w:jc w:val="left"/>
            </w:pPr>
            <w:r>
              <w:t xml:space="preserve">BM25</w:t>
            </w:r>
          </w:p>
        </w:tc>
        <w:tc>
          <w:tcPr/>
          <w:p>
            <w:pPr>
              <w:pStyle w:val="Compact"/>
              <w:jc w:val="center"/>
            </w:pPr>
            <w:r>
              <w:t xml:space="preserve">0.150</w:t>
            </w:r>
          </w:p>
        </w:tc>
        <w:tc>
          <w:tcPr/>
          <w:p>
            <w:pPr>
              <w:pStyle w:val="Compact"/>
              <w:jc w:val="center"/>
            </w:pPr>
            <w:r>
              <w:t xml:space="preserve">0.363</w:t>
            </w:r>
          </w:p>
        </w:tc>
        <w:tc>
          <w:tcPr/>
          <w:p>
            <w:pPr>
              <w:pStyle w:val="Compact"/>
              <w:jc w:val="center"/>
            </w:pPr>
            <w:r>
              <w:t xml:space="preserve">0.472</w:t>
            </w:r>
          </w:p>
        </w:tc>
        <w:tc>
          <w:tcPr/>
          <w:p>
            <w:pPr>
              <w:pStyle w:val="Compact"/>
              <w:jc w:val="center"/>
            </w:pPr>
            <w:r>
              <w:t xml:space="preserve">0.277</w:t>
            </w:r>
          </w:p>
        </w:tc>
        <w:tc>
          <w:tcPr/>
          <w:p>
            <w:pPr>
              <w:pStyle w:val="Compact"/>
              <w:jc w:val="center"/>
            </w:pPr>
            <w:r>
              <w:t xml:space="preserve">0.243</w:t>
            </w:r>
          </w:p>
        </w:tc>
        <w:tc>
          <w:tcPr/>
          <w:p>
            <w:pPr>
              <w:pStyle w:val="Compact"/>
              <w:jc w:val="center"/>
            </w:pPr>
            <w:r>
              <w:t xml:space="preserve">0.666</w:t>
            </w:r>
          </w:p>
        </w:tc>
        <w:tc>
          <w:tcPr/>
          <w:p>
            <w:pPr>
              <w:pStyle w:val="Compact"/>
              <w:jc w:val="center"/>
            </w:pPr>
            <w:r>
              <w:t xml:space="preserve">0.833</w:t>
            </w:r>
          </w:p>
        </w:tc>
        <w:tc>
          <w:tcPr/>
          <w:p>
            <w:pPr>
              <w:pStyle w:val="Compact"/>
              <w:jc w:val="center"/>
            </w:pPr>
            <w:r>
              <w:t xml:space="preserve">0.264</w:t>
            </w:r>
          </w:p>
        </w:tc>
        <w:tc>
          <w:tcPr/>
          <w:p>
            <w:pPr>
              <w:pStyle w:val="Compact"/>
              <w:jc w:val="center"/>
            </w:pPr>
            <w:r>
              <w:t xml:space="preserve">0.578</w:t>
            </w:r>
          </w:p>
        </w:tc>
        <w:tc>
          <w:tcPr/>
          <w:p>
            <w:pPr>
              <w:pStyle w:val="Compact"/>
              <w:jc w:val="center"/>
            </w:pPr>
            <w:r>
              <w:t xml:space="preserve">0.740</w:t>
            </w:r>
          </w:p>
        </w:tc>
      </w:tr>
      <w:tr>
        <w:tc>
          <w:tcPr/>
          <w:p>
            <w:pPr>
              <w:pStyle w:val="Compact"/>
              <w:jc w:val="left"/>
            </w:pPr>
            <w:r>
              <w:t xml:space="preserve">MiniLM-L6</w:t>
            </w:r>
          </w:p>
        </w:tc>
        <w:tc>
          <w:tcPr/>
          <w:p>
            <w:pPr>
              <w:pStyle w:val="Compact"/>
              <w:jc w:val="center"/>
            </w:pPr>
            <w:r>
              <w:t xml:space="preserve">0.316</w:t>
            </w:r>
          </w:p>
        </w:tc>
        <w:tc>
          <w:tcPr/>
          <w:p>
            <w:pPr>
              <w:pStyle w:val="Compact"/>
              <w:jc w:val="center"/>
            </w:pPr>
            <w:r>
              <w:t xml:space="preserve">0.664</w:t>
            </w:r>
          </w:p>
        </w:tc>
        <w:tc>
          <w:tcPr/>
          <w:p>
            <w:pPr>
              <w:pStyle w:val="Compact"/>
              <w:jc w:val="center"/>
            </w:pPr>
            <w:r>
              <w:t xml:space="preserve">0.792</w:t>
            </w:r>
          </w:p>
        </w:tc>
        <w:tc>
          <w:tcPr/>
          <w:p>
            <w:pPr>
              <w:pStyle w:val="Compact"/>
              <w:jc w:val="center"/>
            </w:pPr>
            <w:r>
              <w:t xml:space="preserve">0.520</w:t>
            </w:r>
          </w:p>
        </w:tc>
        <w:tc>
          <w:tcPr/>
          <w:p>
            <w:pPr>
              <w:pStyle w:val="Compact"/>
              <w:jc w:val="center"/>
            </w:pPr>
            <w:r>
              <w:t xml:space="preserve">0.462</w:t>
            </w:r>
          </w:p>
        </w:tc>
        <w:tc>
          <w:tcPr/>
          <w:p>
            <w:pPr>
              <w:pStyle w:val="Compact"/>
              <w:jc w:val="center"/>
            </w:pPr>
            <w:r>
              <w:t xml:space="preserve">0.623</w:t>
            </w:r>
          </w:p>
        </w:tc>
        <w:tc>
          <w:tcPr/>
          <w:p>
            <w:pPr>
              <w:pStyle w:val="Compact"/>
              <w:jc w:val="center"/>
            </w:pPr>
            <w:r>
              <w:t xml:space="preserve">0.817</w:t>
            </w:r>
          </w:p>
        </w:tc>
        <w:tc>
          <w:tcPr/>
          <w:p>
            <w:pPr>
              <w:pStyle w:val="Compact"/>
              <w:jc w:val="center"/>
            </w:pPr>
            <w:r>
              <w:t xml:space="preserve">0.230</w:t>
            </w:r>
          </w:p>
        </w:tc>
        <w:tc>
          <w:tcPr/>
          <w:p>
            <w:pPr>
              <w:pStyle w:val="Compact"/>
              <w:jc w:val="center"/>
            </w:pPr>
            <w:r>
              <w:t xml:space="preserve">0.549</w:t>
            </w:r>
          </w:p>
        </w:tc>
        <w:tc>
          <w:tcPr/>
          <w:p>
            <w:pPr>
              <w:pStyle w:val="Compact"/>
              <w:jc w:val="center"/>
            </w:pPr>
            <w:r>
              <w:t xml:space="preserve">0.708</w:t>
            </w:r>
          </w:p>
        </w:tc>
      </w:tr>
      <w:tr>
        <w:tc>
          <w:tcPr/>
          <w:p>
            <w:pPr>
              <w:pStyle w:val="Compact"/>
              <w:jc w:val="left"/>
            </w:pPr>
            <w:r>
              <w:t xml:space="preserve">bge-small</w:t>
            </w:r>
          </w:p>
        </w:tc>
        <w:tc>
          <w:tcPr/>
          <w:p>
            <w:pPr>
              <w:pStyle w:val="Compact"/>
              <w:jc w:val="center"/>
            </w:pPr>
            <w:r>
              <w:t xml:space="preserve">0.375</w:t>
            </w:r>
          </w:p>
        </w:tc>
        <w:tc>
          <w:tcPr/>
          <w:p>
            <w:pPr>
              <w:pStyle w:val="Compact"/>
              <w:jc w:val="center"/>
            </w:pPr>
            <w:r>
              <w:t xml:space="preserve">0.729</w:t>
            </w:r>
          </w:p>
        </w:tc>
        <w:tc>
          <w:tcPr/>
          <w:p>
            <w:pPr>
              <w:pStyle w:val="Compact"/>
              <w:jc w:val="center"/>
            </w:pPr>
            <w:r>
              <w:t xml:space="preserve">0.843</w:t>
            </w:r>
          </w:p>
        </w:tc>
        <w:tc>
          <w:tcPr/>
          <w:p>
            <w:pPr>
              <w:pStyle w:val="Compact"/>
              <w:jc w:val="center"/>
            </w:pPr>
            <w:r>
              <w:t xml:space="preserve">0.580</w:t>
            </w:r>
          </w:p>
        </w:tc>
        <w:tc>
          <w:tcPr/>
          <w:p>
            <w:pPr>
              <w:pStyle w:val="Compact"/>
              <w:jc w:val="center"/>
            </w:pPr>
            <w:r>
              <w:t xml:space="preserve">0.526</w:t>
            </w:r>
          </w:p>
        </w:tc>
        <w:tc>
          <w:tcPr/>
          <w:p>
            <w:pPr>
              <w:pStyle w:val="Compact"/>
              <w:jc w:val="center"/>
            </w:pPr>
            <w:r>
              <w:t xml:space="preserve">0.812</w:t>
            </w:r>
          </w:p>
        </w:tc>
        <w:tc>
          <w:tcPr/>
          <w:p>
            <w:pPr>
              <w:pStyle w:val="Compact"/>
              <w:jc w:val="center"/>
            </w:pPr>
            <w:r>
              <w:t xml:space="preserve">0.954</w:t>
            </w:r>
          </w:p>
        </w:tc>
        <w:tc>
          <w:tcPr/>
          <w:p>
            <w:pPr>
              <w:pStyle w:val="Compact"/>
              <w:jc w:val="center"/>
            </w:pPr>
            <w:r>
              <w:t xml:space="preserve">0.541</w:t>
            </w:r>
          </w:p>
        </w:tc>
        <w:tc>
          <w:tcPr/>
          <w:p>
            <w:pPr>
              <w:pStyle w:val="Compact"/>
              <w:jc w:val="center"/>
            </w:pPr>
            <w:r>
              <w:t xml:space="preserve">0.756</w:t>
            </w:r>
          </w:p>
        </w:tc>
        <w:tc>
          <w:tcPr/>
          <w:p>
            <w:pPr>
              <w:pStyle w:val="Compact"/>
              <w:jc w:val="center"/>
            </w:pPr>
            <w:r>
              <w:t xml:space="preserve">0.874</w:t>
            </w:r>
          </w:p>
        </w:tc>
      </w:tr>
      <w:tr>
        <w:tc>
          <w:tcPr/>
          <w:p>
            <w:pPr>
              <w:pStyle w:val="Compact"/>
              <w:jc w:val="left"/>
            </w:pPr>
            <w:r>
              <w:t xml:space="preserve">bge-base</w:t>
            </w:r>
          </w:p>
        </w:tc>
        <w:tc>
          <w:tcPr/>
          <w:p>
            <w:pPr>
              <w:pStyle w:val="Compact"/>
              <w:jc w:val="center"/>
            </w:pPr>
            <w:r>
              <w:t xml:space="preserve">0.421</w:t>
            </w:r>
          </w:p>
        </w:tc>
        <w:tc>
          <w:tcPr/>
          <w:p>
            <w:pPr>
              <w:pStyle w:val="Compact"/>
              <w:jc w:val="center"/>
            </w:pPr>
            <w:r>
              <w:t xml:space="preserve">0.770</w:t>
            </w:r>
          </w:p>
        </w:tc>
        <w:tc>
          <w:tcPr/>
          <w:p>
            <w:pPr>
              <w:pStyle w:val="Compact"/>
              <w:jc w:val="center"/>
            </w:pPr>
            <w:r>
              <w:t xml:space="preserve">0.882</w:t>
            </w:r>
          </w:p>
        </w:tc>
        <w:tc>
          <w:tcPr/>
          <w:p>
            <w:pPr>
              <w:pStyle w:val="Compact"/>
              <w:jc w:val="center"/>
            </w:pPr>
            <w:r>
              <w:t xml:space="preserve">0.626</w:t>
            </w:r>
          </w:p>
        </w:tc>
        <w:tc>
          <w:tcPr/>
          <w:p>
            <w:pPr>
              <w:pStyle w:val="Compact"/>
              <w:jc w:val="center"/>
            </w:pPr>
            <w:r>
              <w:t xml:space="preserve">0.570</w:t>
            </w:r>
          </w:p>
        </w:tc>
        <w:tc>
          <w:tcPr/>
          <w:p>
            <w:pPr>
              <w:pStyle w:val="Compact"/>
              <w:jc w:val="center"/>
            </w:pPr>
            <w:r>
              <w:t xml:space="preserve">0.836</w:t>
            </w:r>
          </w:p>
        </w:tc>
        <w:tc>
          <w:tcPr/>
          <w:p>
            <w:pPr>
              <w:pStyle w:val="Compact"/>
              <w:jc w:val="center"/>
            </w:pPr>
            <w:r>
              <w:t xml:space="preserve">0.958</w:t>
            </w:r>
          </w:p>
        </w:tc>
        <w:tc>
          <w:tcPr/>
          <w:p>
            <w:pPr>
              <w:pStyle w:val="Compact"/>
              <w:jc w:val="center"/>
            </w:pPr>
            <w:r>
              <w:t xml:space="preserve">0.572</w:t>
            </w:r>
          </w:p>
        </w:tc>
        <w:tc>
          <w:tcPr/>
          <w:p>
            <w:pPr>
              <w:pStyle w:val="Compact"/>
              <w:jc w:val="center"/>
            </w:pPr>
            <w:r>
              <w:t xml:space="preserve">0.777</w:t>
            </w:r>
          </w:p>
        </w:tc>
        <w:tc>
          <w:tcPr/>
          <w:p>
            <w:pPr>
              <w:pStyle w:val="Compact"/>
              <w:jc w:val="center"/>
            </w:pPr>
            <w:r>
              <w:t xml:space="preserve">0.888</w:t>
            </w:r>
          </w:p>
        </w:tc>
      </w:tr>
      <w:tr>
        <w:tc>
          <w:tcPr/>
          <w:p>
            <w:pPr>
              <w:pStyle w:val="Compact"/>
              <w:jc w:val="left"/>
            </w:pPr>
            <w:r>
              <w:t xml:space="preserve">bge-large</w:t>
            </w:r>
          </w:p>
        </w:tc>
        <w:tc>
          <w:tcPr/>
          <w:p>
            <w:pPr>
              <w:pStyle w:val="Compact"/>
              <w:jc w:val="center"/>
            </w:pPr>
            <w:r>
              <w:t xml:space="preserve">0.430</w:t>
            </w:r>
          </w:p>
        </w:tc>
        <w:tc>
          <w:tcPr/>
          <w:p>
            <w:pPr>
              <w:pStyle w:val="Compact"/>
              <w:jc w:val="center"/>
            </w:pPr>
            <w:r>
              <w:t xml:space="preserve">0.796</w:t>
            </w:r>
          </w:p>
        </w:tc>
        <w:tc>
          <w:tcPr/>
          <w:p>
            <w:pPr>
              <w:pStyle w:val="Compact"/>
              <w:jc w:val="center"/>
            </w:pPr>
            <w:r>
              <w:t xml:space="preserve">0.888</w:t>
            </w:r>
          </w:p>
        </w:tc>
        <w:tc>
          <w:tcPr/>
          <w:p>
            <w:pPr>
              <w:pStyle w:val="Compact"/>
              <w:jc w:val="center"/>
            </w:pPr>
            <w:r>
              <w:t xml:space="preserve">0.640</w:t>
            </w:r>
          </w:p>
        </w:tc>
        <w:tc>
          <w:tcPr/>
          <w:p>
            <w:pPr>
              <w:pStyle w:val="Compact"/>
              <w:jc w:val="center"/>
            </w:pPr>
            <w:r>
              <w:t xml:space="preserve">0.584</w:t>
            </w:r>
          </w:p>
        </w:tc>
        <w:tc>
          <w:tcPr/>
          <w:p>
            <w:pPr>
              <w:pStyle w:val="Compact"/>
              <w:jc w:val="center"/>
            </w:pPr>
            <w:r>
              <w:t xml:space="preserve">0.846</w:t>
            </w:r>
          </w:p>
        </w:tc>
        <w:tc>
          <w:tcPr/>
          <w:p>
            <w:pPr>
              <w:pStyle w:val="Compact"/>
              <w:jc w:val="center"/>
            </w:pPr>
            <w:r>
              <w:t xml:space="preserve">0.961</w:t>
            </w:r>
          </w:p>
        </w:tc>
        <w:tc>
          <w:tcPr/>
          <w:p>
            <w:pPr>
              <w:pStyle w:val="Compact"/>
              <w:jc w:val="center"/>
            </w:pPr>
            <w:r>
              <w:t xml:space="preserve">0.621</w:t>
            </w:r>
          </w:p>
        </w:tc>
        <w:tc>
          <w:tcPr/>
          <w:p>
            <w:pPr>
              <w:pStyle w:val="Compact"/>
              <w:jc w:val="center"/>
            </w:pPr>
            <w:r>
              <w:t xml:space="preserve">0.797</w:t>
            </w:r>
          </w:p>
        </w:tc>
        <w:tc>
          <w:tcPr/>
          <w:p>
            <w:pPr>
              <w:pStyle w:val="Compact"/>
              <w:jc w:val="center"/>
            </w:pPr>
            <w:r>
              <w:t xml:space="preserve">0.897</w:t>
            </w:r>
          </w:p>
        </w:tc>
      </w:tr>
      <w:tr>
        <w:tc>
          <w:tcPr/>
          <w:p>
            <w:pPr>
              <w:pStyle w:val="Compact"/>
              <w:jc w:val="left"/>
            </w:pPr>
            <w:r>
              <w:t xml:space="preserve">e5-base-v2</w:t>
            </w:r>
          </w:p>
        </w:tc>
        <w:tc>
          <w:tcPr/>
          <w:p>
            <w:pPr>
              <w:pStyle w:val="Compact"/>
              <w:jc w:val="center"/>
            </w:pPr>
            <w:r>
              <w:t xml:space="preserve">0.458</w:t>
            </w:r>
          </w:p>
        </w:tc>
        <w:tc>
          <w:tcPr/>
          <w:p>
            <w:pPr>
              <w:pStyle w:val="Compact"/>
              <w:jc w:val="center"/>
            </w:pPr>
            <w:r>
              <w:t xml:space="preserve">0.816</w:t>
            </w:r>
          </w:p>
        </w:tc>
        <w:tc>
          <w:tcPr/>
          <w:p>
            <w:pPr>
              <w:pStyle w:val="Compact"/>
              <w:jc w:val="center"/>
            </w:pPr>
            <w:r>
              <w:t xml:space="preserve">0.906</w:t>
            </w:r>
          </w:p>
        </w:tc>
        <w:tc>
          <w:tcPr/>
          <w:p>
            <w:pPr>
              <w:pStyle w:val="Compact"/>
              <w:jc w:val="center"/>
            </w:pPr>
            <w:r>
              <w:t xml:space="preserve">0.667</w:t>
            </w:r>
          </w:p>
        </w:tc>
        <w:tc>
          <w:tcPr/>
          <w:p>
            <w:pPr>
              <w:pStyle w:val="Compact"/>
              <w:jc w:val="center"/>
            </w:pPr>
            <w:r>
              <w:t xml:space="preserve">0.612</w:t>
            </w:r>
          </w:p>
        </w:tc>
        <w:tc>
          <w:tcPr/>
          <w:p>
            <w:pPr>
              <w:pStyle w:val="Compact"/>
              <w:jc w:val="center"/>
            </w:pPr>
            <w:r>
              <w:t xml:space="preserve">0.799</w:t>
            </w:r>
          </w:p>
        </w:tc>
        <w:tc>
          <w:tcPr/>
          <w:p>
            <w:pPr>
              <w:pStyle w:val="Compact"/>
              <w:jc w:val="center"/>
            </w:pPr>
            <w:r>
              <w:t xml:space="preserve">0.951</w:t>
            </w:r>
          </w:p>
        </w:tc>
        <w:tc>
          <w:tcPr/>
          <w:p>
            <w:pPr>
              <w:pStyle w:val="Compact"/>
              <w:jc w:val="center"/>
            </w:pPr>
            <w:r>
              <w:t xml:space="preserve">0.544</w:t>
            </w:r>
          </w:p>
        </w:tc>
        <w:tc>
          <w:tcPr/>
          <w:p>
            <w:pPr>
              <w:pStyle w:val="Compact"/>
              <w:jc w:val="center"/>
            </w:pPr>
            <w:r>
              <w:t xml:space="preserve">0.751</w:t>
            </w:r>
          </w:p>
        </w:tc>
        <w:tc>
          <w:tcPr/>
          <w:p>
            <w:pPr>
              <w:pStyle w:val="Compact"/>
              <w:jc w:val="center"/>
            </w:pPr>
            <w:r>
              <w:t xml:space="preserve">0.864</w:t>
            </w:r>
          </w:p>
        </w:tc>
      </w:tr>
      <w:tr>
        <w:tc>
          <w:tcPr/>
          <w:p>
            <w:pPr>
              <w:pStyle w:val="Compact"/>
              <w:jc w:val="left"/>
            </w:pPr>
            <w:r>
              <w:t xml:space="preserve">Qwen3-Emb-0.6B</w:t>
            </w:r>
          </w:p>
        </w:tc>
        <w:tc>
          <w:tcPr/>
          <w:p>
            <w:pPr>
              <w:pStyle w:val="Compact"/>
              <w:jc w:val="center"/>
            </w:pPr>
            <w:r>
              <w:t xml:space="preserve">0.400</w:t>
            </w:r>
          </w:p>
        </w:tc>
        <w:tc>
          <w:tcPr/>
          <w:p>
            <w:pPr>
              <w:pStyle w:val="Compact"/>
              <w:jc w:val="center"/>
            </w:pPr>
            <w:r>
              <w:t xml:space="preserve">0.744</w:t>
            </w:r>
          </w:p>
        </w:tc>
        <w:tc>
          <w:tcPr/>
          <w:p>
            <w:pPr>
              <w:pStyle w:val="Compact"/>
              <w:jc w:val="center"/>
            </w:pPr>
            <w:r>
              <w:t xml:space="preserve">0.843</w:t>
            </w:r>
          </w:p>
        </w:tc>
        <w:tc>
          <w:tcPr/>
          <w:p>
            <w:pPr>
              <w:pStyle w:val="Compact"/>
              <w:jc w:val="center"/>
            </w:pPr>
            <w:r>
              <w:t xml:space="preserve">0.600</w:t>
            </w:r>
          </w:p>
        </w:tc>
        <w:tc>
          <w:tcPr/>
          <w:p>
            <w:pPr>
              <w:pStyle w:val="Compact"/>
              <w:jc w:val="center"/>
            </w:pPr>
            <w:r>
              <w:t xml:space="preserve">0.547</w:t>
            </w:r>
          </w:p>
        </w:tc>
        <w:tc>
          <w:tcPr/>
          <w:p>
            <w:pPr>
              <w:pStyle w:val="Compact"/>
              <w:jc w:val="center"/>
            </w:pPr>
            <w:r>
              <w:t xml:space="preserve">0.810</w:t>
            </w:r>
          </w:p>
        </w:tc>
        <w:tc>
          <w:tcPr/>
          <w:p>
            <w:pPr>
              <w:pStyle w:val="Compact"/>
              <w:jc w:val="center"/>
            </w:pPr>
            <w:r>
              <w:t xml:space="preserve">0.945</w:t>
            </w:r>
          </w:p>
        </w:tc>
        <w:tc>
          <w:tcPr/>
          <w:p>
            <w:pPr>
              <w:pStyle w:val="Compact"/>
              <w:jc w:val="center"/>
            </w:pPr>
            <w:r>
              <w:t xml:space="preserve">0.444</w:t>
            </w:r>
          </w:p>
        </w:tc>
        <w:tc>
          <w:tcPr/>
          <w:p>
            <w:pPr>
              <w:pStyle w:val="Compact"/>
              <w:jc w:val="center"/>
            </w:pPr>
            <w:r>
              <w:t xml:space="preserve">0.717</w:t>
            </w:r>
          </w:p>
        </w:tc>
        <w:tc>
          <w:tcPr/>
          <w:p>
            <w:pPr>
              <w:pStyle w:val="Compact"/>
              <w:jc w:val="center"/>
            </w:pPr>
            <w:r>
              <w:t xml:space="preserve">0.868</w:t>
            </w:r>
          </w:p>
        </w:tc>
      </w:tr>
    </w:tbl>
    <w:p>
      <w:pPr>
        <w:pStyle w:val="BodyText"/>
      </w:pPr>
      <w:r>
        <w:rPr>
          <w:iCs/>
          <w:i/>
        </w:rPr>
        <w:t xml:space="preserve">NQ intervals for Hit@5 and nDCG@10 are in Table </w:t>
      </w:r>
      <w:hyperlink w:anchor="tab:ci">
        <w:r>
          <w:rPr>
            <w:rStyle w:val="Hyperlink"/>
            <w:iCs/>
            <w:i/>
          </w:rPr>
          <w:t xml:space="preserve">[tab:ci]</w:t>
        </w:r>
      </w:hyperlink>
      <w:r>
        <w:rPr>
          <w:iCs/>
          <w:i/>
        </w:rPr>
        <w:t xml:space="preserve"> </w:t>
      </w:r>
      <w:r>
        <w:rPr>
          <w:iCs/>
          <w:i/>
        </w:rPr>
        <w:t xml:space="preserve">and Fig. </w:t>
      </w:r>
      <w:hyperlink w:anchor="fig:retrieval">
        <w:r>
          <w:rPr>
            <w:rStyle w:val="Hyperlink"/>
            <w:iCs/>
            <w:i/>
          </w:rPr>
          <w:t xml:space="preserve">3</w:t>
        </w:r>
      </w:hyperlink>
      <w:r>
        <w:rPr>
          <w:iCs/>
          <w:i/>
        </w:rPr>
        <w:t xml:space="preserve">. Both@5: both gold passages in the top five.</w:t>
      </w:r>
    </w:p>
    <w:bookmarkEnd w:id="65"/>
    <w:bookmarkStart w:id="72" w:name="sec:res-transfer"/>
    <w:p>
      <w:pPr>
        <w:pStyle w:val="Heading2"/>
      </w:pPr>
      <w:r>
        <w:t xml:space="preserve">Answer gains and transfer ratios (RQ1)</w:t>
      </w:r>
    </w:p>
    <w:p>
      <w:pPr>
        <w:pStyle w:val="FirstParagraph"/>
      </w:pPr>
      <w:r>
        <w:t xml:space="preserve">Table </w:t>
      </w:r>
      <w:hyperlink w:anchor="tab:main">
        <w:r>
          <w:rPr>
            <w:rStyle w:val="Hyperlink"/>
          </w:rPr>
          <w:t xml:space="preserve">[tab:main]</w:t>
        </w:r>
      </w:hyperlink>
      <w:r>
        <w:t xml:space="preserve"> </w:t>
      </w:r>
      <w:r>
        <w:t xml:space="preserve">gives EM for every cell with its two reference conditions, and Fig. </w:t>
      </w:r>
      <w:hyperlink w:anchor="fig:hitem">
        <w:r>
          <w:rPr>
            <w:rStyle w:val="Hyperlink"/>
          </w:rPr>
          <w:t xml:space="preserve">4</w:t>
        </w:r>
      </w:hyperlink>
      <w:r>
        <w:t xml:space="preserve"> </w:t>
      </w:r>
      <w:r>
        <w:t xml:space="preserve">plots EM against Hit@5. Retrieval closed only part of the gap between the closed-book and gold-passage conditions. With Qwen on NQ, closed-book EM was 0.149, gold passages gave 0.653, and the best retriever, e5-base-v2, gave 0.510. With Llama on NQ the best retriever was bge-base (0.477) against a gold-passage reference of 0.613. On HotpotQA, bge-large gave the highest EM for both readers (0.424 and 0.430), against gold-passage references of 0.628 and 0.624.</w:t>
      </w:r>
    </w:p>
    <w:p>
      <w:pPr>
        <w:pStyle w:val="CaptionedFigure"/>
      </w:pPr>
      <w:r>
        <w:drawing>
          <wp:inline>
            <wp:extent cx="5334000" cy="3547267"/>
            <wp:effectExtent b="0" l="0" r="0" t="0"/>
            <wp:docPr descr="" title="" id="67" name="Picture"/>
            <a:graphic>
              <a:graphicData uri="http://schemas.openxmlformats.org/drawingml/2006/picture">
                <pic:pic>
                  <pic:nvPicPr>
                    <pic:cNvPr descr="/home/claude/rag-embed-transfer/paper_figures/out/fig2_hit_vs_em.png" id="68" name="Picture"/>
                    <pic:cNvPicPr>
                      <a:picLocks noChangeArrowheads="1" noChangeAspect="1"/>
                    </pic:cNvPicPr>
                  </pic:nvPicPr>
                  <pic:blipFill>
                    <a:blip r:embed="rId66"/>
                    <a:stretch>
                      <a:fillRect/>
                    </a:stretch>
                  </pic:blipFill>
                  <pic:spPr bwMode="auto">
                    <a:xfrm>
                      <a:off x="0" y="0"/>
                      <a:ext cx="5334000" cy="3547267"/>
                    </a:xfrm>
                    <a:prstGeom prst="rect">
                      <a:avLst/>
                    </a:prstGeom>
                    <a:noFill/>
                    <a:ln w="9525">
                      <a:noFill/>
                      <a:headEnd/>
                      <a:tailEnd/>
                    </a:ln>
                  </pic:spPr>
                </pic:pic>
              </a:graphicData>
            </a:graphic>
          </wp:inline>
        </w:drawing>
      </w:r>
    </w:p>
    <w:p>
      <w:pPr>
        <w:pStyle w:val="ImageCaption"/>
      </w:pPr>
      <w:r>
        <w:t xml:space="preserve">Exact match against Hit@5 for each retriever in the four reader–dataset cells. Vertical bars are 95% bootstrap intervals for EM. Dashed lines mark the closed-book and gold-passage reference conditions. Note the different Hit@5 ranges of the two datasets.</w:t>
      </w:r>
    </w:p>
    <w:p>
      <w:pPr>
        <w:pStyle w:val="BodyText"/>
      </w:pPr>
      <w:r>
        <w:t xml:space="preserve">Table </w:t>
      </w:r>
      <w:hyperlink w:anchor="tab:transfer">
        <w:r>
          <w:rPr>
            <w:rStyle w:val="Hyperlink"/>
          </w:rPr>
          <w:t xml:space="preserve">[tab:transfer]</w:t>
        </w:r>
      </w:hyperlink>
      <w:r>
        <w:t xml:space="preserve"> </w:t>
      </w:r>
      <w:r>
        <w:t xml:space="preserve">and Fig. </w:t>
      </w:r>
      <w:hyperlink w:anchor="fig:transfer">
        <w:r>
          <w:rPr>
            <w:rStyle w:val="Hyperlink"/>
          </w:rPr>
          <w:t xml:space="preserve">5</w:t>
        </w:r>
      </w:hyperlink>
      <w:r>
        <w:t xml:space="preserve"> </w:t>
      </w:r>
      <w:r>
        <w:t xml:space="preserve">give the transfer ratios. On NQ, the five dense encoders had ratios between 0.16 (bge-large and e5-base-v2 with Llama) and 0.27 (bge-base with Llama). With Qwen, e5-base-v2 gained +0.153 in Hit@5 over MiniLM-L6 but only +0.038 in EM, a ratio of 0.25 [0.15, 0.36]. The intervals for bge-small included zero in both NQ cells (Qwen [−0.07, 0.44], Llama [−0.08, 0.43]), so its NQ ratio is uncertain in sign. The largest NQ upper bound was 0.455 (Qwen3-Embedding-0.6B with Qwen). BM25 retrieved worse than MiniLM-L6 on NQ, so its ratio (0.37 with Qwen) relates an EM loss to a Hit@5 loss.</w:t>
      </w:r>
    </w:p>
    <w:p>
      <w:pPr>
        <w:pStyle w:val="BodyText"/>
      </w:pPr>
      <w:r>
        <w:t xml:space="preserve">With Hit@5 as the denominator, the HotpotQA ratios were larger for every encoder and reader, from 0.49 (Qwen3-Embedding-0.6B with Qwen) to 0.93 (bge-large with Llama). With Qwen, every upper bound stayed below 1, the largest being 0.996 for bge-large. With Llama, the bounds were 1.000 for bge-base, 1.000 for e5-base-v2 and 1.096 for bge-large, so the P1 criterion (every upper bound below 1) was met in the two new NQ and Qwen–HotpotQA cells and not met in the Llama–HotpotQA cell (Table </w:t>
      </w:r>
      <w:hyperlink w:anchor="tab:predictions">
        <w:r>
          <w:rPr>
            <w:rStyle w:val="Hyperlink"/>
          </w:rPr>
          <w:t xml:space="preserve">[tab:predictions]</w:t>
        </w:r>
      </w:hyperlink>
      <w:r>
        <w:t xml:space="preserve">). The BM25 ratio was not estimable on HotpotQA, because BM25 and MiniLM-L6 differed by only +0.016 in Hit@5.</w:t>
      </w:r>
    </w:p>
    <w:p>
      <w:pPr>
        <w:pStyle w:val="CaptionedFigure"/>
      </w:pPr>
      <w:r>
        <w:drawing>
          <wp:inline>
            <wp:extent cx="5334000" cy="1897522"/>
            <wp:effectExtent b="0" l="0" r="0" t="0"/>
            <wp:docPr descr="" title="" id="70" name="Picture"/>
            <a:graphic>
              <a:graphicData uri="http://schemas.openxmlformats.org/drawingml/2006/picture">
                <pic:pic>
                  <pic:nvPicPr>
                    <pic:cNvPr descr="/home/claude/rag-embed-transfer/paper_figures/out/fig1_transfer_ratios.png" id="71" name="Picture"/>
                    <pic:cNvPicPr>
                      <a:picLocks noChangeArrowheads="1" noChangeAspect="1"/>
                    </pic:cNvPicPr>
                  </pic:nvPicPr>
                  <pic:blipFill>
                    <a:blip r:embed="rId69"/>
                    <a:stretch>
                      <a:fillRect/>
                    </a:stretch>
                  </pic:blipFill>
                  <pic:spPr bwMode="auto">
                    <a:xfrm>
                      <a:off x="0" y="0"/>
                      <a:ext cx="5334000" cy="1897522"/>
                    </a:xfrm>
                    <a:prstGeom prst="rect">
                      <a:avLst/>
                    </a:prstGeom>
                    <a:noFill/>
                    <a:ln w="9525">
                      <a:noFill/>
                      <a:headEnd/>
                      <a:tailEnd/>
                    </a:ln>
                  </pic:spPr>
                </pic:pic>
              </a:graphicData>
            </a:graphic>
          </wp:inline>
        </w:drawing>
      </w:r>
    </w:p>
    <w:p>
      <w:pPr>
        <w:pStyle w:val="ImageCaption"/>
      </w:pPr>
      <w:r>
        <w:t xml:space="preserve">Transfer ratio</w:t>
      </w:r>
      <w:r>
        <w:t xml:space="preserve"> </w:t>
      </w:r>
      <m:oMath>
        <m:r>
          <m:t>T</m:t>
        </m:r>
        <m:d>
          <m:dPr>
            <m:begChr m:val="("/>
            <m:endChr m:val=")"/>
            <m:sepChr m:val=""/>
            <m:grow/>
          </m:dPr>
          <m:e>
            <m:r>
              <m:t>R</m:t>
            </m:r>
          </m:e>
        </m:d>
        <m:r>
          <m:rPr>
            <m:sty m:val="p"/>
          </m:rPr>
          <m:t>=</m:t>
        </m:r>
        <m:r>
          <m:t>Δ</m:t>
        </m:r>
        <m:r>
          <m:rPr>
            <m:sty m:val="p"/>
          </m:rPr>
          <m:t>E</m:t>
        </m:r>
        <m:r>
          <m:rPr>
            <m:sty m:val="p"/>
          </m:rPr>
          <m:t>M</m:t>
        </m:r>
        <m:r>
          <m:rPr>
            <m:sty m:val="p"/>
          </m:rPr>
          <m:t>/</m:t>
        </m:r>
        <m:r>
          <m:t>Δ</m:t>
        </m:r>
        <m:r>
          <m:rPr>
            <m:sty m:val="p"/>
          </m:rPr>
          <m:t>H</m:t>
        </m:r>
        <m:r>
          <m:rPr>
            <m:sty m:val="p"/>
          </m:rPr>
          <m:t>i</m:t>
        </m:r>
        <m:r>
          <m:rPr>
            <m:sty m:val="p"/>
          </m:rPr>
          <m:t>t</m:t>
        </m:r>
        <m:r>
          <m:rPr>
            <m:sty m:val="p"/>
          </m:rPr>
          <m:t>@</m:t>
        </m:r>
        <m:r>
          <m:rPr>
            <m:sty m:val="p"/>
          </m:rPr>
          <m:t>5</m:t>
        </m:r>
      </m:oMath>
      <w:r>
        <w:t xml:space="preserve"> </w:t>
      </w:r>
      <w:r>
        <w:t xml:space="preserve">against MiniLM-L6 with 95% bootstrap intervals. The dashed line marks</w:t>
      </w:r>
      <w:r>
        <w:t xml:space="preserve"> </w:t>
      </w:r>
      <m:oMath>
        <m:r>
          <m:t>T</m:t>
        </m:r>
        <m:r>
          <m:rPr>
            <m:sty m:val="p"/>
          </m:rPr>
          <m:t>=</m:t>
        </m:r>
        <m:r>
          <m:t>1</m:t>
        </m:r>
      </m:oMath>
      <w:r>
        <w:t xml:space="preserve">, a reference point. n.e.: not estimable under the reporting rule.</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pPr>
          </w:p>
        </w:tc>
        <w:tc>
          <w:tcPr>
            <w:gridSpan w:val="4"/>
          </w:tcPr>
          <w:p>
            <w:pPr>
              <w:pStyle w:val="Compact"/>
              <w:jc w:val="center"/>
            </w:pPr>
            <w:r>
              <w:t xml:space="preserve">NQ (2,255 queries)</w:t>
            </w:r>
          </w:p>
        </w:tc>
        <w:tc>
          <w:tcPr>
            <w:gridSpan w:val="4"/>
          </w:tcPr>
          <w:p>
            <w:pPr>
              <w:pStyle w:val="Compact"/>
              <w:jc w:val="center"/>
            </w:pPr>
            <w:r>
              <w:t xml:space="preserve">HotpotQA (2,000 queries)</w:t>
            </w:r>
          </w:p>
        </w:tc>
      </w:tr>
      <w:tr>
        <w:tc>
          <w:tcPr/>
          <w:p>
            <w:pPr>
              <w:pStyle w:val="Compact"/>
              <w:jc w:val="left"/>
            </w:pPr>
            <w:r>
              <w:t xml:space="preserve">2-5</w:t>
            </w:r>
            <w:r>
              <w:t xml:space="preserve">(lr)</w:t>
            </w:r>
            <w:r>
              <w:t xml:space="preserve">6-9</w:t>
            </w:r>
          </w:p>
        </w:tc>
        <w:tc>
          <w:tcPr>
            <w:gridSpan w:val="2"/>
          </w:tcPr>
          <w:p>
            <w:pPr>
              <w:pStyle w:val="Compact"/>
              <w:jc w:val="center"/>
            </w:pPr>
            <w:r>
              <w:t xml:space="preserve">Qwen</w:t>
            </w:r>
          </w:p>
        </w:tc>
        <w:tc>
          <w:tcPr>
            <w:gridSpan w:val="2"/>
          </w:tcPr>
          <w:p>
            <w:pPr>
              <w:pStyle w:val="Compact"/>
              <w:jc w:val="center"/>
            </w:pPr>
            <w:r>
              <w:t xml:space="preserve">Llama</w:t>
            </w:r>
          </w:p>
        </w:tc>
        <w:tc>
          <w:tcPr>
            <w:gridSpan w:val="2"/>
          </w:tcPr>
          <w:p>
            <w:pPr>
              <w:pStyle w:val="Compact"/>
              <w:jc w:val="center"/>
            </w:pPr>
            <w:r>
              <w:t xml:space="preserve">Qwen</w:t>
            </w:r>
          </w:p>
        </w:tc>
        <w:tc>
          <w:tcPr>
            <w:gridSpan w:val="2"/>
          </w:tcPr>
          <w:p>
            <w:pPr>
              <w:pStyle w:val="Compact"/>
              <w:jc w:val="center"/>
            </w:pPr>
            <w:r>
              <w:t xml:space="preserve">Llama</w:t>
            </w:r>
          </w:p>
        </w:tc>
      </w:tr>
      <w:tr>
        <w:tc>
          <w:tcPr/>
          <w:p>
            <w:pPr>
              <w:pStyle w:val="Compact"/>
              <w:jc w:val="left"/>
            </w:pPr>
            <w:r>
              <w:t xml:space="preserve">2-3</w:t>
            </w:r>
            <w:r>
              <w:t xml:space="preserve">(lr)</w:t>
            </w:r>
            <w:r>
              <w:t xml:space="preserve">4-5</w:t>
            </w:r>
            <w:r>
              <w:t xml:space="preserve">(lr)</w:t>
            </w:r>
            <w:r>
              <w:t xml:space="preserve">6-7</w:t>
            </w:r>
            <w:r>
              <w:t xml:space="preserve">(lr)</w:t>
            </w:r>
            <w:r>
              <w:t xml:space="preserve">8-9</w:t>
            </w:r>
            <w:r>
              <w:t xml:space="preserve"> </w:t>
            </w:r>
            <w:r>
              <w:t xml:space="preserve">Retriever</w:t>
            </w:r>
          </w:p>
        </w:tc>
        <w:tc>
          <w:tcPr/>
          <w:p>
            <w:pPr>
              <w:pStyle w:val="Compact"/>
              <w:jc w:val="right"/>
            </w:pPr>
            <w:r>
              <w:t xml:space="preserve">Hit@5</w:t>
            </w:r>
          </w:p>
        </w:tc>
        <w:tc>
          <w:tcPr/>
          <w:p>
            <w:pPr>
              <w:pStyle w:val="Compact"/>
              <w:jc w:val="right"/>
            </w:pPr>
            <w:r>
              <w:t xml:space="preserve">EM</w:t>
            </w:r>
          </w:p>
        </w:tc>
        <w:tc>
          <w:tcPr/>
          <w:p>
            <w:pPr>
              <w:pStyle w:val="Compact"/>
              <w:jc w:val="right"/>
            </w:pPr>
            <w:r>
              <w:t xml:space="preserve">Hit@5</w:t>
            </w:r>
          </w:p>
        </w:tc>
        <w:tc>
          <w:tcPr/>
          <w:p>
            <w:pPr>
              <w:pStyle w:val="Compact"/>
              <w:jc w:val="right"/>
            </w:pPr>
            <w:r>
              <w:t xml:space="preserve">EM</w:t>
            </w:r>
          </w:p>
        </w:tc>
        <w:tc>
          <w:tcPr/>
          <w:p>
            <w:pPr>
              <w:pStyle w:val="Compact"/>
              <w:jc w:val="right"/>
            </w:pPr>
            <w:r>
              <w:t xml:space="preserve">Hit@5</w:t>
            </w:r>
          </w:p>
        </w:tc>
        <w:tc>
          <w:tcPr/>
          <w:p>
            <w:pPr>
              <w:pStyle w:val="Compact"/>
              <w:jc w:val="right"/>
            </w:pPr>
            <w:r>
              <w:t xml:space="preserve">EM</w:t>
            </w:r>
          </w:p>
        </w:tc>
        <w:tc>
          <w:tcPr/>
          <w:p>
            <w:pPr>
              <w:pStyle w:val="Compact"/>
              <w:jc w:val="right"/>
            </w:pPr>
            <w:r>
              <w:t xml:space="preserve">Hit@5</w:t>
            </w:r>
          </w:p>
        </w:tc>
        <w:tc>
          <w:tcPr/>
          <w:p>
            <w:pPr>
              <w:pStyle w:val="Compact"/>
              <w:jc w:val="right"/>
            </w:pPr>
            <w:r>
              <w:t xml:space="preserve">EM</w:t>
            </w:r>
          </w:p>
        </w:tc>
      </w:tr>
      <w:tr>
        <w:tc>
          <w:tcPr/>
          <w:p>
            <w:pPr>
              <w:pStyle w:val="Compact"/>
              <w:jc w:val="left"/>
            </w:pPr>
            <w:r>
              <w:t xml:space="preserve">BM25</w:t>
            </w:r>
          </w:p>
        </w:tc>
        <w:tc>
          <w:tcPr/>
          <w:p>
            <w:pPr>
              <w:pStyle w:val="Compact"/>
              <w:jc w:val="right"/>
            </w:pPr>
            <w:r>
              <w:t xml:space="preserve">0.363</w:t>
            </w:r>
          </w:p>
        </w:tc>
        <w:tc>
          <w:tcPr/>
          <w:p>
            <w:pPr>
              <w:pStyle w:val="Compact"/>
              <w:jc w:val="right"/>
            </w:pPr>
            <w:r>
              <w:t xml:space="preserve">0.360</w:t>
            </w:r>
          </w:p>
        </w:tc>
        <w:tc>
          <w:tcPr/>
          <w:p>
            <w:pPr>
              <w:pStyle w:val="Compact"/>
              <w:jc w:val="right"/>
            </w:pPr>
            <w:r>
              <w:t xml:space="preserve">0.363</w:t>
            </w:r>
          </w:p>
        </w:tc>
        <w:tc>
          <w:tcPr/>
          <w:p>
            <w:pPr>
              <w:pStyle w:val="Compact"/>
              <w:jc w:val="right"/>
            </w:pPr>
            <w:r>
              <w:t xml:space="preserve">0.340</w:t>
            </w:r>
          </w:p>
        </w:tc>
        <w:tc>
          <w:tcPr/>
          <w:p>
            <w:pPr>
              <w:pStyle w:val="Compact"/>
              <w:jc w:val="right"/>
            </w:pPr>
            <w:r>
              <w:t xml:space="preserve">0.833</w:t>
            </w:r>
          </w:p>
        </w:tc>
        <w:tc>
          <w:tcPr/>
          <w:p>
            <w:pPr>
              <w:pStyle w:val="Compact"/>
              <w:jc w:val="right"/>
            </w:pPr>
            <w:r>
              <w:t xml:space="preserve">0.339</w:t>
            </w:r>
          </w:p>
        </w:tc>
        <w:tc>
          <w:tcPr/>
          <w:p>
            <w:pPr>
              <w:pStyle w:val="Compact"/>
              <w:jc w:val="right"/>
            </w:pPr>
            <w:r>
              <w:t xml:space="preserve">0.833</w:t>
            </w:r>
          </w:p>
        </w:tc>
        <w:tc>
          <w:tcPr/>
          <w:p>
            <w:pPr>
              <w:pStyle w:val="Compact"/>
              <w:jc w:val="right"/>
            </w:pPr>
            <w:r>
              <w:t xml:space="preserve">0.336</w:t>
            </w:r>
          </w:p>
        </w:tc>
      </w:tr>
      <w:tr>
        <w:tc>
          <w:tcPr/>
          <w:p>
            <w:pPr>
              <w:pStyle w:val="Compact"/>
              <w:jc w:val="left"/>
            </w:pPr>
            <w:r>
              <w:t xml:space="preserve">MiniLM-L6</w:t>
            </w:r>
          </w:p>
        </w:tc>
        <w:tc>
          <w:tcPr/>
          <w:p>
            <w:pPr>
              <w:pStyle w:val="Compact"/>
              <w:jc w:val="right"/>
            </w:pPr>
            <w:r>
              <w:t xml:space="preserve">0.664</w:t>
            </w:r>
          </w:p>
        </w:tc>
        <w:tc>
          <w:tcPr/>
          <w:p>
            <w:pPr>
              <w:pStyle w:val="Compact"/>
              <w:jc w:val="right"/>
            </w:pPr>
            <w:r>
              <w:t xml:space="preserve">0.471</w:t>
            </w:r>
          </w:p>
        </w:tc>
        <w:tc>
          <w:tcPr/>
          <w:p>
            <w:pPr>
              <w:pStyle w:val="Compact"/>
              <w:jc w:val="right"/>
            </w:pPr>
            <w:r>
              <w:t xml:space="preserve">0.664</w:t>
            </w:r>
          </w:p>
        </w:tc>
        <w:tc>
          <w:tcPr/>
          <w:p>
            <w:pPr>
              <w:pStyle w:val="Compact"/>
              <w:jc w:val="right"/>
            </w:pPr>
            <w:r>
              <w:t xml:space="preserve">0.448</w:t>
            </w:r>
          </w:p>
        </w:tc>
        <w:tc>
          <w:tcPr/>
          <w:p>
            <w:pPr>
              <w:pStyle w:val="Compact"/>
              <w:jc w:val="right"/>
            </w:pPr>
            <w:r>
              <w:t xml:space="preserve">0.817</w:t>
            </w:r>
          </w:p>
        </w:tc>
        <w:tc>
          <w:tcPr/>
          <w:p>
            <w:pPr>
              <w:pStyle w:val="Compact"/>
              <w:jc w:val="right"/>
            </w:pPr>
            <w:r>
              <w:t xml:space="preserve">0.304</w:t>
            </w:r>
          </w:p>
        </w:tc>
        <w:tc>
          <w:tcPr/>
          <w:p>
            <w:pPr>
              <w:pStyle w:val="Compact"/>
              <w:jc w:val="right"/>
            </w:pPr>
            <w:r>
              <w:t xml:space="preserve">0.817</w:t>
            </w:r>
          </w:p>
        </w:tc>
        <w:tc>
          <w:tcPr/>
          <w:p>
            <w:pPr>
              <w:pStyle w:val="Compact"/>
              <w:jc w:val="right"/>
            </w:pPr>
            <w:r>
              <w:t xml:space="preserve">0.297</w:t>
            </w:r>
          </w:p>
        </w:tc>
      </w:tr>
      <w:tr>
        <w:tc>
          <w:tcPr/>
          <w:p>
            <w:pPr>
              <w:pStyle w:val="Compact"/>
              <w:jc w:val="left"/>
            </w:pPr>
            <w:r>
              <w:t xml:space="preserve">bge-small</w:t>
            </w:r>
          </w:p>
        </w:tc>
        <w:tc>
          <w:tcPr/>
          <w:p>
            <w:pPr>
              <w:pStyle w:val="Compact"/>
              <w:jc w:val="right"/>
            </w:pPr>
            <w:r>
              <w:t xml:space="preserve">0.729</w:t>
            </w:r>
          </w:p>
        </w:tc>
        <w:tc>
          <w:tcPr/>
          <w:p>
            <w:pPr>
              <w:pStyle w:val="Compact"/>
              <w:jc w:val="right"/>
            </w:pPr>
            <w:r>
              <w:t xml:space="preserve">0.484</w:t>
            </w:r>
          </w:p>
        </w:tc>
        <w:tc>
          <w:tcPr/>
          <w:p>
            <w:pPr>
              <w:pStyle w:val="Compact"/>
              <w:jc w:val="right"/>
            </w:pPr>
            <w:r>
              <w:t xml:space="preserve">0.729</w:t>
            </w:r>
          </w:p>
        </w:tc>
        <w:tc>
          <w:tcPr/>
          <w:p>
            <w:pPr>
              <w:pStyle w:val="Compact"/>
              <w:jc w:val="right"/>
            </w:pPr>
            <w:r>
              <w:t xml:space="preserve">0.460</w:t>
            </w:r>
          </w:p>
        </w:tc>
        <w:tc>
          <w:tcPr/>
          <w:p>
            <w:pPr>
              <w:pStyle w:val="Compact"/>
              <w:jc w:val="right"/>
            </w:pPr>
            <w:r>
              <w:t xml:space="preserve">0.954</w:t>
            </w:r>
          </w:p>
        </w:tc>
        <w:tc>
          <w:tcPr/>
          <w:p>
            <w:pPr>
              <w:pStyle w:val="Compact"/>
              <w:jc w:val="right"/>
            </w:pPr>
            <w:r>
              <w:t xml:space="preserve">0.394</w:t>
            </w:r>
          </w:p>
        </w:tc>
        <w:tc>
          <w:tcPr/>
          <w:p>
            <w:pPr>
              <w:pStyle w:val="Compact"/>
              <w:jc w:val="right"/>
            </w:pPr>
            <w:r>
              <w:t xml:space="preserve">0.954</w:t>
            </w:r>
          </w:p>
        </w:tc>
        <w:tc>
          <w:tcPr/>
          <w:p>
            <w:pPr>
              <w:pStyle w:val="Compact"/>
              <w:jc w:val="right"/>
            </w:pPr>
            <w:r>
              <w:t xml:space="preserve">0.392</w:t>
            </w:r>
          </w:p>
        </w:tc>
      </w:tr>
      <w:tr>
        <w:tc>
          <w:tcPr/>
          <w:p>
            <w:pPr>
              <w:pStyle w:val="Compact"/>
              <w:jc w:val="left"/>
            </w:pPr>
            <w:r>
              <w:t xml:space="preserve">bge-base</w:t>
            </w:r>
          </w:p>
        </w:tc>
        <w:tc>
          <w:tcPr/>
          <w:p>
            <w:pPr>
              <w:pStyle w:val="Compact"/>
              <w:jc w:val="right"/>
            </w:pPr>
            <w:r>
              <w:t xml:space="preserve">0.770</w:t>
            </w:r>
          </w:p>
        </w:tc>
        <w:tc>
          <w:tcPr/>
          <w:p>
            <w:pPr>
              <w:pStyle w:val="Compact"/>
              <w:jc w:val="right"/>
            </w:pPr>
            <w:r>
              <w:t xml:space="preserve">0.493</w:t>
            </w:r>
          </w:p>
        </w:tc>
        <w:tc>
          <w:tcPr/>
          <w:p>
            <w:pPr>
              <w:pStyle w:val="Compact"/>
              <w:jc w:val="right"/>
            </w:pPr>
            <w:r>
              <w:t xml:space="preserve">0.770</w:t>
            </w:r>
          </w:p>
        </w:tc>
        <w:tc>
          <w:tcPr/>
          <w:p>
            <w:pPr>
              <w:pStyle w:val="Compact"/>
              <w:jc w:val="right"/>
            </w:pPr>
            <w:r>
              <w:t xml:space="preserve">0.477</w:t>
            </w:r>
          </w:p>
        </w:tc>
        <w:tc>
          <w:tcPr/>
          <w:p>
            <w:pPr>
              <w:pStyle w:val="Compact"/>
              <w:jc w:val="right"/>
            </w:pPr>
            <w:r>
              <w:t xml:space="preserve">0.958</w:t>
            </w:r>
          </w:p>
        </w:tc>
        <w:tc>
          <w:tcPr/>
          <w:p>
            <w:pPr>
              <w:pStyle w:val="Compact"/>
              <w:jc w:val="right"/>
            </w:pPr>
            <w:r>
              <w:t xml:space="preserve">0.404</w:t>
            </w:r>
          </w:p>
        </w:tc>
        <w:tc>
          <w:tcPr/>
          <w:p>
            <w:pPr>
              <w:pStyle w:val="Compact"/>
              <w:jc w:val="right"/>
            </w:pPr>
            <w:r>
              <w:t xml:space="preserve">0.958</w:t>
            </w:r>
          </w:p>
        </w:tc>
        <w:tc>
          <w:tcPr/>
          <w:p>
            <w:pPr>
              <w:pStyle w:val="Compact"/>
              <w:jc w:val="right"/>
            </w:pPr>
            <w:r>
              <w:t xml:space="preserve">0.415</w:t>
            </w:r>
          </w:p>
        </w:tc>
      </w:tr>
      <w:tr>
        <w:tc>
          <w:tcPr/>
          <w:p>
            <w:pPr>
              <w:pStyle w:val="Compact"/>
              <w:jc w:val="left"/>
            </w:pPr>
            <w:r>
              <w:t xml:space="preserve">bge-large</w:t>
            </w:r>
          </w:p>
        </w:tc>
        <w:tc>
          <w:tcPr/>
          <w:p>
            <w:pPr>
              <w:pStyle w:val="Compact"/>
              <w:jc w:val="right"/>
            </w:pPr>
            <w:r>
              <w:t xml:space="preserve">0.796</w:t>
            </w:r>
          </w:p>
        </w:tc>
        <w:tc>
          <w:tcPr/>
          <w:p>
            <w:pPr>
              <w:pStyle w:val="Compact"/>
              <w:jc w:val="right"/>
            </w:pPr>
            <w:r>
              <w:t xml:space="preserve">0.503</w:t>
            </w:r>
          </w:p>
        </w:tc>
        <w:tc>
          <w:tcPr/>
          <w:p>
            <w:pPr>
              <w:pStyle w:val="Compact"/>
              <w:jc w:val="right"/>
            </w:pPr>
            <w:r>
              <w:t xml:space="preserve">0.796</w:t>
            </w:r>
          </w:p>
        </w:tc>
        <w:tc>
          <w:tcPr/>
          <w:p>
            <w:pPr>
              <w:pStyle w:val="Compact"/>
              <w:jc w:val="right"/>
            </w:pPr>
            <w:r>
              <w:t xml:space="preserve">0.469</w:t>
            </w:r>
          </w:p>
        </w:tc>
        <w:tc>
          <w:tcPr/>
          <w:p>
            <w:pPr>
              <w:pStyle w:val="Compact"/>
              <w:jc w:val="right"/>
            </w:pPr>
            <w:r>
              <w:t xml:space="preserve">0.961</w:t>
            </w:r>
          </w:p>
        </w:tc>
        <w:tc>
          <w:tcPr/>
          <w:p>
            <w:pPr>
              <w:pStyle w:val="Compact"/>
              <w:jc w:val="right"/>
            </w:pPr>
            <w:r>
              <w:t xml:space="preserve">0.424</w:t>
            </w:r>
          </w:p>
        </w:tc>
        <w:tc>
          <w:tcPr/>
          <w:p>
            <w:pPr>
              <w:pStyle w:val="Compact"/>
              <w:jc w:val="right"/>
            </w:pPr>
            <w:r>
              <w:t xml:space="preserve">0.961</w:t>
            </w:r>
          </w:p>
        </w:tc>
        <w:tc>
          <w:tcPr/>
          <w:p>
            <w:pPr>
              <w:pStyle w:val="Compact"/>
              <w:jc w:val="right"/>
            </w:pPr>
            <w:r>
              <w:t xml:space="preserve">0.430</w:t>
            </w:r>
          </w:p>
        </w:tc>
      </w:tr>
      <w:tr>
        <w:tc>
          <w:tcPr/>
          <w:p>
            <w:pPr>
              <w:pStyle w:val="Compact"/>
              <w:jc w:val="left"/>
            </w:pPr>
            <w:r>
              <w:t xml:space="preserve">e5-base-v2</w:t>
            </w:r>
          </w:p>
        </w:tc>
        <w:tc>
          <w:tcPr/>
          <w:p>
            <w:pPr>
              <w:pStyle w:val="Compact"/>
              <w:jc w:val="right"/>
            </w:pPr>
            <w:r>
              <w:t xml:space="preserve">0.816</w:t>
            </w:r>
          </w:p>
        </w:tc>
        <w:tc>
          <w:tcPr/>
          <w:p>
            <w:pPr>
              <w:pStyle w:val="Compact"/>
              <w:jc w:val="right"/>
            </w:pPr>
            <w:r>
              <w:t xml:space="preserve">0.510</w:t>
            </w:r>
          </w:p>
        </w:tc>
        <w:tc>
          <w:tcPr/>
          <w:p>
            <w:pPr>
              <w:pStyle w:val="Compact"/>
              <w:jc w:val="right"/>
            </w:pPr>
            <w:r>
              <w:t xml:space="preserve">0.816</w:t>
            </w:r>
          </w:p>
        </w:tc>
        <w:tc>
          <w:tcPr/>
          <w:p>
            <w:pPr>
              <w:pStyle w:val="Compact"/>
              <w:jc w:val="right"/>
            </w:pPr>
            <w:r>
              <w:t xml:space="preserve">0.472</w:t>
            </w:r>
          </w:p>
        </w:tc>
        <w:tc>
          <w:tcPr/>
          <w:p>
            <w:pPr>
              <w:pStyle w:val="Compact"/>
              <w:jc w:val="right"/>
            </w:pPr>
            <w:r>
              <w:t xml:space="preserve">0.951</w:t>
            </w:r>
          </w:p>
        </w:tc>
        <w:tc>
          <w:tcPr/>
          <w:p>
            <w:pPr>
              <w:pStyle w:val="Compact"/>
              <w:jc w:val="right"/>
            </w:pPr>
            <w:r>
              <w:t xml:space="preserve">0.396</w:t>
            </w:r>
          </w:p>
        </w:tc>
        <w:tc>
          <w:tcPr/>
          <w:p>
            <w:pPr>
              <w:pStyle w:val="Compact"/>
              <w:jc w:val="right"/>
            </w:pPr>
            <w:r>
              <w:t xml:space="preserve">0.951</w:t>
            </w:r>
          </w:p>
        </w:tc>
        <w:tc>
          <w:tcPr/>
          <w:p>
            <w:pPr>
              <w:pStyle w:val="Compact"/>
              <w:jc w:val="right"/>
            </w:pPr>
            <w:r>
              <w:t xml:space="preserve">0.408</w:t>
            </w:r>
          </w:p>
        </w:tc>
      </w:tr>
      <w:tr>
        <w:tc>
          <w:tcPr/>
          <w:p>
            <w:pPr>
              <w:pStyle w:val="Compact"/>
              <w:jc w:val="left"/>
            </w:pPr>
            <w:r>
              <w:t xml:space="preserve">Qwen3-Emb-0.6B</w:t>
            </w:r>
          </w:p>
        </w:tc>
        <w:tc>
          <w:tcPr/>
          <w:p>
            <w:pPr>
              <w:pStyle w:val="Compact"/>
              <w:jc w:val="right"/>
            </w:pPr>
            <w:r>
              <w:t xml:space="preserve">0.744</w:t>
            </w:r>
          </w:p>
        </w:tc>
        <w:tc>
          <w:tcPr/>
          <w:p>
            <w:pPr>
              <w:pStyle w:val="Compact"/>
              <w:jc w:val="right"/>
            </w:pPr>
            <w:r>
              <w:t xml:space="preserve">0.492</w:t>
            </w:r>
          </w:p>
        </w:tc>
        <w:tc>
          <w:tcPr/>
          <w:p>
            <w:pPr>
              <w:pStyle w:val="Compact"/>
              <w:jc w:val="right"/>
            </w:pPr>
            <w:r>
              <w:t xml:space="preserve">0.744</w:t>
            </w:r>
          </w:p>
        </w:tc>
        <w:tc>
          <w:tcPr/>
          <w:p>
            <w:pPr>
              <w:pStyle w:val="Compact"/>
              <w:jc w:val="right"/>
            </w:pPr>
            <w:r>
              <w:t xml:space="preserve">0.466</w:t>
            </w:r>
          </w:p>
        </w:tc>
        <w:tc>
          <w:tcPr/>
          <w:p>
            <w:pPr>
              <w:pStyle w:val="Compact"/>
              <w:jc w:val="right"/>
            </w:pPr>
            <w:r>
              <w:t xml:space="preserve">0.945</w:t>
            </w:r>
          </w:p>
        </w:tc>
        <w:tc>
          <w:tcPr/>
          <w:p>
            <w:pPr>
              <w:pStyle w:val="Compact"/>
              <w:jc w:val="right"/>
            </w:pPr>
            <w:r>
              <w:t xml:space="preserve">0.366</w:t>
            </w:r>
          </w:p>
        </w:tc>
        <w:tc>
          <w:tcPr/>
          <w:p>
            <w:pPr>
              <w:pStyle w:val="Compact"/>
              <w:jc w:val="right"/>
            </w:pPr>
            <w:r>
              <w:t xml:space="preserve">0.945</w:t>
            </w:r>
          </w:p>
        </w:tc>
        <w:tc>
          <w:tcPr/>
          <w:p>
            <w:pPr>
              <w:pStyle w:val="Compact"/>
              <w:jc w:val="right"/>
            </w:pPr>
            <w:r>
              <w:t xml:space="preserve">0.366</w:t>
            </w:r>
          </w:p>
        </w:tc>
      </w:tr>
      <w:tr>
        <w:tc>
          <w:tcPr/>
          <w:p>
            <w:pPr>
              <w:pStyle w:val="Compact"/>
              <w:jc w:val="left"/>
            </w:pPr>
            <w:r>
              <w:t xml:space="preserve">Closed book</w:t>
            </w:r>
          </w:p>
        </w:tc>
        <w:tc>
          <w:tcPr/>
          <w:p>
            <w:pPr>
              <w:pStyle w:val="Compact"/>
              <w:jc w:val="right"/>
            </w:pPr>
            <w:r>
              <w:t xml:space="preserve">–</w:t>
            </w:r>
          </w:p>
        </w:tc>
        <w:tc>
          <w:tcPr/>
          <w:p>
            <w:pPr>
              <w:pStyle w:val="Compact"/>
              <w:jc w:val="right"/>
            </w:pPr>
            <w:r>
              <w:t xml:space="preserve">0.149</w:t>
            </w:r>
          </w:p>
        </w:tc>
        <w:tc>
          <w:tcPr/>
          <w:p>
            <w:pPr>
              <w:pStyle w:val="Compact"/>
              <w:jc w:val="right"/>
            </w:pPr>
            <w:r>
              <w:t xml:space="preserve">–</w:t>
            </w:r>
          </w:p>
        </w:tc>
        <w:tc>
          <w:tcPr/>
          <w:p>
            <w:pPr>
              <w:pStyle w:val="Compact"/>
              <w:jc w:val="right"/>
            </w:pPr>
            <w:r>
              <w:t xml:space="preserve">0.197</w:t>
            </w:r>
          </w:p>
        </w:tc>
        <w:tc>
          <w:tcPr/>
          <w:p>
            <w:pPr>
              <w:pStyle w:val="Compact"/>
              <w:jc w:val="right"/>
            </w:pPr>
            <w:r>
              <w:t xml:space="preserve">–</w:t>
            </w:r>
          </w:p>
        </w:tc>
        <w:tc>
          <w:tcPr/>
          <w:p>
            <w:pPr>
              <w:pStyle w:val="Compact"/>
              <w:jc w:val="right"/>
            </w:pPr>
            <w:r>
              <w:t xml:space="preserve">0.158</w:t>
            </w:r>
          </w:p>
        </w:tc>
        <w:tc>
          <w:tcPr/>
          <w:p>
            <w:pPr>
              <w:pStyle w:val="Compact"/>
              <w:jc w:val="right"/>
            </w:pPr>
            <w:r>
              <w:t xml:space="preserve">–</w:t>
            </w:r>
          </w:p>
        </w:tc>
        <w:tc>
          <w:tcPr/>
          <w:p>
            <w:pPr>
              <w:pStyle w:val="Compact"/>
              <w:jc w:val="right"/>
            </w:pPr>
            <w:r>
              <w:t xml:space="preserve">0.148</w:t>
            </w:r>
          </w:p>
        </w:tc>
      </w:tr>
      <w:tr>
        <w:tc>
          <w:tcPr/>
          <w:p>
            <w:pPr>
              <w:pStyle w:val="Compact"/>
              <w:jc w:val="left"/>
            </w:pPr>
            <w:r>
              <w:t xml:space="preserve">Gold passages</w:t>
            </w:r>
          </w:p>
        </w:tc>
        <w:tc>
          <w:tcPr/>
          <w:p>
            <w:pPr>
              <w:pStyle w:val="Compact"/>
              <w:jc w:val="right"/>
            </w:pPr>
            <w:r>
              <w:t xml:space="preserve">–</w:t>
            </w:r>
          </w:p>
        </w:tc>
        <w:tc>
          <w:tcPr/>
          <w:p>
            <w:pPr>
              <w:pStyle w:val="Compact"/>
              <w:jc w:val="right"/>
            </w:pPr>
            <w:r>
              <w:t xml:space="preserve">0.653</w:t>
            </w:r>
          </w:p>
        </w:tc>
        <w:tc>
          <w:tcPr/>
          <w:p>
            <w:pPr>
              <w:pStyle w:val="Compact"/>
              <w:jc w:val="right"/>
            </w:pPr>
            <w:r>
              <w:t xml:space="preserve">–</w:t>
            </w:r>
          </w:p>
        </w:tc>
        <w:tc>
          <w:tcPr/>
          <w:p>
            <w:pPr>
              <w:pStyle w:val="Compact"/>
              <w:jc w:val="right"/>
            </w:pPr>
            <w:r>
              <w:t xml:space="preserve">0.613</w:t>
            </w:r>
          </w:p>
        </w:tc>
        <w:tc>
          <w:tcPr/>
          <w:p>
            <w:pPr>
              <w:pStyle w:val="Compact"/>
              <w:jc w:val="right"/>
            </w:pPr>
            <w:r>
              <w:t xml:space="preserve">–</w:t>
            </w:r>
          </w:p>
        </w:tc>
        <w:tc>
          <w:tcPr/>
          <w:p>
            <w:pPr>
              <w:pStyle w:val="Compact"/>
              <w:jc w:val="right"/>
            </w:pPr>
            <w:r>
              <w:t xml:space="preserve">0.628</w:t>
            </w:r>
          </w:p>
        </w:tc>
        <w:tc>
          <w:tcPr/>
          <w:p>
            <w:pPr>
              <w:pStyle w:val="Compact"/>
              <w:jc w:val="right"/>
            </w:pPr>
            <w:r>
              <w:t xml:space="preserve">–</w:t>
            </w:r>
          </w:p>
        </w:tc>
        <w:tc>
          <w:tcPr/>
          <w:p>
            <w:pPr>
              <w:pStyle w:val="Compact"/>
              <w:jc w:val="right"/>
            </w:pPr>
            <w:r>
              <w:t xml:space="preserve">0.624</w:t>
            </w:r>
          </w:p>
        </w:tc>
      </w:tr>
    </w:tbl>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p>
            <w:pPr>
              <w:pStyle w:val="Compact"/>
              <w:jc w:val="left"/>
            </w:pPr>
            <w:r>
              <w:t xml:space="preserve">BM25</w:t>
            </w:r>
          </w:p>
        </w:tc>
        <w:tc>
          <w:tcPr/>
          <w:p>
            <w:pPr>
              <w:pStyle w:val="Compact"/>
              <w:jc w:val="center"/>
            </w:pPr>
            <w:r>
              <w:t xml:space="preserve">0.37 [0.31, 0.43]</w:t>
            </w:r>
          </w:p>
        </w:tc>
        <w:tc>
          <w:tcPr/>
          <w:p>
            <w:pPr>
              <w:pStyle w:val="Compact"/>
              <w:jc w:val="center"/>
            </w:pPr>
            <w:r>
              <w:t xml:space="preserve">0.36 [0.30, 0.42]</w:t>
            </w:r>
          </w:p>
        </w:tc>
        <w:tc>
          <w:tcPr/>
          <w:p>
            <w:pPr>
              <w:pStyle w:val="Compact"/>
              <w:jc w:val="center"/>
            </w:pPr>
            <w:r>
              <w:t xml:space="preserve">n.e.</w:t>
            </w:r>
          </w:p>
        </w:tc>
        <w:tc>
          <w:tcPr/>
          <w:p>
            <w:pPr>
              <w:pStyle w:val="Compact"/>
              <w:jc w:val="center"/>
            </w:pPr>
            <w:r>
              <w:t xml:space="preserve">n.e.</w:t>
            </w:r>
          </w:p>
        </w:tc>
      </w:tr>
      <w:tr>
        <w:tc>
          <w:tcPr/>
          <w:p>
            <w:pPr>
              <w:pStyle w:val="Compact"/>
              <w:jc w:val="left"/>
            </w:pPr>
            <w:r>
              <w:t xml:space="preserve">bge-small</w:t>
            </w:r>
          </w:p>
        </w:tc>
        <w:tc>
          <w:tcPr/>
          <w:p>
            <w:pPr>
              <w:pStyle w:val="Compact"/>
              <w:jc w:val="center"/>
            </w:pPr>
            <w:r>
              <w:t xml:space="preserve">0.19 [</w:t>
            </w:r>
            <m:oMath>
              <m:r>
                <m:rPr>
                  <m:sty m:val="p"/>
                </m:rPr>
                <m:t>−</m:t>
              </m:r>
            </m:oMath>
            <w:r>
              <w:t xml:space="preserve">0.07, 0.44]</w:t>
            </w:r>
          </w:p>
        </w:tc>
        <w:tc>
          <w:tcPr/>
          <w:p>
            <w:pPr>
              <w:pStyle w:val="Compact"/>
              <w:jc w:val="center"/>
            </w:pPr>
            <w:r>
              <w:t xml:space="preserve">0.18 [</w:t>
            </w:r>
            <m:oMath>
              <m:r>
                <m:rPr>
                  <m:sty m:val="p"/>
                </m:rPr>
                <m:t>−</m:t>
              </m:r>
            </m:oMath>
            <w:r>
              <w:t xml:space="preserve">0.08, 0.43]</w:t>
            </w:r>
          </w:p>
        </w:tc>
        <w:tc>
          <w:tcPr/>
          <w:p>
            <w:pPr>
              <w:pStyle w:val="Compact"/>
              <w:jc w:val="center"/>
            </w:pPr>
            <w:r>
              <w:t xml:space="preserve">0.66 [0.52, 0.82]</w:t>
            </w:r>
          </w:p>
        </w:tc>
        <w:tc>
          <w:tcPr/>
          <w:p>
            <w:pPr>
              <w:pStyle w:val="Compact"/>
              <w:jc w:val="center"/>
            </w:pPr>
            <w:r>
              <w:t xml:space="preserve">0.69 [0.55, 0.85]</w:t>
            </w:r>
          </w:p>
        </w:tc>
      </w:tr>
      <w:tr>
        <w:tc>
          <w:tcPr/>
          <w:p>
            <w:pPr>
              <w:pStyle w:val="Compact"/>
              <w:jc w:val="left"/>
            </w:pPr>
            <w:r>
              <w:t xml:space="preserve">bge-base</w:t>
            </w:r>
          </w:p>
        </w:tc>
        <w:tc>
          <w:tcPr/>
          <w:p>
            <w:pPr>
              <w:pStyle w:val="Compact"/>
              <w:jc w:val="center"/>
            </w:pPr>
            <w:r>
              <w:t xml:space="preserve">0.20 [0.04, 0.36]</w:t>
            </w:r>
          </w:p>
        </w:tc>
        <w:tc>
          <w:tcPr/>
          <w:p>
            <w:pPr>
              <w:pStyle w:val="Compact"/>
              <w:jc w:val="center"/>
            </w:pPr>
            <w:r>
              <w:t xml:space="preserve">0.27 [0.12, 0.42]</w:t>
            </w:r>
          </w:p>
        </w:tc>
        <w:tc>
          <w:tcPr/>
          <w:p>
            <w:pPr>
              <w:pStyle w:val="Compact"/>
              <w:jc w:val="center"/>
            </w:pPr>
            <w:r>
              <w:t xml:space="preserve">0.71 [0.57, 0.87]</w:t>
            </w:r>
          </w:p>
        </w:tc>
        <w:tc>
          <w:tcPr/>
          <w:p>
            <w:pPr>
              <w:pStyle w:val="Compact"/>
              <w:jc w:val="center"/>
            </w:pPr>
            <w:r>
              <w:t xml:space="preserve">0.84 [0.69, 1.00]</w:t>
            </w:r>
          </w:p>
        </w:tc>
      </w:tr>
      <w:tr>
        <w:tc>
          <w:tcPr/>
          <w:p>
            <w:pPr>
              <w:pStyle w:val="Compact"/>
              <w:jc w:val="left"/>
            </w:pPr>
            <w:r>
              <w:t xml:space="preserve">bge-large</w:t>
            </w:r>
          </w:p>
        </w:tc>
        <w:tc>
          <w:tcPr/>
          <w:p>
            <w:pPr>
              <w:pStyle w:val="Compact"/>
              <w:jc w:val="center"/>
            </w:pPr>
            <w:r>
              <w:t xml:space="preserve">0.24 [0.11, 0.36]</w:t>
            </w:r>
          </w:p>
        </w:tc>
        <w:tc>
          <w:tcPr/>
          <w:p>
            <w:pPr>
              <w:pStyle w:val="Compact"/>
              <w:jc w:val="center"/>
            </w:pPr>
            <w:r>
              <w:t xml:space="preserve">0.16 [0.03, 0.28]</w:t>
            </w:r>
          </w:p>
        </w:tc>
        <w:tc>
          <w:tcPr/>
          <w:p>
            <w:pPr>
              <w:pStyle w:val="Compact"/>
              <w:jc w:val="center"/>
            </w:pPr>
            <w:r>
              <w:t xml:space="preserve">0.84 [0.69, 1.00]</w:t>
            </w:r>
          </w:p>
        </w:tc>
        <w:tc>
          <w:tcPr/>
          <w:p>
            <w:pPr>
              <w:pStyle w:val="Compact"/>
              <w:jc w:val="center"/>
            </w:pPr>
            <w:r>
              <w:t xml:space="preserve">0.93 [0.78, 1.10]</w:t>
            </w:r>
          </w:p>
        </w:tc>
      </w:tr>
      <w:tr>
        <w:tc>
          <w:tcPr/>
          <w:p>
            <w:pPr>
              <w:pStyle w:val="Compact"/>
              <w:jc w:val="left"/>
            </w:pPr>
            <w:r>
              <w:t xml:space="preserve">e5-base-v2</w:t>
            </w:r>
          </w:p>
        </w:tc>
        <w:tc>
          <w:tcPr/>
          <w:p>
            <w:pPr>
              <w:pStyle w:val="Compact"/>
              <w:jc w:val="center"/>
            </w:pPr>
            <w:r>
              <w:t xml:space="preserve">0.25 [0.15, 0.36]</w:t>
            </w:r>
          </w:p>
        </w:tc>
        <w:tc>
          <w:tcPr/>
          <w:p>
            <w:pPr>
              <w:pStyle w:val="Compact"/>
              <w:jc w:val="center"/>
            </w:pPr>
            <w:r>
              <w:t xml:space="preserve">0.16 [0.05, 0.26]</w:t>
            </w:r>
          </w:p>
        </w:tc>
        <w:tc>
          <w:tcPr/>
          <w:p>
            <w:pPr>
              <w:pStyle w:val="Compact"/>
              <w:jc w:val="center"/>
            </w:pPr>
            <w:r>
              <w:t xml:space="preserve">0.69 [0.54, 0.85]</w:t>
            </w:r>
          </w:p>
        </w:tc>
        <w:tc>
          <w:tcPr/>
          <w:p>
            <w:pPr>
              <w:pStyle w:val="Compact"/>
              <w:jc w:val="center"/>
            </w:pPr>
            <w:r>
              <w:t xml:space="preserve">0.83 [0.68, 1.00]</w:t>
            </w:r>
          </w:p>
        </w:tc>
      </w:tr>
      <w:tr>
        <w:tc>
          <w:tcPr/>
          <w:p>
            <w:pPr>
              <w:pStyle w:val="Compact"/>
              <w:jc w:val="left"/>
            </w:pPr>
            <w:r>
              <w:t xml:space="preserve">Qwen3-Emb-0.6B</w:t>
            </w:r>
          </w:p>
        </w:tc>
        <w:tc>
          <w:tcPr/>
          <w:p>
            <w:pPr>
              <w:pStyle w:val="Compact"/>
              <w:jc w:val="center"/>
            </w:pPr>
            <w:r>
              <w:t xml:space="preserve">0.25 [0.05, 0.45]</w:t>
            </w:r>
          </w:p>
        </w:tc>
        <w:tc>
          <w:tcPr/>
          <w:p>
            <w:pPr>
              <w:pStyle w:val="Compact"/>
              <w:jc w:val="center"/>
            </w:pPr>
            <w:r>
              <w:t xml:space="preserve">0.22 [0.02, 0.42]</w:t>
            </w:r>
          </w:p>
        </w:tc>
        <w:tc>
          <w:tcPr/>
          <w:p>
            <w:pPr>
              <w:pStyle w:val="Compact"/>
              <w:jc w:val="center"/>
            </w:pPr>
            <w:r>
              <w:t xml:space="preserve">0.49 [0.35, 0.64]</w:t>
            </w:r>
          </w:p>
        </w:tc>
        <w:tc>
          <w:tcPr/>
          <w:p>
            <w:pPr>
              <w:pStyle w:val="Compact"/>
              <w:jc w:val="center"/>
            </w:pPr>
            <w:r>
              <w:t xml:space="preserve">0.54 [0.40, 0.69]</w:t>
            </w:r>
          </w:p>
        </w:tc>
      </w:tr>
    </w:tbl>
    <w:p>
      <w:pPr>
        <w:pStyle w:val="BodyText"/>
      </w:pPr>
      <w:r>
        <w:rPr>
          <w:iCs/>
          <w:i/>
        </w:rPr>
        <w:t xml:space="preserve">n.e.: not estimable under the pre-registered rule (</w:t>
      </w:r>
      <m:oMath>
        <m:d>
          <m:dPr>
            <m:begChr m:val="|"/>
            <m:endChr m:val="|"/>
            <m:sepChr m:val=""/>
            <m:grow/>
          </m:dPr>
          <m:e>
            <m:r>
              <m:t>Δ</m:t>
            </m:r>
            <m:r>
              <m:rPr>
                <m:sty m:val="p"/>
              </m:rPr>
              <m:t>H</m:t>
            </m:r>
            <m:r>
              <m:rPr>
                <m:sty m:val="p"/>
              </m:rPr>
              <m:t>i</m:t>
            </m:r>
            <m:r>
              <m:rPr>
                <m:sty m:val="p"/>
              </m:rPr>
              <m:t>t</m:t>
            </m:r>
            <m:r>
              <m:rPr>
                <m:sty m:val="p"/>
              </m:rPr>
              <m:t>@</m:t>
            </m:r>
            <m:r>
              <m:rPr>
                <m:sty m:val="p"/>
              </m:rPr>
              <m:t>5</m:t>
            </m:r>
          </m:e>
        </m:d>
        <m:r>
          <m:rPr>
            <m:sty m:val="p"/>
          </m:rPr>
          <m:t>≤</m:t>
        </m:r>
        <m:r>
          <m:t>2</m:t>
        </m:r>
      </m:oMath>
      <w:r>
        <w:rPr>
          <w:iCs/>
          <w:i/>
        </w:rPr>
        <w:t xml:space="preserve"> </w:t>
      </w:r>
      <w:r>
        <w:rPr>
          <w:iCs/>
          <w:i/>
        </w:rPr>
        <w:t xml:space="preserve">points or not significant after Holm). BM25 on NQ retrieves worse than MiniLM-L6, so its ratio describes a loss.</w:t>
      </w:r>
    </w:p>
    <w:bookmarkEnd w:id="72"/>
    <w:bookmarkStart w:id="73" w:name="sec:res-sens"/>
    <w:p>
      <w:pPr>
        <w:pStyle w:val="Heading2"/>
      </w:pPr>
      <w:r>
        <w:t xml:space="preserve">How stable are the ratios?</w:t>
      </w:r>
    </w:p>
    <w:p>
      <w:pPr>
        <w:pStyle w:val="FirstParagraph"/>
      </w:pPr>
      <w:r>
        <w:t xml:space="preserve">Table </w:t>
      </w:r>
      <w:hyperlink w:anchor="tab:sensitivity">
        <w:r>
          <w:rPr>
            <w:rStyle w:val="Hyperlink"/>
          </w:rPr>
          <w:t xml:space="preserve">[tab:sensitivity]</w:t>
        </w:r>
      </w:hyperlink>
      <w:r>
        <w:t xml:space="preserve"> </w:t>
      </w:r>
      <w:r>
        <w:t xml:space="preserve">repeats the dense-encoder ratios under other answer metrics, another baseline, another retrieval metric and other numbers of passages. Only the top row is the registered analysis.</w:t>
      </w:r>
    </w:p>
    <w:p>
      <w:pPr>
        <w:pStyle w:val="BodyText"/>
      </w:pPr>
      <w:r>
        <w:t xml:space="preserve">On NQ, one pattern held in every row read at</w:t>
      </w:r>
      <w:r>
        <w:t xml:space="preserve"> </w:t>
      </w:r>
      <m:oMath>
        <m:r>
          <m:t>k</m:t>
        </m:r>
        <m:r>
          <m:rPr>
            <m:sty m:val="p"/>
          </m:rPr>
          <m:t>≥</m:t>
        </m:r>
        <m:r>
          <m:t>3</m:t>
        </m:r>
      </m:oMath>
      <w:r>
        <w:t xml:space="preserve">: each ratio and each upper bound stayed well below 1. With token F1 the NQ ratios were 0.23–0.33, with answer containment 0.27–0.39, and against BM25 instead of MiniLM-L6 0.29–0.35; the largest upper bound over these rows was 0.60. The size of the ratio was not stable, however. It fell with the number of passages read: 0.41–0.83 at</w:t>
      </w:r>
      <w:r>
        <w:t xml:space="preserve"> </w:t>
      </w:r>
      <m:oMath>
        <m:r>
          <m:t>k</m:t>
        </m:r>
        <m:r>
          <m:rPr>
            <m:sty m:val="p"/>
          </m:rPr>
          <m:t>=</m:t>
        </m:r>
        <m:r>
          <m:t>1</m:t>
        </m:r>
      </m:oMath>
      <w:r>
        <w:t xml:space="preserve">, 0.32–0.37 at</w:t>
      </w:r>
      <w:r>
        <w:t xml:space="preserve"> </w:t>
      </w:r>
      <m:oMath>
        <m:r>
          <m:t>k</m:t>
        </m:r>
        <m:r>
          <m:rPr>
            <m:sty m:val="p"/>
          </m:rPr>
          <m:t>=</m:t>
        </m:r>
        <m:r>
          <m:t>3</m:t>
        </m:r>
      </m:oMath>
      <w:r>
        <w:t xml:space="preserve"> </w:t>
      </w:r>
      <w:r>
        <w:t xml:space="preserve">and 0.05–0.19 at</w:t>
      </w:r>
      <w:r>
        <w:t xml:space="preserve"> </w:t>
      </w:r>
      <m:oMath>
        <m:r>
          <m:t>k</m:t>
        </m:r>
        <m:r>
          <m:rPr>
            <m:sty m:val="p"/>
          </m:rPr>
          <m:t>=</m:t>
        </m:r>
        <m:r>
          <m:t>10</m:t>
        </m:r>
      </m:oMath>
      <w:r>
        <w:t xml:space="preserve"> </w:t>
      </w:r>
      <w:r>
        <w:t xml:space="preserve">(Qwen; exploratory, Hit@</w:t>
      </w:r>
      <m:oMath>
        <m:r>
          <m:t>k</m:t>
        </m:r>
      </m:oMath>
      <w:r>
        <w:t xml:space="preserve"> </w:t>
      </w:r>
      <w:r>
        <w:t xml:space="preserve">matched to</w:t>
      </w:r>
      <w:r>
        <w:t xml:space="preserve"> </w:t>
      </w:r>
      <m:oMath>
        <m:r>
          <m:t>k</m:t>
        </m:r>
      </m:oMath>
      <w:r>
        <w:t xml:space="preserve">). At</w:t>
      </w:r>
      <w:r>
        <w:t xml:space="preserve"> </w:t>
      </w:r>
      <m:oMath>
        <m:r>
          <m:t>k</m:t>
        </m:r>
        <m:r>
          <m:rPr>
            <m:sty m:val="p"/>
          </m:rPr>
          <m:t>=</m:t>
        </m:r>
        <m:r>
          <m:t>1</m:t>
        </m:r>
      </m:oMath>
      <w:r>
        <w:t xml:space="preserve"> </w:t>
      </w:r>
      <w:r>
        <w:t xml:space="preserve">the largest upper bound was 1.22.</w:t>
      </w:r>
    </w:p>
    <w:p>
      <w:pPr>
        <w:pStyle w:val="BodyText"/>
      </w:pPr>
      <w:r>
        <w:t xml:space="preserve">On HotpotQA, the size of the ratio depended mainly on the retrieval metric. With Both@5 instead of Hit@5 as the denominator, the dense-encoder ratios were 0.29–0.35 for both readers, close to the NQ ratios against BM25, and Qwen3-Embedding-0.6B no longer stood apart. Against BM25 with Hit@5, the HotpotQA ratios were 0.25–0.75; they exceeded the NQ ratios in 8 of 10 encoder–reader pairs, the exceptions being Qwen3-Embedding-0.6B (0.25 and 0.27 against 0.35 and 0.33). Under F1, the Llama ratio of bge-large was 1.10 [0.95, 1.28], so full transfer cannot be ruled out for that encoder when it is measured with Hit@5.</w:t>
      </w:r>
    </w:p>
    <w:p>
      <w:pPr>
        <w:pStyle w:val="BodyText"/>
      </w:pPr>
      <w:r>
        <w:t xml:space="preserve">The stable finding is therefore that, with three to ten passages read (</w:t>
      </w:r>
      <m:oMath>
        <m:r>
          <m:t>k</m:t>
        </m:r>
      </m:oMath>
      <w:r>
        <w:t xml:space="preserve"> </w:t>
      </w:r>
      <w:r>
        <w:t xml:space="preserve">= 3, 5 and 10), a Hit@5 gain over a small encoder bought a much smaller EM gain on NQ. The exact ratio depends on the baseline, the answer metric and</w:t>
      </w:r>
      <w:r>
        <w:t xml:space="preserve"> </w:t>
      </w:r>
      <m:oMath>
        <m:r>
          <m:t>k</m:t>
        </m:r>
      </m:oMath>
      <w:r>
        <w:t xml:space="preserve">, and the larger HotpotQA ratios depend on scoring retrieval by any rather than all supporting passages.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 metric, retrieval metric, baseline</w:t>
            </w:r>
          </w:p>
        </w:tc>
        <w:tc>
          <w:tcPr/>
          <w:p>
            <w:pPr>
              <w:pStyle w:val="Compact"/>
              <w:jc w:val="center"/>
            </w:pPr>
            <w:r>
              <w:t xml:space="preserve">NQ ratios</w:t>
            </w:r>
          </w:p>
        </w:tc>
        <w:tc>
          <w:tcPr/>
          <w:p>
            <w:pPr>
              <w:pStyle w:val="Compact"/>
              <w:jc w:val="center"/>
            </w:pPr>
            <w:r>
              <w:t xml:space="preserve">NQ max. upper</w:t>
            </w:r>
          </w:p>
        </w:tc>
        <w:tc>
          <w:tcPr/>
          <w:p>
            <w:pPr>
              <w:pStyle w:val="Compact"/>
              <w:jc w:val="center"/>
            </w:pPr>
            <w:r>
              <w:t xml:space="preserve">HotpotQA ratios</w:t>
            </w:r>
          </w:p>
        </w:tc>
        <w:tc>
          <w:tcPr/>
          <w:p>
            <w:pPr>
              <w:pStyle w:val="Compact"/>
              <w:jc w:val="center"/>
            </w:pPr>
            <w:r>
              <w:t xml:space="preserve">HotpotQA max. upper</w:t>
            </w:r>
          </w:p>
        </w:tc>
      </w:tr>
      <w:tr>
        <w:tc>
          <w:tcPr/>
          <w:p>
            <w:pPr>
              <w:pStyle w:val="Compact"/>
              <w:jc w:val="left"/>
            </w:pPr>
            <w:r>
              <w:t xml:space="preserve">EM (primary), Hit@5, MiniLM-L6</w:t>
            </w:r>
          </w:p>
        </w:tc>
        <w:tc>
          <w:tcPr/>
          <w:p>
            <w:pPr>
              <w:pStyle w:val="Compact"/>
              <w:jc w:val="center"/>
            </w:pPr>
            <w:r>
              <w:t xml:space="preserve">0.16–0.27</w:t>
            </w:r>
          </w:p>
        </w:tc>
        <w:tc>
          <w:tcPr/>
          <w:p>
            <w:pPr>
              <w:pStyle w:val="Compact"/>
              <w:jc w:val="center"/>
            </w:pPr>
            <w:r>
              <w:t xml:space="preserve">0.45</w:t>
            </w:r>
          </w:p>
        </w:tc>
        <w:tc>
          <w:tcPr/>
          <w:p>
            <w:pPr>
              <w:pStyle w:val="Compact"/>
              <w:jc w:val="center"/>
            </w:pPr>
            <w:r>
              <w:t xml:space="preserve">0.49–0.93</w:t>
            </w:r>
          </w:p>
        </w:tc>
        <w:tc>
          <w:tcPr/>
          <w:p>
            <w:pPr>
              <w:pStyle w:val="Compact"/>
              <w:jc w:val="center"/>
            </w:pPr>
            <w:r>
              <w:t xml:space="preserve">1.10</w:t>
            </w:r>
          </w:p>
        </w:tc>
      </w:tr>
      <w:tr>
        <w:tc>
          <w:tcPr/>
          <w:p>
            <w:pPr>
              <w:pStyle w:val="Compact"/>
              <w:jc w:val="left"/>
            </w:pPr>
            <w:r>
              <w:t xml:space="preserve">token F1, Hit@5, MiniLM-L6</w:t>
            </w:r>
          </w:p>
        </w:tc>
        <w:tc>
          <w:tcPr/>
          <w:p>
            <w:pPr>
              <w:pStyle w:val="Compact"/>
              <w:jc w:val="center"/>
            </w:pPr>
            <w:r>
              <w:t xml:space="preserve">0.23–0.33</w:t>
            </w:r>
          </w:p>
        </w:tc>
        <w:tc>
          <w:tcPr/>
          <w:p>
            <w:pPr>
              <w:pStyle w:val="Compact"/>
              <w:jc w:val="center"/>
            </w:pPr>
            <w:r>
              <w:t xml:space="preserve">0.49</w:t>
            </w:r>
          </w:p>
        </w:tc>
        <w:tc>
          <w:tcPr/>
          <w:p>
            <w:pPr>
              <w:pStyle w:val="Compact"/>
              <w:jc w:val="center"/>
            </w:pPr>
            <w:r>
              <w:t xml:space="preserve">0.52–1.10</w:t>
            </w:r>
          </w:p>
        </w:tc>
        <w:tc>
          <w:tcPr/>
          <w:p>
            <w:pPr>
              <w:pStyle w:val="Compact"/>
              <w:jc w:val="center"/>
            </w:pPr>
            <w:r>
              <w:t xml:space="preserve">1.28</w:t>
            </w:r>
          </w:p>
        </w:tc>
      </w:tr>
      <w:tr>
        <w:tc>
          <w:tcPr/>
          <w:p>
            <w:pPr>
              <w:pStyle w:val="Compact"/>
              <w:jc w:val="left"/>
            </w:pPr>
            <w:r>
              <w:t xml:space="preserve">answer containment, Hit@5, MiniLM-L6</w:t>
            </w:r>
          </w:p>
        </w:tc>
        <w:tc>
          <w:tcPr/>
          <w:p>
            <w:pPr>
              <w:pStyle w:val="Compact"/>
              <w:jc w:val="center"/>
            </w:pPr>
            <w:r>
              <w:t xml:space="preserve">0.27–0.39</w:t>
            </w:r>
          </w:p>
        </w:tc>
        <w:tc>
          <w:tcPr/>
          <w:p>
            <w:pPr>
              <w:pStyle w:val="Compact"/>
              <w:jc w:val="center"/>
            </w:pPr>
            <w:r>
              <w:t xml:space="preserve">0.60</w:t>
            </w:r>
          </w:p>
        </w:tc>
        <w:tc>
          <w:tcPr/>
          <w:p>
            <w:pPr>
              <w:pStyle w:val="Compact"/>
              <w:jc w:val="center"/>
            </w:pPr>
            <w:r>
              <w:t xml:space="preserve">0.49–1.01</w:t>
            </w:r>
          </w:p>
        </w:tc>
        <w:tc>
          <w:tcPr/>
          <w:p>
            <w:pPr>
              <w:pStyle w:val="Compact"/>
              <w:jc w:val="center"/>
            </w:pPr>
            <w:r>
              <w:t xml:space="preserve">1.18</w:t>
            </w:r>
          </w:p>
        </w:tc>
      </w:tr>
      <w:tr>
        <w:tc>
          <w:tcPr/>
          <w:p>
            <w:pPr>
              <w:pStyle w:val="Compact"/>
              <w:jc w:val="left"/>
            </w:pPr>
            <w:r>
              <w:t xml:space="preserve">EM, Hit@5, BM25</w:t>
            </w:r>
          </w:p>
        </w:tc>
        <w:tc>
          <w:tcPr/>
          <w:p>
            <w:pPr>
              <w:pStyle w:val="Compact"/>
              <w:jc w:val="center"/>
            </w:pPr>
            <w:r>
              <w:t xml:space="preserve">0.29–0.35</w:t>
            </w:r>
          </w:p>
        </w:tc>
        <w:tc>
          <w:tcPr/>
          <w:p>
            <w:pPr>
              <w:pStyle w:val="Compact"/>
              <w:jc w:val="center"/>
            </w:pPr>
            <w:r>
              <w:t xml:space="preserve">0.40</w:t>
            </w:r>
          </w:p>
        </w:tc>
        <w:tc>
          <w:tcPr/>
          <w:p>
            <w:pPr>
              <w:pStyle w:val="Compact"/>
              <w:jc w:val="center"/>
            </w:pPr>
            <w:r>
              <w:t xml:space="preserve">0.25–0.75</w:t>
            </w:r>
          </w:p>
        </w:tc>
        <w:tc>
          <w:tcPr/>
          <w:p>
            <w:pPr>
              <w:pStyle w:val="Compact"/>
              <w:jc w:val="center"/>
            </w:pPr>
            <w:r>
              <w:t xml:space="preserve">0.92</w:t>
            </w:r>
          </w:p>
        </w:tc>
      </w:tr>
      <w:tr>
        <w:tc>
          <w:tcPr/>
          <w:p>
            <w:pPr>
              <w:pStyle w:val="Compact"/>
              <w:jc w:val="left"/>
            </w:pPr>
            <w:r>
              <w:t xml:space="preserve">EM, Both@5, MiniLM-L6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0.29–0.35</w:t>
            </w:r>
          </w:p>
        </w:tc>
        <w:tc>
          <w:tcPr/>
          <w:p>
            <w:pPr>
              <w:pStyle w:val="Compact"/>
              <w:jc w:val="center"/>
            </w:pPr>
            <w:r>
              <w:t xml:space="preserve">0.41</w:t>
            </w:r>
          </w:p>
        </w:tc>
      </w:tr>
      <w:tr>
        <w:tc>
          <w:tcPr/>
          <w:p>
            <w:pPr>
              <w:pStyle w:val="Compact"/>
              <w:jc w:val="left"/>
            </w:pPr>
            <w:r>
              <w:t xml:space="preserve">EM, Hit@</w:t>
            </w:r>
            <m:oMath>
              <m:r>
                <m:t>k</m:t>
              </m:r>
            </m:oMath>
            <w:r>
              <w:t xml:space="preserve"> </w:t>
            </w:r>
            <w:r>
              <w:t xml:space="preserve">at</w:t>
            </w:r>
            <w:r>
              <w:t xml:space="preserve"> </w:t>
            </w:r>
            <m:oMath>
              <m:r>
                <m:t>k</m:t>
              </m:r>
              <m:r>
                <m:rPr>
                  <m:sty m:val="p"/>
                </m:rPr>
                <m:t>=</m:t>
              </m:r>
              <m:r>
                <m:t>1</m:t>
              </m:r>
            </m:oMath>
            <w:r>
              <w:t xml:space="preserve">, MiniLM-L6 (Qwen)</w:t>
            </w:r>
          </w:p>
        </w:tc>
        <w:tc>
          <w:tcPr/>
          <w:p>
            <w:pPr>
              <w:pStyle w:val="Compact"/>
              <w:jc w:val="center"/>
            </w:pPr>
            <w:r>
              <w:t xml:space="preserve">0.41–0.83</w:t>
            </w:r>
          </w:p>
        </w:tc>
        <w:tc>
          <w:tcPr/>
          <w:p>
            <w:pPr>
              <w:pStyle w:val="Compact"/>
              <w:jc w:val="center"/>
            </w:pPr>
            <w:r>
              <w:t xml:space="preserve">1.22</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EM, Hit@</w:t>
            </w:r>
            <m:oMath>
              <m:r>
                <m:t>k</m:t>
              </m:r>
            </m:oMath>
            <w:r>
              <w:t xml:space="preserve"> </w:t>
            </w:r>
            <w:r>
              <w:t xml:space="preserve">at</w:t>
            </w:r>
            <w:r>
              <w:t xml:space="preserve"> </w:t>
            </w:r>
            <m:oMath>
              <m:r>
                <m:t>k</m:t>
              </m:r>
              <m:r>
                <m:rPr>
                  <m:sty m:val="p"/>
                </m:rPr>
                <m:t>=</m:t>
              </m:r>
              <m:r>
                <m:t>3</m:t>
              </m:r>
            </m:oMath>
            <w:r>
              <w:t xml:space="preserve">, MiniLM-L6 (Qwen)</w:t>
            </w:r>
          </w:p>
        </w:tc>
        <w:tc>
          <w:tcPr/>
          <w:p>
            <w:pPr>
              <w:pStyle w:val="Compact"/>
              <w:jc w:val="center"/>
            </w:pPr>
            <w:r>
              <w:t xml:space="preserve">0.32–0.37</w:t>
            </w:r>
          </w:p>
        </w:tc>
        <w:tc>
          <w:tcPr/>
          <w:p>
            <w:pPr>
              <w:pStyle w:val="Compact"/>
              <w:jc w:val="center"/>
            </w:pPr>
            <w:r>
              <w:t xml:space="preserve">0.59</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EM, Hit@</w:t>
            </w:r>
            <m:oMath>
              <m:r>
                <m:t>k</m:t>
              </m:r>
            </m:oMath>
            <w:r>
              <w:t xml:space="preserve"> </w:t>
            </w:r>
            <w:r>
              <w:t xml:space="preserve">at</w:t>
            </w:r>
            <w:r>
              <w:t xml:space="preserve"> </w:t>
            </w:r>
            <m:oMath>
              <m:r>
                <m:t>k</m:t>
              </m:r>
              <m:r>
                <m:rPr>
                  <m:sty m:val="p"/>
                </m:rPr>
                <m:t>=</m:t>
              </m:r>
              <m:r>
                <m:t>10</m:t>
              </m:r>
            </m:oMath>
            <w:r>
              <w:t xml:space="preserve">, MiniLM-L6 (Qwen)</w:t>
            </w:r>
          </w:p>
        </w:tc>
        <w:tc>
          <w:tcPr/>
          <w:p>
            <w:pPr>
              <w:pStyle w:val="Compact"/>
              <w:jc w:val="center"/>
            </w:pPr>
            <w:r>
              <w:t xml:space="preserve">0.05–0.19</w:t>
            </w:r>
          </w:p>
        </w:tc>
        <w:tc>
          <w:tcPr/>
          <w:p>
            <w:pPr>
              <w:pStyle w:val="Compact"/>
              <w:jc w:val="center"/>
            </w:pPr>
            <w:r>
              <w:t xml:space="preserve">0.42</w:t>
            </w:r>
          </w:p>
        </w:tc>
        <w:tc>
          <w:tcPr/>
          <w:p>
            <w:pPr>
              <w:pStyle w:val="Compact"/>
              <w:jc w:val="center"/>
            </w:pPr>
            <w:r>
              <w:t xml:space="preserve">–</w:t>
            </w:r>
          </w:p>
        </w:tc>
        <w:tc>
          <w:tcPr/>
          <w:p>
            <w:pPr>
              <w:pStyle w:val="Compact"/>
              <w:jc w:val="center"/>
            </w:pPr>
            <w:r>
              <w:t xml:space="preserve">–</w:t>
            </w:r>
          </w:p>
        </w:tc>
      </w:tr>
    </w:tbl>
    <w:p>
      <w:pPr>
        <w:pStyle w:val="BodyText"/>
      </w:pPr>
      <w:r>
        <w:rPr>
          <w:iCs/>
          <w:i/>
        </w:rPr>
        <w:t xml:space="preserve">Max. upper: largest upper 95% bootstrap bound in the row. The</w:t>
      </w:r>
      <w:r>
        <w:rPr>
          <w:iCs/>
          <w:i/>
        </w:rPr>
        <w:t xml:space="preserve"> </w:t>
      </w:r>
      <m:oMath>
        <m:r>
          <m:t>k</m:t>
        </m:r>
      </m:oMath>
      <w:r>
        <w:rPr>
          <w:iCs/>
          <w:i/>
        </w:rPr>
        <w:t xml:space="preserve"> </w:t>
      </w:r>
      <w:r>
        <w:rPr>
          <w:iCs/>
          <w:i/>
        </w:rPr>
        <w:t xml:space="preserve">rows match Hit@</w:t>
      </w:r>
      <m:oMath>
        <m:r>
          <m:t>k</m:t>
        </m:r>
      </m:oMath>
      <w:r>
        <w:rPr>
          <w:iCs/>
          <w:i/>
        </w:rPr>
        <w:t xml:space="preserve"> </w:t>
      </w:r>
      <w:r>
        <w:rPr>
          <w:iCs/>
          <w:i/>
        </w:rPr>
        <w:t xml:space="preserve">to the</w:t>
      </w:r>
      <w:r>
        <w:rPr>
          <w:iCs/>
          <w:i/>
        </w:rPr>
        <w:t xml:space="preserve"> </w:t>
      </w:r>
      <m:oMath>
        <m:r>
          <m:t>k</m:t>
        </m:r>
      </m:oMath>
      <w:r>
        <w:rPr>
          <w:iCs/>
          <w:i/>
        </w:rPr>
        <w:t xml:space="preserve"> </w:t>
      </w:r>
      <w:r>
        <w:rPr>
          <w:iCs/>
          <w:i/>
        </w:rPr>
        <w:t xml:space="preserve">passages read (Qwen reader, NQ only; exploratory, without the reporting rule).</w:t>
      </w:r>
    </w:p>
    <w:bookmarkEnd w:id="73"/>
    <w:bookmarkStart w:id="77" w:name="sec:res-full"/>
    <w:p>
      <w:pPr>
        <w:pStyle w:val="Heading2"/>
      </w:pPr>
      <w:r>
        <w:t xml:space="preserve">Do the NQ ratios hold on the full corpus?</w:t>
      </w:r>
    </w:p>
    <w:p>
      <w:pPr>
        <w:pStyle w:val="FirstParagraph"/>
      </w:pPr>
      <w:r>
        <w:t xml:space="preserve">All results so far use the 300,000-passage sub-corpus, which favours the dense encoders relative to BM25. In Phase 3 both readers answered the NQ generation queries from retrieval on the full corpus of 2,681,468 passages (Table </w:t>
      </w:r>
      <w:hyperlink w:anchor="tab:fullreader">
        <w:r>
          <w:rPr>
            <w:rStyle w:val="Hyperlink"/>
          </w:rPr>
          <w:t xml:space="preserve">[tab:fullreader]</w:t>
        </w:r>
      </w:hyperlink>
      <w:r>
        <w:t xml:space="preserve"> </w:t>
      </w:r>
      <w:r>
        <w:t xml:space="preserve">and Fig. </w:t>
      </w:r>
      <w:hyperlink w:anchor="fig:fulltransfer">
        <w:r>
          <w:rPr>
            <w:rStyle w:val="Hyperlink"/>
          </w:rPr>
          <w:t xml:space="preserve">6</w:t>
        </w:r>
      </w:hyperlink>
      <w:r>
        <w:t xml:space="preserve">). On the full corpus the dense encoders lost 0.089–0.100 in Hit@5 and 0.018–0.028 in EM (all Holm-adjusted</w:t>
      </w:r>
      <w:r>
        <w:t xml:space="preserve"> </w:t>
      </w:r>
      <m:oMath>
        <m:r>
          <m:t>p</m:t>
        </m:r>
        <m:r>
          <m:rPr>
            <m:sty m:val="p"/>
          </m:rPr>
          <m:t>≤</m:t>
        </m:r>
      </m:oMath>
      <w:r>
        <w:t xml:space="preserve"> </w:t>
      </w:r>
      <w:r>
        <w:t xml:space="preserve">0.014). BM25 kept its Hit@5, and its EM changed by no detectable amount (−0.005 to −0.001;</w:t>
      </w:r>
      <w:r>
        <w:t xml:space="preserve"> </w:t>
      </w:r>
      <m:oMath>
        <m:r>
          <m:t>p</m:t>
        </m:r>
        <m:r>
          <m:rPr>
            <m:sty m:val="p"/>
          </m:rPr>
          <m:t>≥</m:t>
        </m:r>
      </m:oMath>
      <w:r>
        <w:t xml:space="preserve"> </w:t>
      </w:r>
      <w:r>
        <w:t xml:space="preserve">0.16).</w:t>
      </w:r>
    </w:p>
    <w:p>
      <w:pPr>
        <w:pStyle w:val="BodyText"/>
      </w:pPr>
      <w:r>
        <w:t xml:space="preserve">The transfer ratios hardly moved. With e5-base-v2,</w:t>
      </w:r>
      <w:r>
        <w:t xml:space="preserve"> </w:t>
      </w:r>
      <m:oMath>
        <m:r>
          <m:t>T</m:t>
        </m:r>
      </m:oMath>
      <w:r>
        <w:t xml:space="preserve"> </w:t>
      </w:r>
      <w:r>
        <w:t xml:space="preserve">was 0.233 [0.13, 0.33] with Qwen, inside its sub-corpus interval [0.147, 0.356], and 0.195 [0.09, 0.30] with Llama, inside [0.053, 0.265]. The paired differences from the sub-corpus ratios were −0.02 [−0.12, +0.09] and +0.04 [−0.06, +0.14]. The bge-small ratios were 0.15 [−0.12, 0.40] and 0.22 [−0.05, 0.48]; as on the sub-corpus, their intervals included zero. Every dense upper bound stayed below 1 (largest 0.483), so P7 and P8 were met for both readers. Against BM25, the ratios of bge-small and e5-base-v2 were 0.33–0.38 on the full corpus and 0.29–0.34 on the sub-corpus.</w:t>
      </w:r>
    </w:p>
    <w:p>
      <w:pPr>
        <w:pStyle w:val="BodyText"/>
      </w:pPr>
      <w:r>
        <w:t xml:space="preserve">The query-level accounting also kept its shape. Queries that moved from miss to hit contributed +0.043 to +0.062 to the EM gain, those that hit under both retrievers −0.020 to −0.011 (interval below zero in 3 of 4 encoder–reader pairs) and those that lost their hit −0.022 to −0.010. In a comparison that was not pre-specified, the full corpus cost the three dense encoders 0.20–0.28 EM points per Hit@5 point lost, about the size of the transfer ratios themselves. At most 1.0% of the full-corpus outputs could not be parsed.</w:t>
      </w:r>
    </w:p>
    <w:p>
      <w:pPr>
        <w:pStyle w:val="CaptionedFigure"/>
      </w:pPr>
      <w:r>
        <w:drawing>
          <wp:inline>
            <wp:extent cx="2959100" cy="1663700"/>
            <wp:effectExtent b="0" l="0" r="0" t="0"/>
            <wp:docPr descr="" title="" id="75" name="Picture"/>
            <a:graphic>
              <a:graphicData uri="http://schemas.openxmlformats.org/drawingml/2006/picture">
                <pic:pic>
                  <pic:nvPicPr>
                    <pic:cNvPr descr="figs/fig13_fullcorpus_T.pdf" id="76" name="Picture"/>
                    <pic:cNvPicPr>
                      <a:picLocks noChangeArrowheads="1" noChangeAspect="1"/>
                    </pic:cNvPicPr>
                  </pic:nvPicPr>
                  <pic:blipFill>
                    <a:blip r:embed="rId74"/>
                    <a:stretch>
                      <a:fillRect/>
                    </a:stretch>
                  </pic:blipFill>
                  <pic:spPr bwMode="auto">
                    <a:xfrm>
                      <a:off x="0" y="0"/>
                      <a:ext cx="2959100" cy="1663700"/>
                    </a:xfrm>
                    <a:prstGeom prst="rect">
                      <a:avLst/>
                    </a:prstGeom>
                    <a:noFill/>
                    <a:ln w="9525">
                      <a:noFill/>
                      <a:headEnd/>
                      <a:tailEnd/>
                    </a:ln>
                  </pic:spPr>
                </pic:pic>
              </a:graphicData>
            </a:graphic>
          </wp:inline>
        </w:drawing>
      </w:r>
    </w:p>
    <w:p>
      <w:pPr>
        <w:pStyle w:val="ImageCaption"/>
      </w:pPr>
      <w:r>
        <w:t xml:space="preserve">NQ transfer ratios against MiniLM-L6 on the sub-corpus (open circles) and on the full corpus (filled squares), with 95% bootstrap intervals; 2,255 queries,</w:t>
      </w:r>
      <w:r>
        <w:t xml:space="preserve"> </w:t>
      </w:r>
      <m:oMath>
        <m:r>
          <m:t>k</m:t>
        </m:r>
        <m:r>
          <m:rPr>
            <m:sty m:val="p"/>
          </m:rPr>
          <m:t>=</m:t>
        </m:r>
        <m:r>
          <m:t>5</m:t>
        </m:r>
      </m:oMath>
      <w:r>
        <w:t xml:space="preserve">. The dashed line marks</w:t>
      </w:r>
      <w:r>
        <w:t xml:space="preserve"> </w:t>
      </w:r>
      <m:oMath>
        <m:r>
          <m:t>T</m:t>
        </m:r>
        <m:r>
          <m:rPr>
            <m:sty m:val="p"/>
          </m:rPr>
          <m:t>=</m:t>
        </m:r>
        <m:r>
          <m:t>1</m:t>
        </m:r>
      </m:oMath>
      <w:r>
        <w:t xml:space="preserve">.</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pPr>
          </w:p>
        </w:tc>
        <w:tc>
          <w:tcPr>
            <w:gridSpan w:val="2"/>
          </w:tcPr>
          <w:p>
            <w:pPr>
              <w:pStyle w:val="Compact"/>
              <w:jc w:val="center"/>
            </w:pPr>
            <w:r>
              <w:t xml:space="preserve">Hit@5</w:t>
            </w:r>
          </w:p>
        </w:tc>
        <w:tc>
          <w:tcPr>
            <w:gridSpan w:val="2"/>
          </w:tcPr>
          <w:p>
            <w:pPr>
              <w:pStyle w:val="Compact"/>
              <w:jc w:val="center"/>
            </w:pPr>
            <w:r>
              <w:t xml:space="preserve">EM</w:t>
            </w:r>
          </w:p>
        </w:tc>
        <w:tc>
          <w:tcPr/>
          <w:p>
            <w:pPr>
              <w:pStyle w:val="Compact"/>
            </w:pPr>
          </w:p>
        </w:tc>
        <w:tc>
          <w:tcPr/>
          <w:p>
            <w:pPr>
              <w:pStyle w:val="Compact"/>
            </w:pPr>
          </w:p>
        </w:tc>
        <w:tc>
          <w:tcPr>
            <w:gridSpan w:val="2"/>
          </w:tcPr>
          <w:p>
            <w:pPr>
              <w:pStyle w:val="Compact"/>
              <w:jc w:val="center"/>
            </w:pPr>
            <m:oMath>
              <m:r>
                <m:t>T</m:t>
              </m:r>
            </m:oMath>
            <w:r>
              <w:t xml:space="preserve"> </w:t>
            </w:r>
            <w:r>
              <w:t xml:space="preserve">vs MiniLM-L6 [95% CI]</w:t>
            </w:r>
          </w:p>
        </w:tc>
      </w:tr>
      <w:tr>
        <w:tc>
          <w:tcPr/>
          <w:p>
            <w:pPr>
              <w:pStyle w:val="Compact"/>
              <w:jc w:val="left"/>
            </w:pPr>
            <w:r>
              <w:t xml:space="preserve">2-3</w:t>
            </w:r>
            <w:r>
              <w:t xml:space="preserve">(lr)</w:t>
            </w:r>
            <w:r>
              <w:t xml:space="preserve">4-5</w:t>
            </w:r>
            <w:r>
              <w:t xml:space="preserve">(lr)</w:t>
            </w:r>
            <w:r>
              <w:t xml:space="preserve">8-9</w:t>
            </w:r>
            <w:r>
              <w:t xml:space="preserve"> </w:t>
            </w:r>
            <w:r>
              <w:t xml:space="preserve">Retriever</w:t>
            </w:r>
          </w:p>
        </w:tc>
        <w:tc>
          <w:tcPr/>
          <w:p>
            <w:pPr>
              <w:pStyle w:val="Compact"/>
              <w:jc w:val="center"/>
            </w:pPr>
            <w:r>
              <w:t xml:space="preserve">sub</w:t>
            </w:r>
          </w:p>
        </w:tc>
        <w:tc>
          <w:tcPr/>
          <w:p>
            <w:pPr>
              <w:pStyle w:val="Compact"/>
              <w:jc w:val="center"/>
            </w:pPr>
            <w:r>
              <w:t xml:space="preserve">full</w:t>
            </w:r>
          </w:p>
        </w:tc>
        <w:tc>
          <w:tcPr/>
          <w:p>
            <w:pPr>
              <w:pStyle w:val="Compact"/>
              <w:jc w:val="center"/>
            </w:pPr>
            <w:r>
              <w:t xml:space="preserve">sub</w:t>
            </w:r>
          </w:p>
        </w:tc>
        <w:tc>
          <w:tcPr/>
          <w:p>
            <w:pPr>
              <w:pStyle w:val="Compact"/>
              <w:jc w:val="center"/>
            </w:pPr>
            <w:r>
              <w:t xml:space="preserve">full</w:t>
            </w:r>
          </w:p>
        </w:tc>
        <w:tc>
          <w:tcPr/>
          <w:p>
            <w:pPr>
              <w:pStyle w:val="Compact"/>
              <w:jc w:val="center"/>
            </w:pPr>
            <m:oMath>
              <m:r>
                <m:t>Δ</m:t>
              </m:r>
            </m:oMath>
            <w:r>
              <w:t xml:space="preserve">EM full</w:t>
            </w:r>
            <m:oMath>
              <m:r>
                <m:rPr>
                  <m:sty m:val="p"/>
                </m:rPr>
                <m:t>−</m:t>
              </m:r>
            </m:oMath>
            <w:r>
              <w:t xml:space="preserve">sub</w:t>
            </w:r>
          </w:p>
        </w:tc>
        <w:tc>
          <w:tcPr/>
          <w:p>
            <w:pPr>
              <w:pStyle w:val="Compact"/>
              <w:jc w:val="center"/>
            </w:pPr>
            <m:oMath>
              <m:sSub>
                <m:e>
                  <m:r>
                    <m:t>p</m:t>
                  </m:r>
                </m:e>
                <m:sub>
                  <m:r>
                    <m:rPr>
                      <m:nor/>
                      <m:sty m:val="p"/>
                    </m:rPr>
                    <m:t>Holm</m:t>
                  </m:r>
                </m:sub>
              </m:sSub>
            </m:oMath>
          </w:p>
        </w:tc>
        <w:tc>
          <w:tcPr/>
          <w:p>
            <w:pPr>
              <w:pStyle w:val="Compact"/>
              <w:jc w:val="left"/>
            </w:pPr>
            <w:r>
              <w:t xml:space="preserve">sub</w:t>
            </w:r>
          </w:p>
        </w:tc>
        <w:tc>
          <w:tcPr/>
          <w:p>
            <w:pPr>
              <w:pStyle w:val="Compact"/>
              <w:jc w:val="left"/>
            </w:pPr>
            <w:r>
              <w:t xml:space="preserve">full</w:t>
            </w:r>
          </w:p>
        </w:tc>
      </w:tr>
      <w:tr>
        <w:tc>
          <w:tcPr>
            <w:gridSpan w:val="9"/>
          </w:tcPr>
          <w:p>
            <w:pPr>
              <w:pStyle w:val="Compact"/>
              <w:jc w:val="left"/>
            </w:pPr>
            <w:r>
              <w:rPr>
                <w:iCs/>
                <w:i/>
              </w:rPr>
              <w:t xml:space="preserve">Qwen2.5-7B</w:t>
            </w:r>
          </w:p>
        </w:tc>
      </w:tr>
      <w:tr>
        <w:tc>
          <w:tcPr/>
          <w:p>
            <w:pPr>
              <w:pStyle w:val="Compact"/>
              <w:jc w:val="left"/>
            </w:pPr>
            <w:r>
              <w:t xml:space="preserve">BM25</w:t>
            </w:r>
          </w:p>
        </w:tc>
        <w:tc>
          <w:tcPr/>
          <w:p>
            <w:pPr>
              <w:pStyle w:val="Compact"/>
              <w:jc w:val="center"/>
            </w:pPr>
            <w:r>
              <w:t xml:space="preserve">0.363</w:t>
            </w:r>
          </w:p>
        </w:tc>
        <w:tc>
          <w:tcPr/>
          <w:p>
            <w:pPr>
              <w:pStyle w:val="Compact"/>
              <w:jc w:val="center"/>
            </w:pPr>
            <w:r>
              <w:t xml:space="preserve">0.364</w:t>
            </w:r>
          </w:p>
        </w:tc>
        <w:tc>
          <w:tcPr/>
          <w:p>
            <w:pPr>
              <w:pStyle w:val="Compact"/>
              <w:jc w:val="center"/>
            </w:pPr>
            <w:r>
              <w:t xml:space="preserve">0.360</w:t>
            </w:r>
          </w:p>
        </w:tc>
        <w:tc>
          <w:tcPr/>
          <w:p>
            <w:pPr>
              <w:pStyle w:val="Compact"/>
              <w:jc w:val="center"/>
            </w:pPr>
            <w:r>
              <w:t xml:space="preserve">0.358</w:t>
            </w:r>
          </w:p>
        </w:tc>
        <w:tc>
          <w:tcPr/>
          <w:p>
            <w:pPr>
              <w:pStyle w:val="Compact"/>
              <w:jc w:val="center"/>
            </w:pPr>
            <w:r>
              <w:t xml:space="preserve">−0.001</w:t>
            </w:r>
          </w:p>
        </w:tc>
        <w:tc>
          <w:tcPr/>
          <w:p>
            <w:pPr>
              <w:pStyle w:val="Compact"/>
              <w:jc w:val="center"/>
            </w:pPr>
            <w:r>
              <w:t xml:space="preserve">0.798</w:t>
            </w:r>
          </w:p>
        </w:tc>
        <w:tc>
          <w:tcPr/>
          <w:p>
            <w:pPr>
              <w:pStyle w:val="Compact"/>
              <w:jc w:val="left"/>
            </w:pPr>
            <w:r>
              <w:t xml:space="preserve">0.37 [0.31, 0.43]</w:t>
            </w:r>
          </w:p>
        </w:tc>
        <w:tc>
          <w:tcPr/>
          <w:p>
            <w:pPr>
              <w:pStyle w:val="Compact"/>
              <w:jc w:val="left"/>
            </w:pPr>
            <w:r>
              <w:t xml:space="preserve">0.44 [0.35, 0.53]</w:t>
            </w:r>
          </w:p>
        </w:tc>
      </w:tr>
      <w:tr>
        <w:tc>
          <w:tcPr/>
          <w:p>
            <w:pPr>
              <w:pStyle w:val="Compact"/>
              <w:jc w:val="left"/>
            </w:pPr>
            <w:r>
              <w:t xml:space="preserve">MiniLM-L6</w:t>
            </w:r>
          </w:p>
        </w:tc>
        <w:tc>
          <w:tcPr/>
          <w:p>
            <w:pPr>
              <w:pStyle w:val="Compact"/>
              <w:jc w:val="center"/>
            </w:pPr>
            <w:r>
              <w:t xml:space="preserve">0.664</w:t>
            </w:r>
          </w:p>
        </w:tc>
        <w:tc>
          <w:tcPr/>
          <w:p>
            <w:pPr>
              <w:pStyle w:val="Compact"/>
              <w:jc w:val="center"/>
            </w:pPr>
            <w:r>
              <w:t xml:space="preserve">0.564</w:t>
            </w:r>
          </w:p>
        </w:tc>
        <w:tc>
          <w:tcPr/>
          <w:p>
            <w:pPr>
              <w:pStyle w:val="Compact"/>
              <w:jc w:val="center"/>
            </w:pPr>
            <w:r>
              <w:t xml:space="preserve">0.471</w:t>
            </w:r>
          </w:p>
        </w:tc>
        <w:tc>
          <w:tcPr/>
          <w:p>
            <w:pPr>
              <w:pStyle w:val="Compact"/>
              <w:jc w:val="center"/>
            </w:pPr>
            <w:r>
              <w:t xml:space="preserve">0.446</w:t>
            </w:r>
          </w:p>
        </w:tc>
        <w:tc>
          <w:tcPr/>
          <w:p>
            <w:pPr>
              <w:pStyle w:val="Compact"/>
              <w:jc w:val="center"/>
            </w:pPr>
            <w:r>
              <w:t xml:space="preserve">−0.025</w:t>
            </w:r>
          </w:p>
        </w:tc>
        <w:tc>
          <w:tcPr/>
          <w:p>
            <w:pPr>
              <w:pStyle w:val="Compact"/>
              <w:jc w:val="center"/>
            </w:pPr>
            <m:oMath>
              <m:r>
                <m:rPr>
                  <m:sty m:val="p"/>
                </m:rPr>
                <m:t>&lt;</m:t>
              </m:r>
            </m:oMath>
            <w:r>
              <w:t xml:space="preserve">0.001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bge-small</w:t>
            </w:r>
          </w:p>
        </w:tc>
        <w:tc>
          <w:tcPr/>
          <w:p>
            <w:pPr>
              <w:pStyle w:val="Compact"/>
              <w:jc w:val="center"/>
            </w:pPr>
            <w:r>
              <w:t xml:space="preserve">0.729</w:t>
            </w:r>
          </w:p>
        </w:tc>
        <w:tc>
          <w:tcPr/>
          <w:p>
            <w:pPr>
              <w:pStyle w:val="Compact"/>
              <w:jc w:val="center"/>
            </w:pPr>
            <w:r>
              <w:t xml:space="preserve">0.630</w:t>
            </w:r>
          </w:p>
        </w:tc>
        <w:tc>
          <w:tcPr/>
          <w:p>
            <w:pPr>
              <w:pStyle w:val="Compact"/>
              <w:jc w:val="center"/>
            </w:pPr>
            <w:r>
              <w:t xml:space="preserve">0.484</w:t>
            </w:r>
          </w:p>
        </w:tc>
        <w:tc>
          <w:tcPr/>
          <w:p>
            <w:pPr>
              <w:pStyle w:val="Compact"/>
              <w:jc w:val="center"/>
            </w:pPr>
            <w:r>
              <w:t xml:space="preserve">0.456</w:t>
            </w:r>
          </w:p>
        </w:tc>
        <w:tc>
          <w:tcPr/>
          <w:p>
            <w:pPr>
              <w:pStyle w:val="Compact"/>
              <w:jc w:val="center"/>
            </w:pPr>
            <w:r>
              <w:t xml:space="preserve">−0.028</w:t>
            </w:r>
          </w:p>
        </w:tc>
        <w:tc>
          <w:tcPr/>
          <w:p>
            <w:pPr>
              <w:pStyle w:val="Compact"/>
              <w:jc w:val="center"/>
            </w:pPr>
            <m:oMath>
              <m:r>
                <m:rPr>
                  <m:sty m:val="p"/>
                </m:rPr>
                <m:t>&lt;</m:t>
              </m:r>
            </m:oMath>
            <w:r>
              <w:t xml:space="preserve">0.001</w:t>
            </w:r>
          </w:p>
        </w:tc>
        <w:tc>
          <w:tcPr/>
          <w:p>
            <w:pPr>
              <w:pStyle w:val="Compact"/>
              <w:jc w:val="left"/>
            </w:pPr>
            <w:r>
              <w:t xml:space="preserve">0.19 [−0.07, 0.44]</w:t>
            </w:r>
          </w:p>
        </w:tc>
        <w:tc>
          <w:tcPr/>
          <w:p>
            <w:pPr>
              <w:pStyle w:val="Compact"/>
              <w:jc w:val="left"/>
            </w:pPr>
            <w:r>
              <w:t xml:space="preserve">0.15 [−0.12, 0.40]</w:t>
            </w:r>
          </w:p>
        </w:tc>
      </w:tr>
      <w:tr>
        <w:tc>
          <w:tcPr/>
          <w:p>
            <w:pPr>
              <w:pStyle w:val="Compact"/>
              <w:jc w:val="left"/>
            </w:pPr>
            <w:r>
              <w:t xml:space="preserve">e5-base-v2</w:t>
            </w:r>
          </w:p>
        </w:tc>
        <w:tc>
          <w:tcPr/>
          <w:p>
            <w:pPr>
              <w:pStyle w:val="Compact"/>
              <w:jc w:val="center"/>
            </w:pPr>
            <w:r>
              <w:t xml:space="preserve">0.816</w:t>
            </w:r>
          </w:p>
        </w:tc>
        <w:tc>
          <w:tcPr/>
          <w:p>
            <w:pPr>
              <w:pStyle w:val="Compact"/>
              <w:jc w:val="center"/>
            </w:pPr>
            <w:r>
              <w:t xml:space="preserve">0.728</w:t>
            </w:r>
          </w:p>
        </w:tc>
        <w:tc>
          <w:tcPr/>
          <w:p>
            <w:pPr>
              <w:pStyle w:val="Compact"/>
              <w:jc w:val="center"/>
            </w:pPr>
            <w:r>
              <w:t xml:space="preserve">0.510</w:t>
            </w:r>
          </w:p>
        </w:tc>
        <w:tc>
          <w:tcPr/>
          <w:p>
            <w:pPr>
              <w:pStyle w:val="Compact"/>
              <w:jc w:val="center"/>
            </w:pPr>
            <w:r>
              <w:t xml:space="preserve">0.484</w:t>
            </w:r>
          </w:p>
        </w:tc>
        <w:tc>
          <w:tcPr/>
          <w:p>
            <w:pPr>
              <w:pStyle w:val="Compact"/>
              <w:jc w:val="center"/>
            </w:pPr>
            <w:r>
              <w:t xml:space="preserve">−0.025</w:t>
            </w:r>
          </w:p>
        </w:tc>
        <w:tc>
          <w:tcPr/>
          <w:p>
            <w:pPr>
              <w:pStyle w:val="Compact"/>
              <w:jc w:val="center"/>
            </w:pPr>
            <m:oMath>
              <m:r>
                <m:rPr>
                  <m:sty m:val="p"/>
                </m:rPr>
                <m:t>&lt;</m:t>
              </m:r>
            </m:oMath>
            <w:r>
              <w:t xml:space="preserve">0.001</w:t>
            </w:r>
          </w:p>
        </w:tc>
        <w:tc>
          <w:tcPr/>
          <w:p>
            <w:pPr>
              <w:pStyle w:val="Compact"/>
              <w:jc w:val="left"/>
            </w:pPr>
            <w:r>
              <w:t xml:space="preserve">0.25 [0.15, 0.36]</w:t>
            </w:r>
          </w:p>
        </w:tc>
        <w:tc>
          <w:tcPr/>
          <w:p>
            <w:pPr>
              <w:pStyle w:val="Compact"/>
              <w:jc w:val="left"/>
            </w:pPr>
            <w:r>
              <w:t xml:space="preserve">0.23 [0.13, 0.33]</w:t>
            </w:r>
          </w:p>
        </w:tc>
      </w:tr>
      <w:tr>
        <w:tc>
          <w:tcPr>
            <w:gridSpan w:val="9"/>
          </w:tcPr>
          <w:p>
            <w:pPr>
              <w:pStyle w:val="Compact"/>
              <w:jc w:val="left"/>
            </w:pPr>
            <w:r>
              <w:rPr>
                <w:iCs/>
                <w:i/>
              </w:rPr>
              <w:t xml:space="preserve">Llama-3.1-8B</w:t>
            </w:r>
          </w:p>
        </w:tc>
      </w:tr>
      <w:tr>
        <w:tc>
          <w:tcPr/>
          <w:p>
            <w:pPr>
              <w:pStyle w:val="Compact"/>
              <w:jc w:val="left"/>
            </w:pPr>
            <w:r>
              <w:t xml:space="preserve">BM25</w:t>
            </w:r>
          </w:p>
        </w:tc>
        <w:tc>
          <w:tcPr/>
          <w:p>
            <w:pPr>
              <w:pStyle w:val="Compact"/>
              <w:jc w:val="center"/>
            </w:pPr>
            <w:r>
              <w:t xml:space="preserve">0.363</w:t>
            </w:r>
          </w:p>
        </w:tc>
        <w:tc>
          <w:tcPr/>
          <w:p>
            <w:pPr>
              <w:pStyle w:val="Compact"/>
              <w:jc w:val="center"/>
            </w:pPr>
            <w:r>
              <w:t xml:space="preserve">0.364</w:t>
            </w:r>
          </w:p>
        </w:tc>
        <w:tc>
          <w:tcPr/>
          <w:p>
            <w:pPr>
              <w:pStyle w:val="Compact"/>
              <w:jc w:val="center"/>
            </w:pPr>
            <w:r>
              <w:t xml:space="preserve">0.340</w:t>
            </w:r>
          </w:p>
        </w:tc>
        <w:tc>
          <w:tcPr/>
          <w:p>
            <w:pPr>
              <w:pStyle w:val="Compact"/>
              <w:jc w:val="center"/>
            </w:pPr>
            <w:r>
              <w:t xml:space="preserve">0.335</w:t>
            </w:r>
          </w:p>
        </w:tc>
        <w:tc>
          <w:tcPr/>
          <w:p>
            <w:pPr>
              <w:pStyle w:val="Compact"/>
              <w:jc w:val="center"/>
            </w:pPr>
            <w:r>
              <w:t xml:space="preserve">−0.005</w:t>
            </w:r>
          </w:p>
        </w:tc>
        <w:tc>
          <w:tcPr/>
          <w:p>
            <w:pPr>
              <w:pStyle w:val="Compact"/>
              <w:jc w:val="center"/>
            </w:pPr>
            <w:r>
              <w:t xml:space="preserve">0.155</w:t>
            </w:r>
          </w:p>
        </w:tc>
        <w:tc>
          <w:tcPr/>
          <w:p>
            <w:pPr>
              <w:pStyle w:val="Compact"/>
              <w:jc w:val="left"/>
            </w:pPr>
            <w:r>
              <w:t xml:space="preserve">0.36 [0.30, 0.42]</w:t>
            </w:r>
          </w:p>
        </w:tc>
        <w:tc>
          <w:tcPr/>
          <w:p>
            <w:pPr>
              <w:pStyle w:val="Compact"/>
              <w:jc w:val="left"/>
            </w:pPr>
            <w:r>
              <w:t xml:space="preserve">0.44 [0.34, 0.54]</w:t>
            </w:r>
          </w:p>
        </w:tc>
      </w:tr>
      <w:tr>
        <w:tc>
          <w:tcPr/>
          <w:p>
            <w:pPr>
              <w:pStyle w:val="Compact"/>
              <w:jc w:val="left"/>
            </w:pPr>
            <w:r>
              <w:t xml:space="preserve">MiniLM-L6</w:t>
            </w:r>
          </w:p>
        </w:tc>
        <w:tc>
          <w:tcPr/>
          <w:p>
            <w:pPr>
              <w:pStyle w:val="Compact"/>
              <w:jc w:val="center"/>
            </w:pPr>
            <w:r>
              <w:t xml:space="preserve">0.664</w:t>
            </w:r>
          </w:p>
        </w:tc>
        <w:tc>
          <w:tcPr/>
          <w:p>
            <w:pPr>
              <w:pStyle w:val="Compact"/>
              <w:jc w:val="center"/>
            </w:pPr>
            <w:r>
              <w:t xml:space="preserve">0.564</w:t>
            </w:r>
          </w:p>
        </w:tc>
        <w:tc>
          <w:tcPr/>
          <w:p>
            <w:pPr>
              <w:pStyle w:val="Compact"/>
              <w:jc w:val="center"/>
            </w:pPr>
            <w:r>
              <w:t xml:space="preserve">0.448</w:t>
            </w:r>
          </w:p>
        </w:tc>
        <w:tc>
          <w:tcPr/>
          <w:p>
            <w:pPr>
              <w:pStyle w:val="Compact"/>
              <w:jc w:val="center"/>
            </w:pPr>
            <w:r>
              <w:t xml:space="preserve">0.423</w:t>
            </w:r>
          </w:p>
        </w:tc>
        <w:tc>
          <w:tcPr/>
          <w:p>
            <w:pPr>
              <w:pStyle w:val="Compact"/>
              <w:jc w:val="center"/>
            </w:pPr>
            <w:r>
              <w:t xml:space="preserve">−0.025</w:t>
            </w:r>
          </w:p>
        </w:tc>
        <w:tc>
          <w:tcPr/>
          <w:p>
            <w:pPr>
              <w:pStyle w:val="Compact"/>
              <w:jc w:val="center"/>
            </w:pPr>
            <m:oMath>
              <m:r>
                <m:rPr>
                  <m:sty m:val="p"/>
                </m:rPr>
                <m:t>&lt;</m:t>
              </m:r>
            </m:oMath>
            <w:r>
              <w:t xml:space="preserve">0.001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bge-small</w:t>
            </w:r>
          </w:p>
        </w:tc>
        <w:tc>
          <w:tcPr/>
          <w:p>
            <w:pPr>
              <w:pStyle w:val="Compact"/>
              <w:jc w:val="center"/>
            </w:pPr>
            <w:r>
              <w:t xml:space="preserve">0.729</w:t>
            </w:r>
          </w:p>
        </w:tc>
        <w:tc>
          <w:tcPr/>
          <w:p>
            <w:pPr>
              <w:pStyle w:val="Compact"/>
              <w:jc w:val="center"/>
            </w:pPr>
            <w:r>
              <w:t xml:space="preserve">0.630</w:t>
            </w:r>
          </w:p>
        </w:tc>
        <w:tc>
          <w:tcPr/>
          <w:p>
            <w:pPr>
              <w:pStyle w:val="Compact"/>
              <w:jc w:val="center"/>
            </w:pPr>
            <w:r>
              <w:t xml:space="preserve">0.460</w:t>
            </w:r>
          </w:p>
        </w:tc>
        <w:tc>
          <w:tcPr/>
          <w:p>
            <w:pPr>
              <w:pStyle w:val="Compact"/>
              <w:jc w:val="center"/>
            </w:pPr>
            <w:r>
              <w:t xml:space="preserve">0.437</w:t>
            </w:r>
          </w:p>
        </w:tc>
        <w:tc>
          <w:tcPr/>
          <w:p>
            <w:pPr>
              <w:pStyle w:val="Compact"/>
              <w:jc w:val="center"/>
            </w:pPr>
            <w:r>
              <w:t xml:space="preserve">−0.023</w:t>
            </w:r>
          </w:p>
        </w:tc>
        <w:tc>
          <w:tcPr/>
          <w:p>
            <w:pPr>
              <w:pStyle w:val="Compact"/>
              <w:jc w:val="center"/>
            </w:pPr>
            <w:r>
              <w:t xml:space="preserve">0.002</w:t>
            </w:r>
          </w:p>
        </w:tc>
        <w:tc>
          <w:tcPr/>
          <w:p>
            <w:pPr>
              <w:pStyle w:val="Compact"/>
              <w:jc w:val="left"/>
            </w:pPr>
            <w:r>
              <w:t xml:space="preserve">0.18 [−0.08, 0.43]</w:t>
            </w:r>
          </w:p>
        </w:tc>
        <w:tc>
          <w:tcPr/>
          <w:p>
            <w:pPr>
              <w:pStyle w:val="Compact"/>
              <w:jc w:val="left"/>
            </w:pPr>
            <w:r>
              <w:t xml:space="preserve">0.22 [−0.05, 0.48]</w:t>
            </w:r>
          </w:p>
        </w:tc>
      </w:tr>
      <w:tr>
        <w:tc>
          <w:tcPr/>
          <w:p>
            <w:pPr>
              <w:pStyle w:val="Compact"/>
              <w:jc w:val="left"/>
            </w:pPr>
            <w:r>
              <w:t xml:space="preserve">e5-base-v2</w:t>
            </w:r>
          </w:p>
        </w:tc>
        <w:tc>
          <w:tcPr/>
          <w:p>
            <w:pPr>
              <w:pStyle w:val="Compact"/>
              <w:jc w:val="center"/>
            </w:pPr>
            <w:r>
              <w:t xml:space="preserve">0.816</w:t>
            </w:r>
          </w:p>
        </w:tc>
        <w:tc>
          <w:tcPr/>
          <w:p>
            <w:pPr>
              <w:pStyle w:val="Compact"/>
              <w:jc w:val="center"/>
            </w:pPr>
            <w:r>
              <w:t xml:space="preserve">0.728</w:t>
            </w:r>
          </w:p>
        </w:tc>
        <w:tc>
          <w:tcPr/>
          <w:p>
            <w:pPr>
              <w:pStyle w:val="Compact"/>
              <w:jc w:val="center"/>
            </w:pPr>
            <w:r>
              <w:t xml:space="preserve">0.472</w:t>
            </w:r>
          </w:p>
        </w:tc>
        <w:tc>
          <w:tcPr/>
          <w:p>
            <w:pPr>
              <w:pStyle w:val="Compact"/>
              <w:jc w:val="center"/>
            </w:pPr>
            <w:r>
              <w:t xml:space="preserve">0.455</w:t>
            </w:r>
          </w:p>
        </w:tc>
        <w:tc>
          <w:tcPr/>
          <w:p>
            <w:pPr>
              <w:pStyle w:val="Compact"/>
              <w:jc w:val="center"/>
            </w:pPr>
            <w:r>
              <w:t xml:space="preserve">−0.018</w:t>
            </w:r>
          </w:p>
        </w:tc>
        <w:tc>
          <w:tcPr/>
          <w:p>
            <w:pPr>
              <w:pStyle w:val="Compact"/>
              <w:jc w:val="center"/>
            </w:pPr>
            <w:r>
              <w:t xml:space="preserve">0.014</w:t>
            </w:r>
          </w:p>
        </w:tc>
        <w:tc>
          <w:tcPr/>
          <w:p>
            <w:pPr>
              <w:pStyle w:val="Compact"/>
              <w:jc w:val="left"/>
            </w:pPr>
            <w:r>
              <w:t xml:space="preserve">0.16 [0.05, 0.26]</w:t>
            </w:r>
          </w:p>
        </w:tc>
        <w:tc>
          <w:tcPr/>
          <w:p>
            <w:pPr>
              <w:pStyle w:val="Compact"/>
              <w:jc w:val="left"/>
            </w:pPr>
            <w:r>
              <w:t xml:space="preserve">0.20 [0.09, 0.30]</w:t>
            </w:r>
          </w:p>
        </w:tc>
      </w:tr>
    </w:tbl>
    <w:p>
      <w:pPr>
        <w:pStyle w:val="BodyText"/>
      </w:pPr>
      <w:r>
        <w:rPr>
          <w:iCs/>
          <w:i/>
        </w:rPr>
        <w:t xml:space="preserve">Sub-corpus values are those of Table </w:t>
      </w:r>
      <w:hyperlink w:anchor="tab:transfer">
        <w:r>
          <w:rPr>
            <w:rStyle w:val="Hyperlink"/>
            <w:iCs/>
            <w:i/>
          </w:rPr>
          <w:t xml:space="preserve">[tab:transfer]</w:t>
        </w:r>
      </w:hyperlink>
      <w:r>
        <w:rPr>
          <w:iCs/>
          <w:i/>
        </w:rPr>
        <w:t xml:space="preserve">.</w:t>
      </w:r>
      <w:r>
        <w:rPr>
          <w:iCs/>
          <w:i/>
        </w:rPr>
        <w:t xml:space="preserve"> </w:t>
      </w:r>
      <m:oMath>
        <m:r>
          <m:t>Δ</m:t>
        </m:r>
      </m:oMath>
      <w:r>
        <w:rPr>
          <w:iCs/>
          <w:i/>
        </w:rPr>
        <w:t xml:space="preserve">EM: paired difference full</w:t>
      </w:r>
      <w:r>
        <w:rPr>
          <w:iCs/>
          <w:i/>
        </w:rPr>
        <w:t xml:space="preserve"> </w:t>
      </w:r>
      <m:oMath>
        <m:r>
          <m:rPr>
            <m:sty m:val="p"/>
          </m:rPr>
          <m:t>−</m:t>
        </m:r>
      </m:oMath>
      <w:r>
        <w:rPr>
          <w:iCs/>
          <w:i/>
        </w:rPr>
        <w:t xml:space="preserve"> </w:t>
      </w:r>
      <w:r>
        <w:rPr>
          <w:iCs/>
          <w:i/>
        </w:rPr>
        <w:t xml:space="preserve">sub (intervals in the repository), exact McNemar test, Holm over the four retrievers per reader. Full-corpus ratios use the reporting rule with Holm over the six pairs among the four retrievers. BM25’s ratio relates an EM loss to a Hit@5 loss.</w:t>
      </w:r>
    </w:p>
    <w:bookmarkEnd w:id="77"/>
    <w:bookmarkStart w:id="87" w:name="sec:res-decomp"/>
    <w:p>
      <w:pPr>
        <w:pStyle w:val="Heading2"/>
      </w:pPr>
      <w:r>
        <w:t xml:space="preserve">Where the gain sits</w:t>
      </w:r>
    </w:p>
    <w:bookmarkStart w:id="78" w:name="query-level-accounting-1"/>
    <w:p>
      <w:pPr>
        <w:pStyle w:val="Heading4"/>
      </w:pPr>
      <w:r>
        <w:t xml:space="preserve">Query-level accounting</w:t>
      </w:r>
    </w:p>
    <w:p>
      <w:pPr>
        <w:pStyle w:val="FirstParagraph"/>
      </w:pPr>
      <w:r>
        <w:t xml:space="preserve">Table </w:t>
      </w:r>
      <w:hyperlink w:anchor="tab:transitions">
        <w:r>
          <w:rPr>
            <w:rStyle w:val="Hyperlink"/>
          </w:rPr>
          <w:t xml:space="preserve">[tab:transitions]</w:t>
        </w:r>
      </w:hyperlink>
      <w:r>
        <w:t xml:space="preserve"> </w:t>
      </w:r>
      <w:r>
        <w:t xml:space="preserve">groups the queries by their Hit@5 under MiniLM-L6 and under each dense encoder (per-encoder values with intervals in Table </w:t>
      </w:r>
      <w:hyperlink w:anchor="tab:transdetail">
        <w:r>
          <w:rPr>
            <w:rStyle w:val="Hyperlink"/>
          </w:rPr>
          <w:t xml:space="preserve">[tab:transdetail]</w:t>
        </w:r>
      </w:hyperlink>
      <w:r>
        <w:t xml:space="preserve">). On NQ, 14–19% of the queries moved from miss to hit. Their EM rose by +0.26 to +0.34 within the group, from a MiniLM-L6 level of 0.23–0.30: many of these</w:t>
      </w:r>
      <w:r>
        <w:t xml:space="preserve"> </w:t>
      </w:r>
      <w:r>
        <w:t xml:space="preserve">“</w:t>
      </w:r>
      <w:r>
        <w:t xml:space="preserve">misses</w:t>
      </w:r>
      <w:r>
        <w:t xml:space="preserve">”</w:t>
      </w:r>
      <w:r>
        <w:t xml:space="preserve"> </w:t>
      </w:r>
      <w:r>
        <w:t xml:space="preserve">had already been answered correctly. This group contributed +0.040 to +0.055 to the EM gain. Two groups gave part of it back. The 59–62% of queries that hit under both retrievers contributed −0.021 to −0.007 (interval below zero in 7 of 10 encoder–reader pairs), and the 4–7% that lost their hit contributed −0.019 to −0.006 (below zero in 10 of 10). Queries that missed under both contributed −0.002 to +0.007, an interval that contained zero in 9 of 10 pairs. The net NQ gain was 29–72% of the gain from new hits alone.</w:t>
      </w:r>
    </w:p>
    <w:p>
      <w:pPr>
        <w:pStyle w:val="BodyText"/>
      </w:pPr>
      <w:r>
        <w:t xml:space="preserve">On HotpotQA, 81% of the queries hit under both retrievers, and this group made the largest contribution in every encoder–reader pair (+0.035 to +0.084, all 10 intervals above zero). Table </w:t>
      </w:r>
      <w:hyperlink w:anchor="tab:hpevidence">
        <w:r>
          <w:rPr>
            <w:rStyle w:val="Hyperlink"/>
          </w:rPr>
          <w:t xml:space="preserve">1</w:t>
        </w:r>
      </w:hyperlink>
      <w:r>
        <w:t xml:space="preserve"> </w:t>
      </w:r>
      <w:r>
        <w:t xml:space="preserve">shows where this gain sits: grouped by the number of supporting passages in the top five, the queries for which the encoder retrieved more supporting passages (34–48%) carried 100–130% of the EM gain, most of it from queries that went from one supporting passage to two (62–81%). Queries with the same number of supporting passages contributed −0.011 to +0.002, and those with fewer −0.012 to −0.002.</w:t>
      </w:r>
    </w:p>
    <w:p>
      <w:pPr>
        <w:pStyle w:val="BodyText"/>
      </w:pPr>
      <w:r>
        <w:t xml:space="preserve">These groups are defined by retrieval outcomes and are not randomised, so they describe where the EM gain sits, not why. The NQ pattern is consistent with sparse relevance labels and with answers the reader already knew, and the HotpotQA pattern with the second supporting passage being the useful one.</w:t>
      </w:r>
    </w:p>
    <w:bookmarkEnd w:id="78"/>
    <w:bookmarkStart w:id="81" w:name="answer-strings-in-nq-misses"/>
    <w:p>
      <w:pPr>
        <w:pStyle w:val="Heading4"/>
      </w:pPr>
      <w:r>
        <w:t xml:space="preserve">Answer strings in NQ misses</w:t>
      </w:r>
    </w:p>
    <w:p>
      <w:pPr>
        <w:pStyle w:val="FirstParagraph"/>
      </w:pPr>
      <w:r>
        <w:t xml:space="preserve">Table </w:t>
      </w:r>
      <w:hyperlink w:anchor="tab:answerstr">
        <w:r>
          <w:rPr>
            <w:rStyle w:val="Hyperlink"/>
          </w:rPr>
          <w:t xml:space="preserve">2</w:t>
        </w:r>
      </w:hyperlink>
      <w:r>
        <w:t xml:space="preserve"> </w:t>
      </w:r>
      <w:r>
        <w:t xml:space="preserve">checks the label-sparsity reading for NQ. Among the Hit@5 misses of the dense encoders, 0.41–0.55 had a reference answer string in their top five passages on the sub-corpus (e5-base-v2: 0.50 [0.45, 0.55] of 414 misses) and 0.44–0.58 on the full corpus; for BM25 the share was 0.33. Among hits it was 0.92–0.94. The check is lexical and incomplete in both directions. A passage can mention the answer without supporting it, and the gold passages themselves contained an answer string for only 0.93 [0.92, 0.94] of the queries. Even so, a large part of what Hit@5 counts as a miss gave the reader a passage with the answer in it.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gridSpan w:val="3"/>
          </w:tcPr>
          <w:p>
            <w:pPr>
              <w:pStyle w:val="Compact"/>
              <w:jc w:val="center"/>
            </w:pPr>
            <w:r>
              <w:t xml:space="preserve">NQ</w:t>
            </w:r>
          </w:p>
        </w:tc>
        <w:tc>
          <w:tcPr>
            <w:gridSpan w:val="3"/>
          </w:tcPr>
          <w:p>
            <w:pPr>
              <w:pStyle w:val="Compact"/>
              <w:jc w:val="center"/>
            </w:pPr>
            <w:r>
              <w:t xml:space="preserve">HotpotQA</w:t>
            </w:r>
          </w:p>
        </w:tc>
      </w:tr>
      <w:tr>
        <w:tc>
          <w:tcPr/>
          <w:p>
            <w:pPr>
              <w:pStyle w:val="Compact"/>
              <w:jc w:val="left"/>
            </w:pPr>
            <w:r>
              <w:t xml:space="preserve">2-4</w:t>
            </w:r>
            <w:r>
              <w:t xml:space="preserve">(lr)</w:t>
            </w:r>
            <w:r>
              <w:t xml:space="preserve">5-7</w:t>
            </w:r>
            <w:r>
              <w:t xml:space="preserve"> </w:t>
            </w:r>
            <w:r>
              <w:t xml:space="preserve">Hit@5 (MiniLM-L6</w:t>
            </w:r>
            <w:r>
              <w:t xml:space="preserve"> </w:t>
            </w:r>
            <m:oMath>
              <m:r>
                <m:rPr>
                  <m:sty m:val="p"/>
                </m:rPr>
                <m:t>→</m:t>
              </m:r>
            </m:oMath>
            <w:r>
              <w:t xml:space="preserve"> </w:t>
            </w:r>
            <w:r>
              <w:t xml:space="preserve">encoder)</w:t>
            </w:r>
          </w:p>
        </w:tc>
        <w:tc>
          <w:tcPr/>
          <w:p>
            <w:pPr>
              <w:pStyle w:val="Compact"/>
              <w:jc w:val="center"/>
            </w:pPr>
            <w:r>
              <w:t xml:space="preserve">% queries</w:t>
            </w:r>
          </w:p>
        </w:tc>
        <w:tc>
          <w:tcPr/>
          <w:p>
            <w:pPr>
              <w:pStyle w:val="Compact"/>
              <w:jc w:val="center"/>
            </w:pPr>
            <m:oMath>
              <m:r>
                <m:t>Δ</m:t>
              </m:r>
            </m:oMath>
            <w:r>
              <w:t xml:space="preserve">EM within</w:t>
            </w:r>
          </w:p>
        </w:tc>
        <w:tc>
          <w:tcPr/>
          <w:p>
            <w:pPr>
              <w:pStyle w:val="Compact"/>
              <w:jc w:val="center"/>
            </w:pPr>
            <w:r>
              <w:t xml:space="preserve">Contribution</w:t>
            </w:r>
          </w:p>
        </w:tc>
        <w:tc>
          <w:tcPr/>
          <w:p>
            <w:pPr>
              <w:pStyle w:val="Compact"/>
              <w:jc w:val="center"/>
            </w:pPr>
            <w:r>
              <w:t xml:space="preserve">% queries</w:t>
            </w:r>
          </w:p>
        </w:tc>
        <w:tc>
          <w:tcPr/>
          <w:p>
            <w:pPr>
              <w:pStyle w:val="Compact"/>
              <w:jc w:val="center"/>
            </w:pPr>
            <m:oMath>
              <m:r>
                <m:t>Δ</m:t>
              </m:r>
            </m:oMath>
            <w:r>
              <w:t xml:space="preserve">EM within</w:t>
            </w:r>
          </w:p>
        </w:tc>
        <w:tc>
          <w:tcPr/>
          <w:p>
            <w:pPr>
              <w:pStyle w:val="Compact"/>
              <w:jc w:val="center"/>
            </w:pPr>
            <w:r>
              <w:t xml:space="preserve">Contribution</w:t>
            </w:r>
          </w:p>
        </w:tc>
      </w:tr>
      <w:tr>
        <w:tc>
          <w:tcPr/>
          <w:p>
            <w:pPr>
              <w:pStyle w:val="Compact"/>
              <w:jc w:val="left"/>
            </w:pPr>
            <w:r>
              <w:t xml:space="preserve">miss</w:t>
            </w:r>
            <w:r>
              <w:t xml:space="preserve"> </w:t>
            </w:r>
            <m:oMath>
              <m:r>
                <m:rPr>
                  <m:sty m:val="p"/>
                </m:rPr>
                <m:t>→</m:t>
              </m:r>
            </m:oMath>
            <w:r>
              <w:t xml:space="preserve"> </w:t>
            </w:r>
            <w:r>
              <w:t xml:space="preserve">hit</w:t>
            </w:r>
          </w:p>
        </w:tc>
        <w:tc>
          <w:tcPr/>
          <w:p>
            <w:pPr>
              <w:pStyle w:val="Compact"/>
              <w:jc w:val="center"/>
            </w:pPr>
            <w:r>
              <w:t xml:space="preserve">14–19</w:t>
            </w:r>
          </w:p>
        </w:tc>
        <w:tc>
          <w:tcPr/>
          <w:p>
            <w:pPr>
              <w:pStyle w:val="Compact"/>
              <w:jc w:val="center"/>
            </w:pPr>
            <w:r>
              <w:t xml:space="preserve">+0.26 to +0.34</w:t>
            </w:r>
          </w:p>
        </w:tc>
        <w:tc>
          <w:tcPr/>
          <w:p>
            <w:pPr>
              <w:pStyle w:val="Compact"/>
              <w:jc w:val="center"/>
            </w:pPr>
            <w:r>
              <w:t xml:space="preserve">+0.040 to +0.055</w:t>
            </w:r>
          </w:p>
        </w:tc>
        <w:tc>
          <w:tcPr/>
          <w:p>
            <w:pPr>
              <w:pStyle w:val="Compact"/>
              <w:jc w:val="center"/>
            </w:pPr>
            <w:r>
              <w:t xml:space="preserve">14–15</w:t>
            </w:r>
          </w:p>
        </w:tc>
        <w:tc>
          <w:tcPr/>
          <w:p>
            <w:pPr>
              <w:pStyle w:val="Compact"/>
              <w:jc w:val="center"/>
            </w:pPr>
            <w:r>
              <w:t xml:space="preserve">+0.22 to +0.34</w:t>
            </w:r>
          </w:p>
        </w:tc>
        <w:tc>
          <w:tcPr/>
          <w:p>
            <w:pPr>
              <w:pStyle w:val="Compact"/>
              <w:jc w:val="center"/>
            </w:pPr>
            <w:r>
              <w:t xml:space="preserve">+0.030 to +0.050</w:t>
            </w:r>
          </w:p>
        </w:tc>
      </w:tr>
      <w:tr>
        <w:tc>
          <w:tcPr/>
          <w:p>
            <w:pPr>
              <w:pStyle w:val="Compact"/>
              <w:jc w:val="left"/>
            </w:pPr>
            <w:r>
              <w:t xml:space="preserve">hit</w:t>
            </w:r>
            <w:r>
              <w:t xml:space="preserve"> </w:t>
            </w:r>
            <m:oMath>
              <m:r>
                <m:rPr>
                  <m:sty m:val="p"/>
                </m:rPr>
                <m:t>→</m:t>
              </m:r>
            </m:oMath>
            <w:r>
              <w:t xml:space="preserve"> </w:t>
            </w:r>
            <w:r>
              <w:t xml:space="preserve">hit</w:t>
            </w:r>
          </w:p>
        </w:tc>
        <w:tc>
          <w:tcPr/>
          <w:p>
            <w:pPr>
              <w:pStyle w:val="Compact"/>
              <w:jc w:val="center"/>
            </w:pPr>
            <w:r>
              <w:t xml:space="preserve">59–62</w:t>
            </w:r>
          </w:p>
        </w:tc>
        <w:tc>
          <w:tcPr/>
          <w:p>
            <w:pPr>
              <w:pStyle w:val="Compact"/>
              <w:jc w:val="center"/>
            </w:pPr>
            <w:r>
              <w:t xml:space="preserve">−0.03 to −0.01</w:t>
            </w:r>
          </w:p>
        </w:tc>
        <w:tc>
          <w:tcPr/>
          <w:p>
            <w:pPr>
              <w:pStyle w:val="Compact"/>
              <w:jc w:val="center"/>
            </w:pPr>
            <w:r>
              <w:t xml:space="preserve">−0.021 to −0.007</w:t>
            </w:r>
          </w:p>
        </w:tc>
        <w:tc>
          <w:tcPr/>
          <w:p>
            <w:pPr>
              <w:pStyle w:val="Compact"/>
              <w:jc w:val="center"/>
            </w:pPr>
            <w:r>
              <w:t xml:space="preserve">81</w:t>
            </w:r>
          </w:p>
        </w:tc>
        <w:tc>
          <w:tcPr/>
          <w:p>
            <w:pPr>
              <w:pStyle w:val="Compact"/>
              <w:jc w:val="center"/>
            </w:pPr>
            <w:r>
              <w:t xml:space="preserve">+0.04 to +0.10</w:t>
            </w:r>
          </w:p>
        </w:tc>
        <w:tc>
          <w:tcPr/>
          <w:p>
            <w:pPr>
              <w:pStyle w:val="Compact"/>
              <w:jc w:val="center"/>
            </w:pPr>
            <w:r>
              <w:t xml:space="preserve">+0.035 to +0.084</w:t>
            </w:r>
          </w:p>
        </w:tc>
      </w:tr>
      <w:tr>
        <w:tc>
          <w:tcPr/>
          <w:p>
            <w:pPr>
              <w:pStyle w:val="Compact"/>
              <w:jc w:val="left"/>
            </w:pPr>
            <w:r>
              <w:t xml:space="preserve">hit</w:t>
            </w:r>
            <w:r>
              <w:t xml:space="preserve"> </w:t>
            </w:r>
            <m:oMath>
              <m:r>
                <m:rPr>
                  <m:sty m:val="p"/>
                </m:rPr>
                <m:t>→</m:t>
              </m:r>
            </m:oMath>
            <w:r>
              <w:t xml:space="preserve"> </w:t>
            </w:r>
            <w:r>
              <w:t xml:space="preserve">miss</w:t>
            </w:r>
          </w:p>
        </w:tc>
        <w:tc>
          <w:tcPr/>
          <w:p>
            <w:pPr>
              <w:pStyle w:val="Compact"/>
              <w:jc w:val="center"/>
            </w:pPr>
            <w:r>
              <w:t xml:space="preserve">4–7</w:t>
            </w:r>
          </w:p>
        </w:tc>
        <w:tc>
          <w:tcPr/>
          <w:p>
            <w:pPr>
              <w:pStyle w:val="Compact"/>
              <w:jc w:val="center"/>
            </w:pPr>
            <w:r>
              <w:t xml:space="preserve">−0.30 to −0.15</w:t>
            </w:r>
          </w:p>
        </w:tc>
        <w:tc>
          <w:tcPr/>
          <w:p>
            <w:pPr>
              <w:pStyle w:val="Compact"/>
              <w:jc w:val="center"/>
            </w:pPr>
            <w:r>
              <w:t xml:space="preserve">−0.019 to −0.006</w:t>
            </w:r>
          </w:p>
        </w:tc>
        <w:tc>
          <w:tcPr/>
          <w:p>
            <w:pPr>
              <w:pStyle w:val="Compact"/>
              <w:jc w:val="center"/>
            </w:pPr>
            <w:r>
              <w:t xml:space="preserve">1</w:t>
            </w:r>
          </w:p>
        </w:tc>
        <w:tc>
          <w:tcPr/>
          <w:p>
            <w:pPr>
              <w:pStyle w:val="Compact"/>
              <w:jc w:val="center"/>
            </w:pPr>
            <w:r>
              <w:t xml:space="preserve">−0.33 to +0.00</w:t>
            </w:r>
          </w:p>
        </w:tc>
        <w:tc>
          <w:tcPr/>
          <w:p>
            <w:pPr>
              <w:pStyle w:val="Compact"/>
              <w:jc w:val="center"/>
            </w:pPr>
            <w:r>
              <w:t xml:space="preserve">−0.003 to +0.000</w:t>
            </w:r>
          </w:p>
        </w:tc>
      </w:tr>
      <w:tr>
        <w:tc>
          <w:tcPr/>
          <w:p>
            <w:pPr>
              <w:pStyle w:val="Compact"/>
              <w:jc w:val="left"/>
            </w:pPr>
            <w:r>
              <w:t xml:space="preserve">miss</w:t>
            </w:r>
            <w:r>
              <w:t xml:space="preserve"> </w:t>
            </w:r>
            <m:oMath>
              <m:r>
                <m:rPr>
                  <m:sty m:val="p"/>
                </m:rPr>
                <m:t>→</m:t>
              </m:r>
            </m:oMath>
            <w:r>
              <w:t xml:space="preserve"> </w:t>
            </w:r>
            <w:r>
              <w:t xml:space="preserve">miss</w:t>
            </w:r>
          </w:p>
        </w:tc>
        <w:tc>
          <w:tcPr/>
          <w:p>
            <w:pPr>
              <w:pStyle w:val="Compact"/>
              <w:jc w:val="center"/>
            </w:pPr>
            <w:r>
              <w:t xml:space="preserve">14–20</w:t>
            </w:r>
          </w:p>
        </w:tc>
        <w:tc>
          <w:tcPr/>
          <w:p>
            <w:pPr>
              <w:pStyle w:val="Compact"/>
              <w:jc w:val="center"/>
            </w:pPr>
            <w:r>
              <w:t xml:space="preserve">−0.01 to +0.04</w:t>
            </w:r>
          </w:p>
        </w:tc>
        <w:tc>
          <w:tcPr/>
          <w:p>
            <w:pPr>
              <w:pStyle w:val="Compact"/>
              <w:jc w:val="center"/>
            </w:pPr>
            <w:r>
              <w:t xml:space="preserve">−0.002 to +0.007</w:t>
            </w:r>
          </w:p>
        </w:tc>
        <w:tc>
          <w:tcPr/>
          <w:p>
            <w:pPr>
              <w:pStyle w:val="Compact"/>
              <w:jc w:val="center"/>
            </w:pPr>
            <w:r>
              <w:t xml:space="preserve">3–5</w:t>
            </w:r>
          </w:p>
        </w:tc>
        <w:tc>
          <w:tcPr/>
          <w:p>
            <w:pPr>
              <w:pStyle w:val="Compact"/>
              <w:jc w:val="center"/>
            </w:pPr>
            <w:r>
              <w:t xml:space="preserve">−0.03 to +0.02</w:t>
            </w:r>
          </w:p>
        </w:tc>
        <w:tc>
          <w:tcPr/>
          <w:p>
            <w:pPr>
              <w:pStyle w:val="Compact"/>
              <w:jc w:val="center"/>
            </w:pPr>
            <w:r>
              <w:t xml:space="preserve">−0.001 to +0.001</w:t>
            </w:r>
          </w:p>
        </w:tc>
      </w:tr>
      <w:tr>
        <w:tc>
          <w:tcPr/>
          <w:p>
            <w:pPr>
              <w:pStyle w:val="Compact"/>
              <w:jc w:val="left"/>
            </w:pPr>
            <w:r>
              <w:t xml:space="preserve">all queries</w:t>
            </w:r>
          </w:p>
        </w:tc>
        <w:tc>
          <w:tcPr/>
          <w:p>
            <w:pPr>
              <w:pStyle w:val="Compact"/>
              <w:jc w:val="center"/>
            </w:pPr>
            <w:r>
              <w:t xml:space="preserve">100</w:t>
            </w:r>
          </w:p>
        </w:tc>
        <w:tc>
          <w:tcPr/>
          <w:p>
            <w:pPr>
              <w:pStyle w:val="Compact"/>
            </w:pPr>
          </w:p>
        </w:tc>
        <w:tc>
          <w:tcPr/>
          <w:p>
            <w:pPr>
              <w:pStyle w:val="Compact"/>
              <w:jc w:val="center"/>
            </w:pPr>
            <w:r>
              <w:t xml:space="preserve">+0.012 to +0.038</w:t>
            </w:r>
          </w:p>
        </w:tc>
        <w:tc>
          <w:tcPr/>
          <w:p>
            <w:pPr>
              <w:pStyle w:val="Compact"/>
              <w:jc w:val="center"/>
            </w:pPr>
            <w:r>
              <w:t xml:space="preserve">100</w:t>
            </w:r>
          </w:p>
        </w:tc>
        <w:tc>
          <w:tcPr/>
          <w:p>
            <w:pPr>
              <w:pStyle w:val="Compact"/>
            </w:pPr>
          </w:p>
        </w:tc>
        <w:tc>
          <w:tcPr/>
          <w:p>
            <w:pPr>
              <w:pStyle w:val="Compact"/>
              <w:jc w:val="center"/>
            </w:pPr>
            <w:r>
              <w:t xml:space="preserve">+0.062 to +0.133</w:t>
            </w:r>
          </w:p>
        </w:tc>
      </w:tr>
    </w:tbl>
    <w:p>
      <w:pPr>
        <w:pStyle w:val="BodyText"/>
      </w:pPr>
      <m:oMath>
        <m:r>
          <m:t>Δ</m:t>
        </m:r>
      </m:oMath>
      <w:r>
        <w:rPr>
          <w:iCs/>
          <w:i/>
        </w:rPr>
        <w:t xml:space="preserve">EM within: EM of the encoder minus EM of MiniLM-L6 among the queries of the group. Contribution: the group’s share of the overall EM difference, (sum of paired EM differences in the group) / all queries; the four contributions add up to the overall</w:t>
      </w:r>
      <w:r>
        <w:rPr>
          <w:iCs/>
          <w:i/>
        </w:rPr>
        <w:t xml:space="preserve"> </w:t>
      </w:r>
      <m:oMath>
        <m:r>
          <m:t>Δ</m:t>
        </m:r>
      </m:oMath>
      <w:r>
        <w:rPr>
          <w:iCs/>
          <w:i/>
        </w:rPr>
        <w:t xml:space="preserve">EM exactly. Groups are defined by retrieval outcomes and describe where the EM difference sits, not why. Per-encoder values with 95% bootstrap intervals: Table </w:t>
      </w:r>
      <w:hyperlink w:anchor="tab:transdetail">
        <w:r>
          <w:rPr>
            <w:rStyle w:val="Hyperlink"/>
            <w:iCs/>
            <w:i/>
          </w:rPr>
          <w:t xml:space="preserve">[tab:transdetail]</w:t>
        </w:r>
      </w:hyperlink>
      <w:r>
        <w:rPr>
          <w:iCs/>
          <w:i/>
        </w:rPr>
        <w:t xml:space="preserve">.</w:t>
      </w:r>
    </w:p>
    <w:bookmarkStart w:id="79" w:name="tab:hpevidence"/>
    <w:p>
      <w:pPr>
        <w:pStyle w:val="TableCaption"/>
      </w:pPr>
      <w:r>
        <w:t xml:space="preserve">HotpotQA: EM gain over MiniLM-L6 by change in the number of supporting passages (0, 1 or 2) in the top five. Ranges over five dense encoders and two readers. Post hoc, descriptive.</w:t>
      </w:r>
    </w:p>
    <w:tbl>
      <w:tblPr>
        <w:tblStyle w:val="Table"/>
        <w:tblW w:type="auto" w:w="0"/>
        <w:tblLook w:firstRow="1" w:lastRow="0" w:firstColumn="0" w:lastColumn="0" w:noHBand="0" w:noVBand="0" w:val="0020"/>
        <w:jc w:val="start"/>
        <w:tblCaption w:val="HotpotQA: EM gain over MiniLM-L6 by change in the number of supporting passages (0, 1 or 2) in the top five. Ranges over five dense encoders and two readers. Post hoc, descriptive."/>
      </w:tblPr>
      <w:tblGrid>
        <w:gridCol w:w="1980"/>
        <w:gridCol w:w="1980"/>
        <w:gridCol w:w="1980"/>
        <w:gridCol w:w="1980"/>
      </w:tblGrid>
      <w:tr>
        <w:trPr>
          <w:tblHeader w:val="true"/>
        </w:trPr>
        <w:tc>
          <w:tcPr/>
          <w:p>
            <w:pPr>
              <w:pStyle w:val="Compact"/>
              <w:jc w:val="left"/>
            </w:pPr>
            <w:r>
              <w:t xml:space="preserve">Supporting passages in top 5 (encoder vs MiniLM-L6)</w:t>
            </w:r>
          </w:p>
        </w:tc>
        <w:tc>
          <w:tcPr/>
          <w:p>
            <w:pPr>
              <w:pStyle w:val="Compact"/>
              <w:jc w:val="center"/>
            </w:pPr>
            <w:r>
              <w:t xml:space="preserve">% queries</w:t>
            </w:r>
          </w:p>
        </w:tc>
        <w:tc>
          <w:tcPr/>
          <w:p>
            <w:pPr>
              <w:pStyle w:val="Compact"/>
              <w:jc w:val="center"/>
            </w:pPr>
            <w:r>
              <w:t xml:space="preserve">Contribution to</w:t>
            </w:r>
            <w:r>
              <w:t xml:space="preserve"> </w:t>
            </w:r>
            <m:oMath>
              <m:r>
                <m:t>Δ</m:t>
              </m:r>
            </m:oMath>
            <w:r>
              <w:t xml:space="preserve">EM</w:t>
            </w:r>
          </w:p>
        </w:tc>
        <w:tc>
          <w:tcPr/>
          <w:p>
            <w:pPr>
              <w:pStyle w:val="Compact"/>
              <w:jc w:val="center"/>
            </w:pPr>
            <w:r>
              <w:t xml:space="preserve">% of</w:t>
            </w:r>
            <w:r>
              <w:t xml:space="preserve"> </w:t>
            </w:r>
            <m:oMath>
              <m:r>
                <m:t>Δ</m:t>
              </m:r>
            </m:oMath>
            <w:r>
              <w:t xml:space="preserve">EM</w:t>
            </w:r>
          </w:p>
        </w:tc>
      </w:tr>
      <w:tr>
        <w:tc>
          <w:tcPr/>
          <w:p>
            <w:pPr>
              <w:pStyle w:val="Compact"/>
              <w:jc w:val="left"/>
            </w:pPr>
            <w:r>
              <w:t xml:space="preserve">more supporting passages</w:t>
            </w:r>
          </w:p>
        </w:tc>
        <w:tc>
          <w:tcPr/>
          <w:p>
            <w:pPr>
              <w:pStyle w:val="Compact"/>
              <w:jc w:val="center"/>
            </w:pPr>
            <w:r>
              <w:t xml:space="preserve">34–48</w:t>
            </w:r>
          </w:p>
        </w:tc>
        <w:tc>
          <w:tcPr/>
          <w:p>
            <w:pPr>
              <w:pStyle w:val="Compact"/>
              <w:jc w:val="center"/>
            </w:pPr>
            <w:r>
              <w:t xml:space="preserve">+0.081 to +0.134</w:t>
            </w:r>
          </w:p>
        </w:tc>
        <w:tc>
          <w:tcPr/>
          <w:p>
            <w:pPr>
              <w:pStyle w:val="Compact"/>
              <w:jc w:val="center"/>
            </w:pPr>
            <w:r>
              <w:t xml:space="preserve">100–130</w:t>
            </w:r>
          </w:p>
        </w:tc>
      </w:tr>
      <w:tr>
        <w:tc>
          <w:tcPr/>
          <w:p>
            <w:pPr>
              <w:pStyle w:val="Compact"/>
              <w:jc w:val="left"/>
            </w:pPr>
            <w:r>
              <w:t xml:space="preserve">same number</w:t>
            </w:r>
          </w:p>
        </w:tc>
        <w:tc>
          <w:tcPr/>
          <w:p>
            <w:pPr>
              <w:pStyle w:val="Compact"/>
              <w:jc w:val="center"/>
            </w:pPr>
            <w:r>
              <w:t xml:space="preserve">50–62</w:t>
            </w:r>
          </w:p>
        </w:tc>
        <w:tc>
          <w:tcPr/>
          <w:p>
            <w:pPr>
              <w:pStyle w:val="Compact"/>
              <w:jc w:val="center"/>
            </w:pPr>
            <w:r>
              <w:t xml:space="preserve">−0.011 to +0.002</w:t>
            </w:r>
          </w:p>
        </w:tc>
        <w:tc>
          <w:tcPr/>
          <w:p>
            <w:pPr>
              <w:pStyle w:val="Compact"/>
              <w:jc w:val="center"/>
            </w:pPr>
            <w:r>
              <w:t xml:space="preserve">−11 to 1</w:t>
            </w:r>
          </w:p>
        </w:tc>
      </w:tr>
      <w:tr>
        <w:tc>
          <w:tcPr/>
          <w:p>
            <w:pPr>
              <w:pStyle w:val="Compact"/>
              <w:jc w:val="left"/>
            </w:pPr>
            <w:r>
              <w:t xml:space="preserve">fewer supporting passages</w:t>
            </w:r>
          </w:p>
        </w:tc>
        <w:tc>
          <w:tcPr/>
          <w:p>
            <w:pPr>
              <w:pStyle w:val="Compact"/>
              <w:jc w:val="center"/>
            </w:pPr>
            <w:r>
              <w:t xml:space="preserve">2–4</w:t>
            </w:r>
          </w:p>
        </w:tc>
        <w:tc>
          <w:tcPr/>
          <w:p>
            <w:pPr>
              <w:pStyle w:val="Compact"/>
              <w:jc w:val="center"/>
            </w:pPr>
            <w:r>
              <w:t xml:space="preserve">−0.012 to −0.002</w:t>
            </w:r>
          </w:p>
        </w:tc>
        <w:tc>
          <w:tcPr/>
          <w:p>
            <w:pPr>
              <w:pStyle w:val="Compact"/>
              <w:jc w:val="center"/>
            </w:pPr>
            <w:r>
              <w:t xml:space="preserve">−18 to −2</w:t>
            </w:r>
          </w:p>
        </w:tc>
      </w:tr>
    </w:tbl>
    <w:bookmarkEnd w:id="79"/>
    <w:p>
      <w:pPr>
        <w:pStyle w:val="BodyText"/>
      </w:pPr>
      <w:r>
        <w:rPr>
          <w:iCs/>
          <w:i/>
        </w:rPr>
        <w:t xml:space="preserve">The three contributions add up to</w:t>
      </w:r>
      <w:r>
        <w:rPr>
          <w:iCs/>
          <w:i/>
        </w:rPr>
        <w:t xml:space="preserve"> </w:t>
      </w:r>
      <m:oMath>
        <m:r>
          <m:t>Δ</m:t>
        </m:r>
      </m:oMath>
      <w:r>
        <w:rPr>
          <w:iCs/>
          <w:i/>
        </w:rPr>
        <w:t xml:space="preserve">EM exactly. Shares above 100% occur because the other two groups contribute small losses.</w:t>
      </w:r>
    </w:p>
    <w:bookmarkStart w:id="80" w:name="tab:answerstr"/>
    <w:p>
      <w:pPr>
        <w:pStyle w:val="TableCaption"/>
      </w:pPr>
      <w:r>
        <w:t xml:space="preserve">Share of Hit@5 misses and hits whose top five passages contain a reference answer string (NQ, 2,255 generation queries).</w:t>
      </w:r>
    </w:p>
    <w:tbl>
      <w:tblPr>
        <w:tblStyle w:val="Table"/>
        <w:tblW w:type="auto" w:w="0"/>
        <w:tblLook w:firstRow="1" w:lastRow="0" w:firstColumn="0" w:lastColumn="0" w:noHBand="0" w:noVBand="0" w:val="0020"/>
        <w:jc w:val="start"/>
        <w:tblCaption w:val="Share of Hit@5 misses and hits whose top five passages contain a reference answer string (NQ, 2,255 generation queries)."/>
      </w:tblPr>
      <w:tblGrid>
        <w:gridCol w:w="1320"/>
        <w:gridCol w:w="1320"/>
        <w:gridCol w:w="1320"/>
        <w:gridCol w:w="1320"/>
        <w:gridCol w:w="1320"/>
        <w:gridCol w:w="1320"/>
      </w:tblGrid>
      <w:tr>
        <w:trPr>
          <w:tblHeader w:val="true"/>
        </w:trPr>
        <w:tc>
          <w:tcPr/>
          <w:p>
            <w:pPr>
              <w:pStyle w:val="Compact"/>
            </w:pPr>
          </w:p>
        </w:tc>
        <w:tc>
          <w:tcPr>
            <w:gridSpan w:val="2"/>
          </w:tcPr>
          <w:p>
            <w:pPr>
              <w:pStyle w:val="Compact"/>
              <w:jc w:val="center"/>
            </w:pPr>
            <w:r>
              <w:t xml:space="preserve">Misses, sub-corpus</w:t>
            </w:r>
          </w:p>
        </w:tc>
        <w:tc>
          <w:tcPr>
            <w:gridSpan w:val="2"/>
          </w:tcPr>
          <w:p>
            <w:pPr>
              <w:pStyle w:val="Compact"/>
              <w:jc w:val="center"/>
            </w:pPr>
            <w:r>
              <w:t xml:space="preserve">Misses, full corpus</w:t>
            </w:r>
          </w:p>
        </w:tc>
        <w:tc>
          <w:tcPr/>
          <w:p>
            <w:pPr>
              <w:pStyle w:val="Compact"/>
              <w:jc w:val="center"/>
            </w:pPr>
            <w:r>
              <w:t xml:space="preserve">Hits, sub</w:t>
            </w:r>
          </w:p>
        </w:tc>
      </w:tr>
      <w:tr>
        <w:tc>
          <w:tcPr/>
          <w:p>
            <w:pPr>
              <w:pStyle w:val="Compact"/>
              <w:jc w:val="left"/>
            </w:pPr>
            <w:r>
              <w:t xml:space="preserve">2-3</w:t>
            </w:r>
            <w:r>
              <w:t xml:space="preserve">(lr)</w:t>
            </w:r>
            <w:r>
              <w:t xml:space="preserve">4-5</w:t>
            </w:r>
            <w:r>
              <w:t xml:space="preserve"> </w:t>
            </w:r>
            <w:r>
              <w:t xml:space="preserve">Retriever</w:t>
            </w:r>
          </w:p>
        </w:tc>
        <w:tc>
          <w:tcPr/>
          <w:p>
            <w:pPr>
              <w:pStyle w:val="Compact"/>
              <w:jc w:val="center"/>
            </w:pPr>
            <w:r>
              <w:t xml:space="preserve">with answer</w:t>
            </w:r>
          </w:p>
        </w:tc>
        <w:tc>
          <w:tcPr/>
          <w:p>
            <w:pPr>
              <w:pStyle w:val="Compact"/>
              <w:jc w:val="center"/>
            </w:pPr>
            <m:oMath>
              <m:r>
                <m:t>n</m:t>
              </m:r>
            </m:oMath>
          </w:p>
        </w:tc>
        <w:tc>
          <w:tcPr/>
          <w:p>
            <w:pPr>
              <w:pStyle w:val="Compact"/>
              <w:jc w:val="center"/>
            </w:pPr>
            <w:r>
              <w:t xml:space="preserve">with answer</w:t>
            </w:r>
          </w:p>
        </w:tc>
        <w:tc>
          <w:tcPr/>
          <w:p>
            <w:pPr>
              <w:pStyle w:val="Compact"/>
              <w:jc w:val="center"/>
            </w:pPr>
            <m:oMath>
              <m:r>
                <m:t>n</m:t>
              </m:r>
            </m:oMath>
          </w:p>
        </w:tc>
        <w:tc>
          <w:tcPr/>
          <w:p>
            <w:pPr>
              <w:pStyle w:val="Compact"/>
              <w:jc w:val="center"/>
            </w:pPr>
            <w:r>
              <w:t xml:space="preserve">with answer</w:t>
            </w:r>
          </w:p>
        </w:tc>
      </w:tr>
      <w:tr>
        <w:tc>
          <w:tcPr/>
          <w:p>
            <w:pPr>
              <w:pStyle w:val="Compact"/>
              <w:jc w:val="left"/>
            </w:pPr>
            <w:r>
              <w:t xml:space="preserve">BM25</w:t>
            </w:r>
          </w:p>
        </w:tc>
        <w:tc>
          <w:tcPr/>
          <w:p>
            <w:pPr>
              <w:pStyle w:val="Compact"/>
              <w:jc w:val="center"/>
            </w:pPr>
            <w:r>
              <w:t xml:space="preserve">0.33 [0.31, 0.36]</w:t>
            </w:r>
          </w:p>
        </w:tc>
        <w:tc>
          <w:tcPr/>
          <w:p>
            <w:pPr>
              <w:pStyle w:val="Compact"/>
              <w:jc w:val="center"/>
            </w:pPr>
            <w:r>
              <w:t xml:space="preserve">1,436</w:t>
            </w:r>
          </w:p>
        </w:tc>
        <w:tc>
          <w:tcPr/>
          <w:p>
            <w:pPr>
              <w:pStyle w:val="Compact"/>
              <w:jc w:val="center"/>
            </w:pPr>
            <w:r>
              <w:t xml:space="preserve">0.33 [0.30, 0.35]</w:t>
            </w:r>
          </w:p>
        </w:tc>
        <w:tc>
          <w:tcPr/>
          <w:p>
            <w:pPr>
              <w:pStyle w:val="Compact"/>
              <w:jc w:val="center"/>
            </w:pPr>
            <w:r>
              <w:t xml:space="preserve">1,435</w:t>
            </w:r>
          </w:p>
        </w:tc>
        <w:tc>
          <w:tcPr/>
          <w:p>
            <w:pPr>
              <w:pStyle w:val="Compact"/>
              <w:jc w:val="center"/>
            </w:pPr>
            <w:r>
              <w:t xml:space="preserve">0.93</w:t>
            </w:r>
          </w:p>
        </w:tc>
      </w:tr>
      <w:tr>
        <w:tc>
          <w:tcPr/>
          <w:p>
            <w:pPr>
              <w:pStyle w:val="Compact"/>
              <w:jc w:val="left"/>
            </w:pPr>
            <w:r>
              <w:t xml:space="preserve">MiniLM-L6</w:t>
            </w:r>
          </w:p>
        </w:tc>
        <w:tc>
          <w:tcPr/>
          <w:p>
            <w:pPr>
              <w:pStyle w:val="Compact"/>
              <w:jc w:val="center"/>
            </w:pPr>
            <w:r>
              <w:t xml:space="preserve">0.41 [0.37, 0.44]</w:t>
            </w:r>
          </w:p>
        </w:tc>
        <w:tc>
          <w:tcPr/>
          <w:p>
            <w:pPr>
              <w:pStyle w:val="Compact"/>
              <w:jc w:val="center"/>
            </w:pPr>
            <w:r>
              <w:t xml:space="preserve">758</w:t>
            </w:r>
          </w:p>
        </w:tc>
        <w:tc>
          <w:tcPr/>
          <w:p>
            <w:pPr>
              <w:pStyle w:val="Compact"/>
              <w:jc w:val="center"/>
            </w:pPr>
            <w:r>
              <w:t xml:space="preserve">0.44 [0.41, 0.47]</w:t>
            </w:r>
          </w:p>
        </w:tc>
        <w:tc>
          <w:tcPr/>
          <w:p>
            <w:pPr>
              <w:pStyle w:val="Compact"/>
              <w:jc w:val="center"/>
            </w:pPr>
            <w:r>
              <w:t xml:space="preserve">983</w:t>
            </w:r>
          </w:p>
        </w:tc>
        <w:tc>
          <w:tcPr/>
          <w:p>
            <w:pPr>
              <w:pStyle w:val="Compact"/>
              <w:jc w:val="center"/>
            </w:pPr>
            <w:r>
              <w:t xml:space="preserve">0.92</w:t>
            </w:r>
          </w:p>
        </w:tc>
      </w:tr>
      <w:tr>
        <w:tc>
          <w:tcPr/>
          <w:p>
            <w:pPr>
              <w:pStyle w:val="Compact"/>
              <w:jc w:val="left"/>
            </w:pPr>
            <w:r>
              <w:t xml:space="preserve">bge-small</w:t>
            </w:r>
          </w:p>
        </w:tc>
        <w:tc>
          <w:tcPr/>
          <w:p>
            <w:pPr>
              <w:pStyle w:val="Compact"/>
              <w:jc w:val="center"/>
            </w:pPr>
            <w:r>
              <w:t xml:space="preserve">0.48 [0.44, 0.52]</w:t>
            </w:r>
          </w:p>
        </w:tc>
        <w:tc>
          <w:tcPr/>
          <w:p>
            <w:pPr>
              <w:pStyle w:val="Compact"/>
              <w:jc w:val="center"/>
            </w:pPr>
            <w:r>
              <w:t xml:space="preserve">611</w:t>
            </w:r>
          </w:p>
        </w:tc>
        <w:tc>
          <w:tcPr/>
          <w:p>
            <w:pPr>
              <w:pStyle w:val="Compact"/>
              <w:jc w:val="center"/>
            </w:pPr>
            <w:r>
              <w:t xml:space="preserve">0.51 [0.48, 0.55]</w:t>
            </w:r>
          </w:p>
        </w:tc>
        <w:tc>
          <w:tcPr/>
          <w:p>
            <w:pPr>
              <w:pStyle w:val="Compact"/>
              <w:jc w:val="center"/>
            </w:pPr>
            <w:r>
              <w:t xml:space="preserve">834</w:t>
            </w:r>
          </w:p>
        </w:tc>
        <w:tc>
          <w:tcPr/>
          <w:p>
            <w:pPr>
              <w:pStyle w:val="Compact"/>
              <w:jc w:val="center"/>
            </w:pPr>
            <w:r>
              <w:t xml:space="preserve">0.93</w:t>
            </w:r>
          </w:p>
        </w:tc>
      </w:tr>
      <w:tr>
        <w:tc>
          <w:tcPr/>
          <w:p>
            <w:pPr>
              <w:pStyle w:val="Compact"/>
              <w:jc w:val="left"/>
            </w:pPr>
            <w:r>
              <w:t xml:space="preserve">bge-base</w:t>
            </w:r>
          </w:p>
        </w:tc>
        <w:tc>
          <w:tcPr/>
          <w:p>
            <w:pPr>
              <w:pStyle w:val="Compact"/>
              <w:jc w:val="center"/>
            </w:pPr>
            <w:r>
              <w:t xml:space="preserve">0.51 [0.46, 0.55]</w:t>
            </w:r>
          </w:p>
        </w:tc>
        <w:tc>
          <w:tcPr/>
          <w:p>
            <w:pPr>
              <w:pStyle w:val="Compact"/>
              <w:jc w:val="center"/>
            </w:pPr>
            <w:r>
              <w:t xml:space="preserve">518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0.93</w:t>
            </w:r>
          </w:p>
        </w:tc>
      </w:tr>
      <w:tr>
        <w:tc>
          <w:tcPr/>
          <w:p>
            <w:pPr>
              <w:pStyle w:val="Compact"/>
              <w:jc w:val="left"/>
            </w:pPr>
            <w:r>
              <w:t xml:space="preserve">bge-large</w:t>
            </w:r>
          </w:p>
        </w:tc>
        <w:tc>
          <w:tcPr/>
          <w:p>
            <w:pPr>
              <w:pStyle w:val="Compact"/>
              <w:jc w:val="center"/>
            </w:pPr>
            <w:r>
              <w:t xml:space="preserve">0.55 [0.50, 0.59]</w:t>
            </w:r>
          </w:p>
        </w:tc>
        <w:tc>
          <w:tcPr/>
          <w:p>
            <w:pPr>
              <w:pStyle w:val="Compact"/>
              <w:jc w:val="center"/>
            </w:pPr>
            <w:r>
              <w:t xml:space="preserve">460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0.93</w:t>
            </w:r>
          </w:p>
        </w:tc>
      </w:tr>
      <w:tr>
        <w:tc>
          <w:tcPr/>
          <w:p>
            <w:pPr>
              <w:pStyle w:val="Compact"/>
              <w:jc w:val="left"/>
            </w:pPr>
            <w:r>
              <w:t xml:space="preserve">e5-base-v2</w:t>
            </w:r>
          </w:p>
        </w:tc>
        <w:tc>
          <w:tcPr/>
          <w:p>
            <w:pPr>
              <w:pStyle w:val="Compact"/>
              <w:jc w:val="center"/>
            </w:pPr>
            <w:r>
              <w:t xml:space="preserve">0.50 [0.45, 0.55]</w:t>
            </w:r>
          </w:p>
        </w:tc>
        <w:tc>
          <w:tcPr/>
          <w:p>
            <w:pPr>
              <w:pStyle w:val="Compact"/>
              <w:jc w:val="center"/>
            </w:pPr>
            <w:r>
              <w:t xml:space="preserve">414</w:t>
            </w:r>
          </w:p>
        </w:tc>
        <w:tc>
          <w:tcPr/>
          <w:p>
            <w:pPr>
              <w:pStyle w:val="Compact"/>
              <w:jc w:val="center"/>
            </w:pPr>
            <w:r>
              <w:t xml:space="preserve">0.58 [0.54, 0.62]</w:t>
            </w:r>
          </w:p>
        </w:tc>
        <w:tc>
          <w:tcPr/>
          <w:p>
            <w:pPr>
              <w:pStyle w:val="Compact"/>
              <w:jc w:val="center"/>
            </w:pPr>
            <w:r>
              <w:t xml:space="preserve">614</w:t>
            </w:r>
          </w:p>
        </w:tc>
        <w:tc>
          <w:tcPr/>
          <w:p>
            <w:pPr>
              <w:pStyle w:val="Compact"/>
              <w:jc w:val="center"/>
            </w:pPr>
            <w:r>
              <w:t xml:space="preserve">0.94</w:t>
            </w:r>
          </w:p>
        </w:tc>
      </w:tr>
      <w:tr>
        <w:tc>
          <w:tcPr/>
          <w:p>
            <w:pPr>
              <w:pStyle w:val="Compact"/>
              <w:jc w:val="left"/>
            </w:pPr>
            <w:r>
              <w:t xml:space="preserve">Qwen3-Emb-0.6B</w:t>
            </w:r>
          </w:p>
        </w:tc>
        <w:tc>
          <w:tcPr/>
          <w:p>
            <w:pPr>
              <w:pStyle w:val="Compact"/>
              <w:jc w:val="center"/>
            </w:pPr>
            <w:r>
              <w:t xml:space="preserve">0.46 [0.42, 0.50]</w:t>
            </w:r>
          </w:p>
        </w:tc>
        <w:tc>
          <w:tcPr/>
          <w:p>
            <w:pPr>
              <w:pStyle w:val="Compact"/>
              <w:jc w:val="center"/>
            </w:pPr>
            <w:r>
              <w:t xml:space="preserve">577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0.93</w:t>
            </w:r>
          </w:p>
        </w:tc>
      </w:tr>
    </w:tbl>
    <w:bookmarkEnd w:id="80"/>
    <w:p>
      <w:pPr>
        <w:pStyle w:val="BodyText"/>
      </w:pPr>
      <w:r>
        <w:rPr>
          <w:iCs/>
          <w:i/>
        </w:rPr>
        <w:t xml:space="preserve">Automatic, lexical check: a normalised reference answer occurs as a whole-token span of a normalised passage (title and text), the rule of answer containment. Under this rule the gold passages contain an answer for 0.93 of the queries. A match does not show that the passage supports the answer.</w:t>
      </w:r>
    </w:p>
    <w:bookmarkEnd w:id="81"/>
    <w:bookmarkStart w:id="85" w:name="decomposition-1"/>
    <w:p>
      <w:pPr>
        <w:pStyle w:val="Heading4"/>
      </w:pPr>
      <w:r>
        <w:t xml:space="preserve">Decomposition</w:t>
      </w:r>
    </w:p>
    <w:p>
      <w:pPr>
        <w:pStyle w:val="FirstParagraph"/>
      </w:pPr>
      <w:r>
        <w:t xml:space="preserve">The rate-based decomposition of Eq. </w:t>
      </w:r>
      <w:hyperlink w:anchor="eq:decomp">
        <w:r>
          <w:rPr>
            <w:rStyle w:val="Hyperlink"/>
          </w:rPr>
          <w:t xml:space="preserve">[eq:decomp]</w:t>
        </w:r>
      </w:hyperlink>
      <w:r>
        <w:t xml:space="preserve"> </w:t>
      </w:r>
      <w:r>
        <w:t xml:space="preserve">agrees with this accounting (Tables </w:t>
      </w:r>
      <w:hyperlink w:anchor="tab:components">
        <w:r>
          <w:rPr>
            <w:rStyle w:val="Hyperlink"/>
          </w:rPr>
          <w:t xml:space="preserve">[tab:components]</w:t>
        </w:r>
      </w:hyperlink>
      <w:r>
        <w:t xml:space="preserve">,</w:t>
      </w:r>
      <w:r>
        <w:t xml:space="preserve"> </w:t>
      </w:r>
      <w:hyperlink w:anchor="tab:decomp">
        <w:r>
          <w:rPr>
            <w:rStyle w:val="Hyperlink"/>
          </w:rPr>
          <w:t xml:space="preserve">[tab:decomp]</w:t>
        </w:r>
      </w:hyperlink>
      <w:r>
        <w:t xml:space="preserve"> </w:t>
      </w:r>
      <w:r>
        <w:t xml:space="preserve">and Fig. </w:t>
      </w:r>
      <w:hyperlink w:anchor="fig:error">
        <w:r>
          <w:rPr>
            <w:rStyle w:val="Hyperlink"/>
          </w:rPr>
          <w:t xml:space="preserve">7</w:t>
        </w:r>
      </w:hyperlink>
      <w:r>
        <w:t xml:space="preserve">). The baseline hit–miss gap of MiniLM-L6 was similar in all cells: 0.33 and 0.32 on NQ, 0.25 and 0.28 on HotpotQA. On NQ, the hit-prevalence term was +0.021 to +0.051, the EM-among-hits term −0.024 to −0.009 (interval below zero for 2 of 10 pairs) and the EM-among-misses term −0.004 to +0.007 (interval containing zero for 10 of 10). EM given a miss stayed near 0.244, well above closed-book EM (0.149). On HotpotQA, the EM-among-hits term was +0.031 to +0.093, with every interval above zero, while the EM-among-misses term was −0.003 to +0.000. The two conditional terms together made up 48% to 70% of the HotpotQA gain in the baseline-conditioned form and 44% to 64% in the symmetric form (Table </w:t>
      </w:r>
      <w:hyperlink w:anchor="tab:share">
        <w:r>
          <w:rPr>
            <w:rStyle w:val="Hyperlink"/>
          </w:rPr>
          <w:t xml:space="preserve">11</w:t>
        </w:r>
      </w:hyperlink>
      <w:r>
        <w:t xml:space="preserve">); the hits term alone made up 48% to 71%. On NQ we do not report shares: the EM gains are small and every dense encoder’s share interval was at least 1.4 wide, where 1 is the whole gain.</w:t>
      </w:r>
    </w:p>
    <w:p>
      <w:pPr>
        <w:pStyle w:val="BodyText"/>
      </w:pPr>
      <w:r>
        <w:t xml:space="preserve">In a post hoc check, the EM ranking of the seven retrievers equalled their Both@5 ranking in both HotpotQA cells (Spearman</w:t>
      </w:r>
      <w:r>
        <w:t xml:space="preserve"> </w:t>
      </w:r>
      <m:oMath>
        <m:r>
          <m:t>ρ</m:t>
        </m:r>
      </m:oMath>
      <w:r>
        <w:t xml:space="preserve"> </w:t>
      </w:r>
      <w:r>
        <w:t xml:space="preserve">= 1.00 and 1.00); against Hit@5 it was 0.96 and 0.96. The gains came mainly from bridge questions. With Qwen, bridge EM rose from 0.248 (MiniLM-L6) to 0.384 (bge-large), while comparison EM moved from 0.539 to 0.594, close to its gold-passage reference of 0.654.</w:t>
      </w:r>
    </w:p>
    <w:p>
      <w:pPr>
        <w:pStyle w:val="CaptionedFigure"/>
      </w:pPr>
      <w:r>
        <w:drawing>
          <wp:inline>
            <wp:extent cx="5334000" cy="2453688"/>
            <wp:effectExtent b="0" l="0" r="0" t="0"/>
            <wp:docPr descr="" title="" id="83" name="Picture"/>
            <a:graphic>
              <a:graphicData uri="http://schemas.openxmlformats.org/drawingml/2006/picture">
                <pic:pic>
                  <pic:nvPicPr>
                    <pic:cNvPr descr="/home/claude/rag-embed-transfer/paper_figures/out/fig10_error.png" id="84" name="Picture"/>
                    <pic:cNvPicPr>
                      <a:picLocks noChangeArrowheads="1" noChangeAspect="1"/>
                    </pic:cNvPicPr>
                  </pic:nvPicPr>
                  <pic:blipFill>
                    <a:blip r:embed="rId82"/>
                    <a:stretch>
                      <a:fillRect/>
                    </a:stretch>
                  </pic:blipFill>
                  <pic:spPr bwMode="auto">
                    <a:xfrm>
                      <a:off x="0" y="0"/>
                      <a:ext cx="5334000" cy="2453688"/>
                    </a:xfrm>
                    <a:prstGeom prst="rect">
                      <a:avLst/>
                    </a:prstGeom>
                    <a:noFill/>
                    <a:ln w="9525">
                      <a:noFill/>
                      <a:headEnd/>
                      <a:tailEnd/>
                    </a:ln>
                  </pic:spPr>
                </pic:pic>
              </a:graphicData>
            </a:graphic>
          </wp:inline>
        </w:drawing>
      </w:r>
    </w:p>
    <w:p>
      <w:pPr>
        <w:pStyle w:val="ImageCaption"/>
      </w:pPr>
      <w:r>
        <w:t xml:space="preserve">(a)–(d) Exact match given a hit (solid) and given a miss (hatched) at Hit@5, per reader–dataset cell; dotted line: closed-book EM. (e) Share of</w:t>
      </w:r>
      <w:r>
        <w:t xml:space="preserve"> </w:t>
      </w:r>
      <w:r>
        <w:t xml:space="preserve">“</w:t>
      </w:r>
      <w:r>
        <w:t xml:space="preserve">I don’t know</w:t>
      </w:r>
      <w:r>
        <w:t xml:space="preserve">”</w:t>
      </w:r>
      <w:r>
        <w:t xml:space="preserve"> </w:t>
      </w:r>
      <w:r>
        <w:t xml:space="preserve">answers on hits and misses under the abstention prompt A3 (Phase 1, Qwen reader, NQ, 200 queries).</w:t>
      </w:r>
    </w:p>
    <w:bookmarkEnd w:id="85"/>
    <w:bookmarkStart w:id="86" w:name="abstention-prompt"/>
    <w:p>
      <w:pPr>
        <w:pStyle w:val="Heading4"/>
      </w:pPr>
      <w:r>
        <w:t xml:space="preserve">Abstention prompt</w:t>
      </w:r>
    </w:p>
    <w:p>
      <w:pPr>
        <w:pStyle w:val="FirstParagraph"/>
      </w:pPr>
      <w:r>
        <w:t xml:space="preserve">A Phase 1 check (Table </w:t>
      </w:r>
      <w:hyperlink w:anchor="tab:idk">
        <w:r>
          <w:rPr>
            <w:rStyle w:val="Hyperlink"/>
          </w:rPr>
          <w:t xml:space="preserve">12</w:t>
        </w:r>
      </w:hyperlink>
      <w:r>
        <w:t xml:space="preserve">) is consistent with the reading that NQ</w:t>
      </w:r>
      <w:r>
        <w:t xml:space="preserve"> </w:t>
      </w:r>
      <w:r>
        <w:t xml:space="preserve">“</w:t>
      </w:r>
      <w:r>
        <w:t xml:space="preserve">misses</w:t>
      </w:r>
      <w:r>
        <w:t xml:space="preserve">”</w:t>
      </w:r>
      <w:r>
        <w:t xml:space="preserve"> </w:t>
      </w:r>
      <w:r>
        <w:t xml:space="preserve">often still contain usable evidence. When the prompt allowed</w:t>
      </w:r>
      <w:r>
        <w:t xml:space="preserve"> </w:t>
      </w:r>
      <w:r>
        <w:t xml:space="preserve">“</w:t>
      </w:r>
      <w:r>
        <w:t xml:space="preserve">I don’t know</w:t>
      </w:r>
      <w:r>
        <w:t xml:space="preserve">”</w:t>
      </w:r>
      <w:r>
        <w:t xml:space="preserve"> </w:t>
      </w:r>
      <w:r>
        <w:t xml:space="preserve">(A3, Appendix </w:t>
      </w:r>
      <w:hyperlink w:anchor="app:prompts">
        <w:r>
          <w:rPr>
            <w:rStyle w:val="Hyperlink"/>
          </w:rPr>
          <w:t xml:space="preserve">9</w:t>
        </w:r>
      </w:hyperlink>
      <w:r>
        <w:t xml:space="preserve">), the reader abstained mostly on misses: 0.347 of BM25 misses, 0.276 of MiniLM-L6 misses and 0.139 of bge-large misses, against 0.013 to 0.024 of hits. Most misses were still answered. EM under A3 did not differ detectably from the main prompt (−0.010, −0.015 and −0.030;</w:t>
      </w:r>
      <w:r>
        <w:t xml:space="preserve"> </w:t>
      </w:r>
      <m:oMath>
        <m:r>
          <m:t>p</m:t>
        </m:r>
        <m:r>
          <m:rPr>
            <m:sty m:val="p"/>
          </m:rPr>
          <m:t>≥</m:t>
        </m:r>
      </m:oMath>
      <w:r>
        <w:t xml:space="preserve"> </w:t>
      </w:r>
      <w:r>
        <w:t xml:space="preserve">0.07).</w:t>
      </w:r>
    </w:p>
    <w:bookmarkEnd w:id="86"/>
    <w:bookmarkEnd w:id="87"/>
    <w:bookmarkStart w:id="88" w:name="sec:res-encoders"/>
    <w:p>
      <w:pPr>
        <w:pStyle w:val="Heading2"/>
      </w:pPr>
      <w:r>
        <w:t xml:space="preserve">Encoder comparisons (RQ2)</w:t>
      </w:r>
    </w:p>
    <w:p>
      <w:pPr>
        <w:pStyle w:val="FirstParagraph"/>
      </w:pPr>
      <w:r>
        <w:t xml:space="preserve">The P2 criterion was met on NQ and not met on HotpotQA (Table </w:t>
      </w:r>
      <w:hyperlink w:anchor="tab:predictions">
        <w:r>
          <w:rPr>
            <w:rStyle w:val="Hyperlink"/>
          </w:rPr>
          <w:t xml:space="preserve">[tab:predictions]</w:t>
        </w:r>
      </w:hyperlink>
      <w:r>
        <w:t xml:space="preserve">). On NQ, neither bge-large nor Qwen3-Embedding-0.6B differed detectably from e5-base-v2 in EM with either reader. On HotpotQA, bge-large gave higher EM than e5-base-v2 with both readers (+0.028, Holm-adjusted</w:t>
      </w:r>
      <w:r>
        <w:t xml:space="preserve"> </w:t>
      </w:r>
      <m:oMath>
        <m:r>
          <m:t>p</m:t>
        </m:r>
      </m:oMath>
      <w:r>
        <w:t xml:space="preserve"> </w:t>
      </w:r>
      <w:r>
        <w:t xml:space="preserve">= 0.0055; +0.022,</w:t>
      </w:r>
      <w:r>
        <w:t xml:space="preserve"> </w:t>
      </w:r>
      <m:oMath>
        <m:r>
          <m:t>p</m:t>
        </m:r>
      </m:oMath>
      <w:r>
        <w:t xml:space="preserve"> </w:t>
      </w:r>
      <w:r>
        <w:t xml:space="preserve">= 0.040), in line with its higher Both@5. Qwen3-Embedding-0.6B gave lower EM than e5-base-v2 on HotpotQA (−0.030,</w:t>
      </w:r>
      <w:r>
        <w:t xml:space="preserve"> </w:t>
      </w:r>
      <m:oMath>
        <m:r>
          <m:t>p</m:t>
        </m:r>
      </m:oMath>
      <w:r>
        <w:t xml:space="preserve"> </w:t>
      </w:r>
      <w:r>
        <w:t xml:space="preserve">= 0.0031; −0.042,</w:t>
      </w:r>
      <w:r>
        <w:t xml:space="preserve"> </w:t>
      </w:r>
      <m:oMath>
        <m:r>
          <m:t>p</m:t>
        </m:r>
      </m:oMath>
      <w:r>
        <w:t xml:space="preserve"> </w:t>
      </w:r>
      <w:r>
        <w:t xml:space="preserve">=</w:t>
      </w:r>
      <w:r>
        <w:t xml:space="preserve"> </w:t>
      </w:r>
      <m:oMath>
        <m:r>
          <m:t>8.5</m:t>
        </m:r>
        <m:r>
          <m:rPr>
            <m:sty m:val="p"/>
          </m:rPr>
          <m:t>×</m:t>
        </m:r>
        <m:sSup>
          <m:e>
            <m:r>
              <m:t>10</m:t>
            </m:r>
          </m:e>
          <m:sup>
            <m:r>
              <m:rPr>
                <m:sty m:val="p"/>
              </m:rPr>
              <m:t>−</m:t>
            </m:r>
            <m:r>
              <m:t>6</m:t>
            </m:r>
          </m:sup>
        </m:sSup>
      </m:oMath>
      <w:r>
        <w:t xml:space="preserve">). The registered pooled model over all four cells (Table </w:t>
      </w:r>
      <w:hyperlink w:anchor="tab:gee">
        <w:r>
          <w:rPr>
            <w:rStyle w:val="Hyperlink"/>
          </w:rPr>
          <w:t xml:space="preserve">[tab:gee]</w:t>
        </w:r>
      </w:hyperlink>
      <w:r>
        <w:t xml:space="preserve">; 59,570 answers in 4,255 query clusters) gave odds ratios of 1.038 [1.001, 1.076] for bge-large and 0.909 [0.875, 0.943] for Qwen3-Embedding-0.6B, each against e5-base-v2. This main-effects model assumes the same retriever effect on both datasets, and the data do not support that assumption: the retriever</w:t>
      </w:r>
      <w:r>
        <w:t xml:space="preserve"> </w:t>
      </w:r>
      <m:oMath>
        <m:r>
          <m:rPr>
            <m:sty m:val="p"/>
          </m:rPr>
          <m:t>×</m:t>
        </m:r>
      </m:oMath>
      <w:r>
        <w:t xml:space="preserve"> </w:t>
      </w:r>
      <w:r>
        <w:t xml:space="preserve">dataset terms were jointly significant (Wald</w:t>
      </w:r>
      <w:r>
        <w:t xml:space="preserve"> </w:t>
      </w:r>
      <m:oMath>
        <m:sSubSup>
          <m:e>
            <m:r>
              <m:t>χ</m:t>
            </m:r>
          </m:e>
          <m:sub>
            <m:r>
              <m:t>6</m:t>
            </m:r>
          </m:sub>
          <m:sup>
            <m:r>
              <m:t>2</m:t>
            </m:r>
          </m:sup>
        </m:sSubSup>
      </m:oMath>
      <w:r>
        <w:t xml:space="preserve"> </w:t>
      </w:r>
      <w:r>
        <w:t xml:space="preserve">= 179,</w:t>
      </w:r>
      <w:r>
        <w:t xml:space="preserve"> </w:t>
      </w:r>
      <m:oMath>
        <m:r>
          <m:t>p</m:t>
        </m:r>
      </m:oMath>
      <w:r>
        <w:t xml:space="preserve"> </w:t>
      </w:r>
      <w:r>
        <w:t xml:space="preserve">=</w:t>
      </w:r>
      <w:r>
        <w:t xml:space="preserve"> </w:t>
      </w:r>
      <m:oMath>
        <m:r>
          <m:t>5.2</m:t>
        </m:r>
        <m:r>
          <m:rPr>
            <m:sty m:val="p"/>
          </m:rPr>
          <m:t>×</m:t>
        </m:r>
        <m:sSup>
          <m:e>
            <m:r>
              <m:t>10</m:t>
            </m:r>
          </m:e>
          <m:sup>
            <m:r>
              <m:rPr>
                <m:sty m:val="p"/>
              </m:rPr>
              <m:t>−</m:t>
            </m:r>
            <m:r>
              <m:t>36</m:t>
            </m:r>
          </m:sup>
        </m:sSup>
      </m:oMath>
      <w:r>
        <w:t xml:space="preserve">), while retriever</w:t>
      </w:r>
      <w:r>
        <w:t xml:space="preserve"> </w:t>
      </w:r>
      <m:oMath>
        <m:r>
          <m:rPr>
            <m:sty m:val="p"/>
          </m:rPr>
          <m:t>×</m:t>
        </m:r>
      </m:oMath>
      <w:r>
        <w:t xml:space="preserve"> </w:t>
      </w:r>
      <w:r>
        <w:t xml:space="preserve">reader terms were not (</w:t>
      </w:r>
      <m:oMath>
        <m:r>
          <m:t>p</m:t>
        </m:r>
      </m:oMath>
      <w:r>
        <w:t xml:space="preserve"> </w:t>
      </w:r>
      <w:r>
        <w:t xml:space="preserve">= 0.55). In the interaction model (post hoc), bge-large had an odds ratio of 0.981 [0.936, 1.028] on NQ and 1.109 [1.049, 1.172] on HotpotQA; Qwen3-Embedding-0.6B had 0.952 [0.906, 1.001] and 0.859 [0.811, 0.909]. The small pooled advantage of bge-large thus averages no detected effect on NQ with a gain on HotpotQA, in line with the per-cell tests. Both models mix the two study phases and are secondary.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center"/>
            </w:pPr>
            <w:r>
              <w:t xml:space="preserve">Pooled (main effects)</w:t>
            </w:r>
          </w:p>
        </w:tc>
        <w:tc>
          <w:tcPr>
            <w:gridSpan w:val="2"/>
          </w:tcPr>
          <w:p>
            <w:pPr>
              <w:pStyle w:val="Compact"/>
              <w:jc w:val="center"/>
            </w:pPr>
            <w:r>
              <w:t xml:space="preserve">With retriever</w:t>
            </w:r>
            <w:r>
              <w:t xml:space="preserve"> </w:t>
            </w:r>
            <m:oMath>
              <m:r>
                <m:rPr>
                  <m:sty m:val="p"/>
                </m:rPr>
                <m:t>×</m:t>
              </m:r>
            </m:oMath>
            <w:r>
              <w:t xml:space="preserve"> </w:t>
            </w:r>
            <w:r>
              <w:t xml:space="preserve">dataset interaction</w:t>
            </w:r>
          </w:p>
        </w:tc>
      </w:tr>
      <w:tr>
        <w:tc>
          <w:tcPr/>
          <w:p>
            <w:pPr>
              <w:pStyle w:val="Compact"/>
              <w:jc w:val="left"/>
            </w:pPr>
            <w:r>
              <w:t xml:space="preserve">3-4</w:t>
            </w:r>
            <w:r>
              <w:t xml:space="preserve"> </w:t>
            </w:r>
            <w:r>
              <w:t xml:space="preserve">Contrast</w:t>
            </w:r>
          </w:p>
        </w:tc>
        <w:tc>
          <w:tcPr/>
          <w:p>
            <w:pPr>
              <w:pStyle w:val="Compact"/>
              <w:jc w:val="center"/>
            </w:pPr>
            <w:r>
              <w:t xml:space="preserve">both datasets</w:t>
            </w:r>
          </w:p>
        </w:tc>
        <w:tc>
          <w:tcPr/>
          <w:p>
            <w:pPr>
              <w:pStyle w:val="Compact"/>
              <w:jc w:val="center"/>
            </w:pPr>
            <w:r>
              <w:t xml:space="preserve">NQ</w:t>
            </w:r>
          </w:p>
        </w:tc>
        <w:tc>
          <w:tcPr/>
          <w:p>
            <w:pPr>
              <w:pStyle w:val="Compact"/>
              <w:jc w:val="center"/>
            </w:pPr>
            <w:r>
              <w:t xml:space="preserve">HotpotQA</w:t>
            </w:r>
          </w:p>
        </w:tc>
      </w:tr>
      <w:tr>
        <w:tc>
          <w:tcPr/>
          <w:p>
            <w:pPr>
              <w:pStyle w:val="Compact"/>
              <w:jc w:val="left"/>
            </w:pPr>
            <w:r>
              <w:t xml:space="preserve">bge-large vs e5-base-v2</w:t>
            </w:r>
          </w:p>
        </w:tc>
        <w:tc>
          <w:tcPr/>
          <w:p>
            <w:pPr>
              <w:pStyle w:val="Compact"/>
              <w:jc w:val="center"/>
            </w:pPr>
            <w:r>
              <w:t xml:space="preserve">1.038 [1.001, 1.076]</w:t>
            </w:r>
          </w:p>
        </w:tc>
        <w:tc>
          <w:tcPr/>
          <w:p>
            <w:pPr>
              <w:pStyle w:val="Compact"/>
              <w:jc w:val="center"/>
            </w:pPr>
            <w:r>
              <w:t xml:space="preserve">0.981 [0.936, 1.028]</w:t>
            </w:r>
          </w:p>
        </w:tc>
        <w:tc>
          <w:tcPr/>
          <w:p>
            <w:pPr>
              <w:pStyle w:val="Compact"/>
              <w:jc w:val="center"/>
            </w:pPr>
            <w:r>
              <w:t xml:space="preserve">1.109 [1.049, 1.172]</w:t>
            </w:r>
          </w:p>
        </w:tc>
      </w:tr>
      <w:tr>
        <w:tc>
          <w:tcPr/>
          <w:p>
            <w:pPr>
              <w:pStyle w:val="Compact"/>
              <w:jc w:val="left"/>
            </w:pPr>
            <w:r>
              <w:t xml:space="preserve">Qwen3-Emb-0.6B vs e5-base-v2</w:t>
            </w:r>
          </w:p>
        </w:tc>
        <w:tc>
          <w:tcPr/>
          <w:p>
            <w:pPr>
              <w:pStyle w:val="Compact"/>
              <w:jc w:val="center"/>
            </w:pPr>
            <w:r>
              <w:t xml:space="preserve">0.909 [0.875, 0.943]</w:t>
            </w:r>
          </w:p>
        </w:tc>
        <w:tc>
          <w:tcPr/>
          <w:p>
            <w:pPr>
              <w:pStyle w:val="Compact"/>
              <w:jc w:val="center"/>
            </w:pPr>
            <w:r>
              <w:t xml:space="preserve">0.952 [0.906, 1.001]</w:t>
            </w:r>
          </w:p>
        </w:tc>
        <w:tc>
          <w:tcPr/>
          <w:p>
            <w:pPr>
              <w:pStyle w:val="Compact"/>
              <w:jc w:val="center"/>
            </w:pPr>
            <w:r>
              <w:t xml:space="preserve">0.859 [0.811, 0.909]</w:t>
            </w:r>
          </w:p>
        </w:tc>
      </w:tr>
    </w:tbl>
    <w:p>
      <w:pPr>
        <w:pStyle w:val="BodyText"/>
      </w:pPr>
      <w:r>
        <w:rPr>
          <w:iCs/>
          <w:i/>
        </w:rPr>
        <w:t xml:space="preserve">Pooled: EM</w:t>
      </w:r>
      <w:r>
        <w:rPr>
          <w:iCs/>
          <w:i/>
        </w:rPr>
        <w:t xml:space="preserve"> </w:t>
      </w:r>
      <m:oMath>
        <m:r>
          <m:rPr>
            <m:sty m:val="p"/>
          </m:rPr>
          <m:t>∼</m:t>
        </m:r>
      </m:oMath>
      <w:r>
        <w:rPr>
          <w:iCs/>
          <w:i/>
        </w:rPr>
        <w:t xml:space="preserve"> </w:t>
      </w:r>
      <w:r>
        <w:rPr>
          <w:iCs/>
          <w:i/>
        </w:rPr>
        <w:t xml:space="preserve">retriever + dataset + reader (registered secondary model). Interaction model: EM</w:t>
      </w:r>
      <w:r>
        <w:rPr>
          <w:iCs/>
          <w:i/>
        </w:rPr>
        <w:t xml:space="preserve"> </w:t>
      </w:r>
      <m:oMath>
        <m:r>
          <m:rPr>
            <m:sty m:val="p"/>
          </m:rPr>
          <m:t>∼</m:t>
        </m:r>
      </m:oMath>
      <w:r>
        <w:rPr>
          <w:iCs/>
          <w:i/>
        </w:rPr>
        <w:t xml:space="preserve"> </w:t>
      </w:r>
      <w:r>
        <w:rPr>
          <w:iCs/>
          <w:i/>
        </w:rPr>
        <w:t xml:space="preserve">retriever</w:t>
      </w:r>
      <w:r>
        <w:rPr>
          <w:iCs/>
          <w:i/>
        </w:rPr>
        <w:t xml:space="preserve"> </w:t>
      </w:r>
      <m:oMath>
        <m:r>
          <m:rPr>
            <m:sty m:val="p"/>
          </m:rPr>
          <m:t>×</m:t>
        </m:r>
      </m:oMath>
      <w:r>
        <w:rPr>
          <w:iCs/>
          <w:i/>
        </w:rPr>
        <w:t xml:space="preserve"> </w:t>
      </w:r>
      <w:r>
        <w:rPr>
          <w:iCs/>
          <w:i/>
        </w:rPr>
        <w:t xml:space="preserve">dataset + reader (post hoc). Retriever</w:t>
      </w:r>
      <w:r>
        <w:rPr>
          <w:iCs/>
          <w:i/>
        </w:rPr>
        <w:t xml:space="preserve"> </w:t>
      </w:r>
      <m:oMath>
        <m:r>
          <m:rPr>
            <m:sty m:val="p"/>
          </m:rPr>
          <m:t>×</m:t>
        </m:r>
      </m:oMath>
      <w:r>
        <w:rPr>
          <w:iCs/>
          <w:i/>
        </w:rPr>
        <w:t xml:space="preserve"> </w:t>
      </w:r>
      <w:r>
        <w:rPr>
          <w:iCs/>
          <w:i/>
        </w:rPr>
        <w:t xml:space="preserve">dataset: Wald</w:t>
      </w:r>
      <w:r>
        <w:rPr>
          <w:iCs/>
          <w:i/>
        </w:rPr>
        <w:t xml:space="preserve"> </w:t>
      </w:r>
      <m:oMath>
        <m:sSubSup>
          <m:e>
            <m:r>
              <m:t>χ</m:t>
            </m:r>
          </m:e>
          <m:sub>
            <m:r>
              <m:t>6</m:t>
            </m:r>
          </m:sub>
          <m:sup>
            <m:r>
              <m:t>2</m:t>
            </m:r>
          </m:sup>
        </m:sSubSup>
      </m:oMath>
      <w:r>
        <w:rPr>
          <w:iCs/>
          <w:i/>
        </w:rPr>
        <w:t xml:space="preserve"> </w:t>
      </w:r>
      <w:r>
        <w:rPr>
          <w:iCs/>
          <w:i/>
        </w:rPr>
        <w:t xml:space="preserve">= 179,</w:t>
      </w:r>
      <w:r>
        <w:rPr>
          <w:iCs/>
          <w:i/>
        </w:rPr>
        <w:t xml:space="preserve"> </w:t>
      </w:r>
      <m:oMath>
        <m:r>
          <m:t>p</m:t>
        </m:r>
      </m:oMath>
      <w:r>
        <w:rPr>
          <w:iCs/>
          <w:i/>
        </w:rPr>
        <w:t xml:space="preserve"> </w:t>
      </w:r>
      <w:r>
        <w:rPr>
          <w:iCs/>
          <w:i/>
        </w:rPr>
        <w:t xml:space="preserve">=</w:t>
      </w:r>
      <w:r>
        <w:rPr>
          <w:iCs/>
          <w:i/>
        </w:rPr>
        <w:t xml:space="preserve"> </w:t>
      </w:r>
      <m:oMath>
        <m:r>
          <m:t>5.2</m:t>
        </m:r>
        <m:r>
          <m:rPr>
            <m:sty m:val="p"/>
          </m:rPr>
          <m:t>×</m:t>
        </m:r>
        <m:sSup>
          <m:e>
            <m:r>
              <m:t>10</m:t>
            </m:r>
          </m:e>
          <m:sup>
            <m:r>
              <m:rPr>
                <m:sty m:val="p"/>
              </m:rPr>
              <m:t>−</m:t>
            </m:r>
            <m:r>
              <m:t>36</m:t>
            </m:r>
          </m:sup>
        </m:sSup>
      </m:oMath>
      <w:r>
        <w:rPr>
          <w:iCs/>
          <w:i/>
        </w:rPr>
        <w:t xml:space="preserve">; adding retriever</w:t>
      </w:r>
      <w:r>
        <w:rPr>
          <w:iCs/>
          <w:i/>
        </w:rPr>
        <w:t xml:space="preserve"> </w:t>
      </w:r>
      <m:oMath>
        <m:r>
          <m:rPr>
            <m:sty m:val="p"/>
          </m:rPr>
          <m:t>×</m:t>
        </m:r>
      </m:oMath>
      <w:r>
        <w:rPr>
          <w:iCs/>
          <w:i/>
        </w:rPr>
        <w:t xml:space="preserve"> </w:t>
      </w:r>
      <w:r>
        <w:rPr>
          <w:iCs/>
          <w:i/>
        </w:rPr>
        <w:t xml:space="preserve">reader:</w:t>
      </w:r>
      <w:r>
        <w:rPr>
          <w:iCs/>
          <w:i/>
        </w:rPr>
        <w:t xml:space="preserve"> </w:t>
      </w:r>
      <m:oMath>
        <m:sSubSup>
          <m:e>
            <m:r>
              <m:t>χ</m:t>
            </m:r>
          </m:e>
          <m:sub>
            <m:r>
              <m:t>6</m:t>
            </m:r>
          </m:sub>
          <m:sup>
            <m:r>
              <m:t>2</m:t>
            </m:r>
          </m:sup>
        </m:sSubSup>
      </m:oMath>
      <w:r>
        <w:rPr>
          <w:iCs/>
          <w:i/>
        </w:rPr>
        <w:t xml:space="preserve"> </w:t>
      </w:r>
      <w:r>
        <w:rPr>
          <w:iCs/>
          <w:i/>
        </w:rPr>
        <w:t xml:space="preserve">= 5.0,</w:t>
      </w:r>
      <w:r>
        <w:rPr>
          <w:iCs/>
          <w:i/>
        </w:rPr>
        <w:t xml:space="preserve"> </w:t>
      </w:r>
      <m:oMath>
        <m:r>
          <m:t>p</m:t>
        </m:r>
      </m:oMath>
      <w:r>
        <w:rPr>
          <w:iCs/>
          <w:i/>
        </w:rPr>
        <w:t xml:space="preserve"> </w:t>
      </w:r>
      <w:r>
        <w:rPr>
          <w:iCs/>
          <w:i/>
        </w:rPr>
        <w:t xml:space="preserve">= 0.55. Exchangeable working correlation (0.60) within query; 59,570 answers in 4,255 query clusters; empirical (sandwich) standard errors. All models converged without warnings.</w:t>
      </w:r>
    </w:p>
    <w:bookmarkEnd w:id="88"/>
    <w:bookmarkStart w:id="101" w:name="sec:res-context"/>
    <w:p>
      <w:pPr>
        <w:pStyle w:val="Heading2"/>
      </w:pPr>
      <w:r>
        <w:t xml:space="preserve">Context choices (RQ3)</w:t>
      </w:r>
    </w:p>
    <w:bookmarkStart w:id="92" w:name="number-of-passages"/>
    <w:p>
      <w:pPr>
        <w:pStyle w:val="Heading4"/>
      </w:pPr>
      <w:r>
        <w:t xml:space="preserve">Number of passages</w:t>
      </w:r>
    </w:p>
    <w:p>
      <w:pPr>
        <w:pStyle w:val="FirstParagraph"/>
      </w:pPr>
      <w:r>
        <w:t xml:space="preserve">Table </w:t>
      </w:r>
      <w:hyperlink w:anchor="tab:topk">
        <w:r>
          <w:rPr>
            <w:rStyle w:val="Hyperlink"/>
          </w:rPr>
          <w:t xml:space="preserve">3</w:t>
        </w:r>
      </w:hyperlink>
      <w:r>
        <w:t xml:space="preserve"> </w:t>
      </w:r>
      <w:r>
        <w:t xml:space="preserve">and Fig. </w:t>
      </w:r>
      <w:hyperlink w:anchor="fig:topk">
        <w:r>
          <w:rPr>
            <w:rStyle w:val="Hyperlink"/>
          </w:rPr>
          <w:t xml:space="preserve">8</w:t>
        </w:r>
      </w:hyperlink>
      <w:r>
        <w:t xml:space="preserve"> </w:t>
      </w:r>
      <w:r>
        <w:t xml:space="preserve">show EM for</w:t>
      </w:r>
      <w:r>
        <w:t xml:space="preserve"> </w:t>
      </w:r>
      <m:oMath>
        <m:r>
          <m:t>k</m:t>
        </m:r>
        <m:r>
          <m:rPr>
            <m:sty m:val="p"/>
          </m:rPr>
          <m:t>∈</m:t>
        </m:r>
        <m:r>
          <m:rPr>
            <m:sty m:val="p"/>
          </m:rPr>
          <m:t>{</m:t>
        </m:r>
        <m:r>
          <m:t>1</m:t>
        </m:r>
        <m:r>
          <m:rPr>
            <m:sty m:val="p"/>
          </m:rPr>
          <m:t>,</m:t>
        </m:r>
        <m:r>
          <m:t>3</m:t>
        </m:r>
        <m:r>
          <m:rPr>
            <m:sty m:val="p"/>
          </m:rPr>
          <m:t>,</m:t>
        </m:r>
        <m:r>
          <m:t>5</m:t>
        </m:r>
        <m:r>
          <m:rPr>
            <m:sty m:val="p"/>
          </m:rPr>
          <m:t>,</m:t>
        </m:r>
        <m:r>
          <m:t>10</m:t>
        </m:r>
        <m:r>
          <m:rPr>
            <m:sty m:val="p"/>
          </m:rPr>
          <m:t>}</m:t>
        </m:r>
      </m:oMath>
      <w:r>
        <w:t xml:space="preserve"> </w:t>
      </w:r>
      <w:r>
        <w:t xml:space="preserve">with Qwen on NQ. One passage gave lower EM than five for every retriever (P4 criterion met; differences from −0.126 for BM25 to −0.078 for e5-base-v2, all Holm-adjusted</w:t>
      </w:r>
      <w:r>
        <w:t xml:space="preserve"> </w:t>
      </w:r>
      <m:oMath>
        <m:r>
          <m:t>p</m:t>
        </m:r>
        <m:r>
          <m:rPr>
            <m:sty m:val="p"/>
          </m:rPr>
          <m:t>&lt;</m:t>
        </m:r>
        <m:r>
          <m:t>0.001</m:t>
        </m:r>
      </m:oMath>
      <w:r>
        <w:t xml:space="preserve">). From five to ten passages, EM rose for six retrievers and stayed flat for e5-base-v2 (0.510 and 0.508). The gap between retrievers shrank with</w:t>
      </w:r>
      <w:r>
        <w:t xml:space="preserve"> </w:t>
      </w:r>
      <m:oMath>
        <m:r>
          <m:t>k</m:t>
        </m:r>
      </m:oMath>
      <w:r>
        <w:t xml:space="preserve">: at</w:t>
      </w:r>
      <w:r>
        <w:t xml:space="preserve"> </w:t>
      </w:r>
      <m:oMath>
        <m:r>
          <m:t>k</m:t>
        </m:r>
        <m:r>
          <m:rPr>
            <m:sty m:val="p"/>
          </m:rPr>
          <m:t>=</m:t>
        </m:r>
        <m:r>
          <m:t>10</m:t>
        </m:r>
      </m:oMath>
      <w:r>
        <w:t xml:space="preserve"> </w:t>
      </w:r>
      <w:r>
        <w:t xml:space="preserve">all dense encoders gave EM between 0.502 and 0.520. In an exploratory check (Table </w:t>
      </w:r>
      <w:hyperlink w:anchor="tab:transferk">
        <w:r>
          <w:rPr>
            <w:rStyle w:val="Hyperlink"/>
          </w:rPr>
          <w:t xml:space="preserve">[tab:transferk]</w:t>
        </w:r>
      </w:hyperlink>
      <w:r>
        <w:t xml:space="preserve">), we matched Hit@</w:t>
      </w:r>
      <m:oMath>
        <m:r>
          <m:t>k</m:t>
        </m:r>
      </m:oMath>
      <w:r>
        <w:t xml:space="preserve"> </w:t>
      </w:r>
      <w:r>
        <w:t xml:space="preserve">to the</w:t>
      </w:r>
      <w:r>
        <w:t xml:space="preserve"> </w:t>
      </w:r>
      <m:oMath>
        <m:r>
          <m:t>k</m:t>
        </m:r>
      </m:oMath>
      <w:r>
        <w:t xml:space="preserve"> </w:t>
      </w:r>
      <w:r>
        <w:t xml:space="preserve">passages the reader saw. The transfer ratio then fell with</w:t>
      </w:r>
      <w:r>
        <w:t xml:space="preserve"> </w:t>
      </w:r>
      <m:oMath>
        <m:r>
          <m:t>k</m:t>
        </m:r>
      </m:oMath>
      <w:r>
        <w:t xml:space="preserve">; for bge-large it was 0.61 [0.47, 0.77] at</w:t>
      </w:r>
      <w:r>
        <w:t xml:space="preserve"> </w:t>
      </w:r>
      <m:oMath>
        <m:r>
          <m:t>k</m:t>
        </m:r>
        <m:r>
          <m:rPr>
            <m:sty m:val="p"/>
          </m:rPr>
          <m:t>=</m:t>
        </m:r>
        <m:r>
          <m:t>1</m:t>
        </m:r>
      </m:oMath>
      <w:r>
        <w:t xml:space="preserve">, 0.33 at</w:t>
      </w:r>
      <w:r>
        <w:t xml:space="preserve"> </w:t>
      </w:r>
      <m:oMath>
        <m:r>
          <m:t>k</m:t>
        </m:r>
        <m:r>
          <m:rPr>
            <m:sty m:val="p"/>
          </m:rPr>
          <m:t>=</m:t>
        </m:r>
        <m:r>
          <m:t>3</m:t>
        </m:r>
      </m:oMath>
      <w:r>
        <w:t xml:space="preserve">, 0.24 at</w:t>
      </w:r>
      <w:r>
        <w:t xml:space="preserve"> </w:t>
      </w:r>
      <m:oMath>
        <m:r>
          <m:t>k</m:t>
        </m:r>
        <m:r>
          <m:rPr>
            <m:sty m:val="p"/>
          </m:rPr>
          <m:t>=</m:t>
        </m:r>
        <m:r>
          <m:t>5</m:t>
        </m:r>
      </m:oMath>
      <w:r>
        <w:t xml:space="preserve"> </w:t>
      </w:r>
      <w:r>
        <w:t xml:space="preserve">and 0.19 [0.02, 0.35] at</w:t>
      </w:r>
      <w:r>
        <w:t xml:space="preserve"> </w:t>
      </w:r>
      <m:oMath>
        <m:r>
          <m:t>k</m:t>
        </m:r>
        <m:r>
          <m:rPr>
            <m:sty m:val="p"/>
          </m:rPr>
          <m:t>=</m:t>
        </m:r>
        <m:r>
          <m:t>10</m:t>
        </m:r>
      </m:oMath>
      <w:r>
        <w:t xml:space="preserve">. The NQ ratios of Section </w:t>
      </w:r>
      <w:hyperlink w:anchor="sec:res-transfer">
        <w:r>
          <w:rPr>
            <w:rStyle w:val="Hyperlink"/>
          </w:rPr>
          <w:t xml:space="preserve">5.2</w:t>
        </w:r>
      </w:hyperlink>
      <w:r>
        <w:t xml:space="preserve"> </w:t>
      </w:r>
      <w:r>
        <w:t xml:space="preserve">therefore describe</w:t>
      </w:r>
      <w:r>
        <w:t xml:space="preserve"> </w:t>
      </w:r>
      <m:oMath>
        <m:r>
          <m:t>k</m:t>
        </m:r>
        <m:r>
          <m:rPr>
            <m:sty m:val="p"/>
          </m:rPr>
          <m:t>=</m:t>
        </m:r>
        <m:r>
          <m:t>5</m:t>
        </m:r>
      </m:oMath>
      <w:r>
        <w:t xml:space="preserve"> </w:t>
      </w:r>
      <w:r>
        <w:t xml:space="preserve">only. More passages also cost more reading: the mean prompt grew from 210 tokens at</w:t>
      </w:r>
      <w:r>
        <w:t xml:space="preserve"> </w:t>
      </w:r>
      <m:oMath>
        <m:r>
          <m:t>k</m:t>
        </m:r>
        <m:r>
          <m:rPr>
            <m:sty m:val="p"/>
          </m:rPr>
          <m:t>=</m:t>
        </m:r>
        <m:r>
          <m:t>1</m:t>
        </m:r>
      </m:oMath>
      <w:r>
        <w:t xml:space="preserve"> </w:t>
      </w:r>
      <w:r>
        <w:t xml:space="preserve">to 738 at</w:t>
      </w:r>
      <w:r>
        <w:t xml:space="preserve"> </w:t>
      </w:r>
      <m:oMath>
        <m:r>
          <m:t>k</m:t>
        </m:r>
        <m:r>
          <m:rPr>
            <m:sty m:val="p"/>
          </m:rPr>
          <m:t>=</m:t>
        </m:r>
        <m:r>
          <m:t>5</m:t>
        </m:r>
      </m:oMath>
      <w:r>
        <w:t xml:space="preserve"> </w:t>
      </w:r>
      <w:r>
        <w:t xml:space="preserve">and 1,414 at</w:t>
      </w:r>
      <w:r>
        <w:t xml:space="preserve"> </w:t>
      </w:r>
      <m:oMath>
        <m:r>
          <m:t>k</m:t>
        </m:r>
        <m:r>
          <m:rPr>
            <m:sty m:val="p"/>
          </m:rPr>
          <m:t>=</m:t>
        </m:r>
        <m:r>
          <m:t>10</m:t>
        </m:r>
      </m:oMath>
      <w:r>
        <w:t xml:space="preserve"> </w:t>
      </w:r>
      <w:r>
        <w:t xml:space="preserve">for bge-large. In a second exploratory comparison, bge-large with one passage gave higher EM than BM25 with ten passages (+0.022 [0.001, 0.042]; exact McNemar</w:t>
      </w:r>
      <w:r>
        <w:t xml:space="preserve"> </w:t>
      </w:r>
      <m:oMath>
        <m:r>
          <m:t>p</m:t>
        </m:r>
      </m:oMath>
      <w:r>
        <w:t xml:space="preserve"> </w:t>
      </w:r>
      <w:r>
        <w:t xml:space="preserve">= 0.044, uncorrected).</w:t>
      </w:r>
    </w:p>
    <w:p>
      <w:pPr>
        <w:pStyle w:val="CaptionedFigure"/>
      </w:pPr>
      <w:r>
        <w:drawing>
          <wp:inline>
            <wp:extent cx="3770753" cy="2186608"/>
            <wp:effectExtent b="0" l="0" r="0" t="0"/>
            <wp:docPr descr="" title="" id="90" name="Picture"/>
            <a:graphic>
              <a:graphicData uri="http://schemas.openxmlformats.org/drawingml/2006/picture">
                <pic:pic>
                  <pic:nvPicPr>
                    <pic:cNvPr descr="/home/claude/rag-embed-transfer/paper_figures/out/fig3_topk.png" id="91" name="Picture"/>
                    <pic:cNvPicPr>
                      <a:picLocks noChangeArrowheads="1" noChangeAspect="1"/>
                    </pic:cNvPicPr>
                  </pic:nvPicPr>
                  <pic:blipFill>
                    <a:blip r:embed="rId89"/>
                    <a:stretch>
                      <a:fillRect/>
                    </a:stretch>
                  </pic:blipFill>
                  <pic:spPr bwMode="auto">
                    <a:xfrm>
                      <a:off x="0" y="0"/>
                      <a:ext cx="3770753" cy="2186608"/>
                    </a:xfrm>
                    <a:prstGeom prst="rect">
                      <a:avLst/>
                    </a:prstGeom>
                    <a:noFill/>
                    <a:ln w="9525">
                      <a:noFill/>
                      <a:headEnd/>
                      <a:tailEnd/>
                    </a:ln>
                  </pic:spPr>
                </pic:pic>
              </a:graphicData>
            </a:graphic>
          </wp:inline>
        </w:drawing>
      </w:r>
    </w:p>
    <w:p>
      <w:pPr>
        <w:pStyle w:val="ImageCaption"/>
      </w:pPr>
      <w:r>
        <w:t xml:space="preserve">Exact match by number of passages</w:t>
      </w:r>
      <w:r>
        <w:t xml:space="preserve"> </w:t>
      </w:r>
      <m:oMath>
        <m:r>
          <m:t>k</m:t>
        </m:r>
      </m:oMath>
      <w:r>
        <w:t xml:space="preserve">, Qwen reader on NQ (2,255 queries).</w:t>
      </w:r>
    </w:p>
    <w:bookmarkEnd w:id="92"/>
    <w:bookmarkStart w:id="98" w:name="passage-composition-and-position"/>
    <w:p>
      <w:pPr>
        <w:pStyle w:val="Heading4"/>
      </w:pPr>
      <w:r>
        <w:t xml:space="preserve">Passage composition and position</w:t>
      </w:r>
    </w:p>
    <w:p>
      <w:pPr>
        <w:pStyle w:val="FirstParagraph"/>
      </w:pPr>
      <w:r>
        <w:t xml:space="preserve">Table </w:t>
      </w:r>
      <w:hyperlink w:anchor="tab:mechanism">
        <w:r>
          <w:rPr>
            <w:rStyle w:val="Hyperlink"/>
          </w:rPr>
          <w:t xml:space="preserve">4</w:t>
        </w:r>
      </w:hyperlink>
      <w:r>
        <w:t xml:space="preserve"> </w:t>
      </w:r>
      <w:r>
        <w:t xml:space="preserve">and Fig. </w:t>
      </w:r>
      <w:hyperlink w:anchor="fig:mechanism">
        <w:r>
          <w:rPr>
            <w:rStyle w:val="Hyperlink"/>
          </w:rPr>
          <w:t xml:space="preserve">9</w:t>
        </w:r>
      </w:hyperlink>
      <w:r>
        <w:t xml:space="preserve"> </w:t>
      </w:r>
      <w:r>
        <w:t xml:space="preserve">give the controlled context test on 500 NQ questions. With the gold passage at position 1, four top-ranked non-gold BM25 passages gave EM 0.580, and four random passages gave 0.654: a drop of 0.074 (exact McNemar</w:t>
      </w:r>
      <w:r>
        <w:t xml:space="preserve"> </w:t>
      </w:r>
      <m:oMath>
        <m:r>
          <m:t>p</m:t>
        </m:r>
      </m:oMath>
      <w:r>
        <w:t xml:space="preserve"> </w:t>
      </w:r>
      <w:r>
        <w:t xml:space="preserve">=</w:t>
      </w:r>
      <w:r>
        <w:t xml:space="preserve"> </w:t>
      </w:r>
      <m:oMath>
        <m:r>
          <m:t>2.2</m:t>
        </m:r>
        <m:r>
          <m:rPr>
            <m:sty m:val="p"/>
          </m:rPr>
          <m:t>×</m:t>
        </m:r>
        <m:sSup>
          <m:e>
            <m:r>
              <m:t>10</m:t>
            </m:r>
          </m:e>
          <m:sup>
            <m:r>
              <m:rPr>
                <m:sty m:val="p"/>
              </m:rPr>
              <m:t>−</m:t>
            </m:r>
            <m:r>
              <m:t>5</m:t>
            </m:r>
          </m:sup>
        </m:sSup>
      </m:oMath>
      <w:r>
        <w:t xml:space="preserve">; P5 criterion met). Adding four random passages to the gold passage changed EM by no detectable amount: gold at position 1 plus four random passages gave 0.654, and the gold passage alone gave 0.648 (difference +0.006, 95% CI [−0.016, 0.026];</w:t>
      </w:r>
      <w:r>
        <w:t xml:space="preserve"> </w:t>
      </w:r>
      <m:oMath>
        <m:r>
          <m:t>p</m:t>
        </m:r>
      </m:oMath>
      <w:r>
        <w:t xml:space="preserve"> </w:t>
      </w:r>
      <w:r>
        <w:t xml:space="preserve">= 0.71). No equivalence margin was registered, so this interval is not evidence that random passages have no effect; it only bounds the effect in this sample of 500 questions. Under the answer-string rule, at least one hard negative contained an answer for 167 of the 500 questions (0.33, Wilson interval [0.29, 0.38]). On the 333 questions without such a passage, the drop was larger: EM 0.535 with hard negatives against 0.637 with random passages (−0.102, 95% CI [−0.144, −0.060];</w:t>
      </w:r>
      <w:r>
        <w:t xml:space="preserve"> </w:t>
      </w:r>
      <m:oMath>
        <m:r>
          <m:t>p</m:t>
        </m:r>
      </m:oMath>
      <w:r>
        <w:t xml:space="preserve"> </w:t>
      </w:r>
      <m:oMath>
        <m:r>
          <m:rPr>
            <m:sty m:val="p"/>
          </m:rPr>
          <m:t>&lt;</m:t>
        </m:r>
      </m:oMath>
      <w:r>
        <w:t xml:space="preserve">0.001). On the other questions the two contexts gave 0.671 and 0.689 (not pre-specified). Answer-bearing hard negatives therefore made the registered P5 effect smaller, not larger. The position of the gold passage among the hard negatives showed no detectable effect (EM 0.580, 0.564 and 0.578 at positions 1, 3 and 5; all Holm-adjusted</w:t>
      </w:r>
      <w:r>
        <w:t xml:space="preserve"> </w:t>
      </w:r>
      <m:oMath>
        <m:r>
          <m:t>p</m:t>
        </m:r>
        <m:r>
          <m:rPr>
            <m:sty m:val="p"/>
          </m:rPr>
          <m:t>≥</m:t>
        </m:r>
      </m:oMath>
      <w:r>
        <w:t xml:space="preserve"> </w:t>
      </w:r>
      <w:r>
        <w:t xml:space="preserve">0.94; P6 criterion not met).</w:t>
      </w:r>
    </w:p>
    <w:p>
      <w:pPr>
        <w:pStyle w:val="CaptionedFigure"/>
      </w:pPr>
      <w:r>
        <w:drawing>
          <wp:inline>
            <wp:extent cx="3990943" cy="1617784"/>
            <wp:effectExtent b="0" l="0" r="0" t="0"/>
            <wp:docPr descr="" title="" id="94" name="Picture"/>
            <a:graphic>
              <a:graphicData uri="http://schemas.openxmlformats.org/drawingml/2006/picture">
                <pic:pic>
                  <pic:nvPicPr>
                    <pic:cNvPr descr="/home/claude/rag-embed-transfer/paper_figures/out/fig4_mechanism.png" id="95" name="Picture"/>
                    <pic:cNvPicPr>
                      <a:picLocks noChangeArrowheads="1" noChangeAspect="1"/>
                    </pic:cNvPicPr>
                  </pic:nvPicPr>
                  <pic:blipFill>
                    <a:blip r:embed="rId93"/>
                    <a:stretch>
                      <a:fillRect/>
                    </a:stretch>
                  </pic:blipFill>
                  <pic:spPr bwMode="auto">
                    <a:xfrm>
                      <a:off x="0" y="0"/>
                      <a:ext cx="3990943" cy="1617784"/>
                    </a:xfrm>
                    <a:prstGeom prst="rect">
                      <a:avLst/>
                    </a:prstGeom>
                    <a:noFill/>
                    <a:ln w="9525">
                      <a:noFill/>
                      <a:headEnd/>
                      <a:tailEnd/>
                    </a:ln>
                  </pic:spPr>
                </pic:pic>
              </a:graphicData>
            </a:graphic>
          </wp:inline>
        </w:drawing>
      </w:r>
    </w:p>
    <w:p>
      <w:pPr>
        <w:pStyle w:val="ImageCaption"/>
      </w:pPr>
      <w:r>
        <w:t xml:space="preserve">Exact match for five controlled contexts of five passages (Qwen reader, 500 NQ generation queries) with 95% bootstrap intervals.</w:t>
      </w:r>
    </w:p>
    <w:bookmarkStart w:id="96" w:name="tab:topk"/>
    <w:p>
      <w:pPr>
        <w:pStyle w:val="TableCaption"/>
      </w:pPr>
      <w:r>
        <w:t xml:space="preserve">Exact match by number of passages</w:t>
      </w:r>
      <w:r>
        <w:t xml:space="preserve"> </w:t>
      </w:r>
      <m:oMath>
        <m:r>
          <m:t>k</m:t>
        </m:r>
      </m:oMath>
      <w:r>
        <w:t xml:space="preserve"> </w:t>
      </w:r>
      <w:r>
        <w:t xml:space="preserve">(Qwen reader, NQ, 2,255 queries).</w:t>
      </w:r>
    </w:p>
    <w:tbl>
      <w:tblPr>
        <w:tblStyle w:val="Table"/>
        <w:tblW w:type="auto" w:w="0"/>
        <w:tblLook w:firstRow="1" w:lastRow="0" w:firstColumn="0" w:lastColumn="0" w:noHBand="0" w:noVBand="0" w:val="0020"/>
        <w:jc w:val="start"/>
        <w:tblCaption w:val="Exact match by number of passages k (Qwen reader, NQ, 2,255 queries)."/>
      </w:tblPr>
      <w:tblGrid>
        <w:gridCol w:w="1131"/>
        <w:gridCol w:w="1131"/>
        <w:gridCol w:w="1131"/>
        <w:gridCol w:w="1131"/>
        <w:gridCol w:w="1131"/>
        <w:gridCol w:w="1131"/>
        <w:gridCol w:w="1131"/>
      </w:tblGrid>
      <w:tr>
        <w:trPr>
          <w:tblHeader w:val="true"/>
        </w:trPr>
        <w:tc>
          <w:tcPr/>
          <w:p>
            <w:pPr>
              <w:pStyle w:val="Compact"/>
              <w:jc w:val="left"/>
            </w:pPr>
            <w:r>
              <w:t xml:space="preserve">Retriever</w:t>
            </w:r>
          </w:p>
        </w:tc>
        <w:tc>
          <w:tcPr/>
          <w:p>
            <w:pPr>
              <w:pStyle w:val="Compact"/>
              <w:jc w:val="right"/>
            </w:pPr>
            <m:oMath>
              <m:r>
                <m:t>k</m:t>
              </m:r>
              <m:r>
                <m:rPr>
                  <m:sty m:val="p"/>
                </m:rPr>
                <m:t>=</m:t>
              </m:r>
              <m:r>
                <m:t>1</m:t>
              </m:r>
            </m:oMath>
          </w:p>
        </w:tc>
        <w:tc>
          <w:tcPr/>
          <w:p>
            <w:pPr>
              <w:pStyle w:val="Compact"/>
              <w:jc w:val="right"/>
            </w:pPr>
            <m:oMath>
              <m:r>
                <m:t>k</m:t>
              </m:r>
              <m:r>
                <m:rPr>
                  <m:sty m:val="p"/>
                </m:rPr>
                <m:t>=</m:t>
              </m:r>
              <m:r>
                <m:t>3</m:t>
              </m:r>
            </m:oMath>
          </w:p>
        </w:tc>
        <w:tc>
          <w:tcPr/>
          <w:p>
            <w:pPr>
              <w:pStyle w:val="Compact"/>
              <w:jc w:val="right"/>
            </w:pPr>
            <m:oMath>
              <m:r>
                <m:t>k</m:t>
              </m:r>
              <m:r>
                <m:rPr>
                  <m:sty m:val="p"/>
                </m:rPr>
                <m:t>=</m:t>
              </m:r>
              <m:r>
                <m:t>5</m:t>
              </m:r>
            </m:oMath>
          </w:p>
        </w:tc>
        <w:tc>
          <w:tcPr/>
          <w:p>
            <w:pPr>
              <w:pStyle w:val="Compact"/>
              <w:jc w:val="right"/>
            </w:pPr>
            <m:oMath>
              <m:r>
                <m:t>k</m:t>
              </m:r>
              <m:r>
                <m:rPr>
                  <m:sty m:val="p"/>
                </m:rPr>
                <m:t>=</m:t>
              </m:r>
              <m:r>
                <m:t>10</m:t>
              </m:r>
            </m:oMath>
          </w:p>
        </w:tc>
        <w:tc>
          <w:tcPr/>
          <w:p>
            <w:pPr>
              <w:pStyle w:val="Compact"/>
              <w:jc w:val="right"/>
            </w:pPr>
            <m:oMath>
              <m:sSub>
                <m:e>
                  <m:r>
                    <m:t>Δ</m:t>
                  </m:r>
                </m:e>
                <m:sub>
                  <m:r>
                    <m:t>1</m:t>
                  </m:r>
                  <m:r>
                    <m:rPr>
                      <m:sty m:val="p"/>
                    </m:rPr>
                    <m:t>−</m:t>
                  </m:r>
                  <m:r>
                    <m:t>5</m:t>
                  </m:r>
                </m:sub>
              </m:sSub>
            </m:oMath>
          </w:p>
        </w:tc>
        <w:tc>
          <w:tcPr/>
          <w:p>
            <w:pPr>
              <w:pStyle w:val="Compact"/>
              <w:jc w:val="right"/>
            </w:pPr>
            <m:oMath>
              <m:sSub>
                <m:e>
                  <m:r>
                    <m:t>p</m:t>
                  </m:r>
                </m:e>
                <m:sub>
                  <m:r>
                    <m:rPr>
                      <m:nor/>
                      <m:sty m:val="p"/>
                    </m:rPr>
                    <m:t>Holm</m:t>
                  </m:r>
                </m:sub>
              </m:sSub>
            </m:oMath>
          </w:p>
        </w:tc>
      </w:tr>
      <w:tr>
        <w:tc>
          <w:tcPr/>
          <w:p>
            <w:pPr>
              <w:pStyle w:val="Compact"/>
              <w:jc w:val="left"/>
            </w:pPr>
            <w:r>
              <w:t xml:space="preserve">BM25</w:t>
            </w:r>
          </w:p>
        </w:tc>
        <w:tc>
          <w:tcPr/>
          <w:p>
            <w:pPr>
              <w:pStyle w:val="Compact"/>
              <w:jc w:val="right"/>
            </w:pPr>
            <w:r>
              <w:t xml:space="preserve">0.233</w:t>
            </w:r>
          </w:p>
        </w:tc>
        <w:tc>
          <w:tcPr/>
          <w:p>
            <w:pPr>
              <w:pStyle w:val="Compact"/>
              <w:jc w:val="right"/>
            </w:pPr>
            <w:r>
              <w:t xml:space="preserve">0.318</w:t>
            </w:r>
          </w:p>
        </w:tc>
        <w:tc>
          <w:tcPr/>
          <w:p>
            <w:pPr>
              <w:pStyle w:val="Compact"/>
              <w:jc w:val="right"/>
            </w:pPr>
            <w:r>
              <w:t xml:space="preserve">0.360</w:t>
            </w:r>
          </w:p>
        </w:tc>
        <w:tc>
          <w:tcPr/>
          <w:p>
            <w:pPr>
              <w:pStyle w:val="Compact"/>
              <w:jc w:val="right"/>
            </w:pPr>
            <w:r>
              <w:t xml:space="preserve">0.400</w:t>
            </w:r>
          </w:p>
        </w:tc>
        <w:tc>
          <w:tcPr/>
          <w:p>
            <w:pPr>
              <w:pStyle w:val="Compact"/>
              <w:jc w:val="right"/>
            </w:pPr>
            <m:oMath>
              <m:r>
                <m:rPr>
                  <m:sty m:val="p"/>
                </m:rPr>
                <m:t>−</m:t>
              </m:r>
            </m:oMath>
            <w:r>
              <w:t xml:space="preserve">0.126</w:t>
            </w:r>
          </w:p>
        </w:tc>
        <w:tc>
          <w:tcPr/>
          <w:p>
            <w:pPr>
              <w:pStyle w:val="Compact"/>
              <w:jc w:val="right"/>
            </w:pPr>
            <m:oMath>
              <m:r>
                <m:rPr>
                  <m:sty m:val="p"/>
                </m:rPr>
                <m:t>&lt;</m:t>
              </m:r>
            </m:oMath>
            <w:r>
              <w:t xml:space="preserve">0.001</w:t>
            </w:r>
          </w:p>
        </w:tc>
      </w:tr>
      <w:tr>
        <w:tc>
          <w:tcPr/>
          <w:p>
            <w:pPr>
              <w:pStyle w:val="Compact"/>
              <w:jc w:val="left"/>
            </w:pPr>
            <w:r>
              <w:t xml:space="preserve">MiniLM-L6</w:t>
            </w:r>
          </w:p>
        </w:tc>
        <w:tc>
          <w:tcPr/>
          <w:p>
            <w:pPr>
              <w:pStyle w:val="Compact"/>
              <w:jc w:val="right"/>
            </w:pPr>
            <w:r>
              <w:t xml:space="preserve">0.352</w:t>
            </w:r>
          </w:p>
        </w:tc>
        <w:tc>
          <w:tcPr/>
          <w:p>
            <w:pPr>
              <w:pStyle w:val="Compact"/>
              <w:jc w:val="right"/>
            </w:pPr>
            <w:r>
              <w:t xml:space="preserve">0.442</w:t>
            </w:r>
          </w:p>
        </w:tc>
        <w:tc>
          <w:tcPr/>
          <w:p>
            <w:pPr>
              <w:pStyle w:val="Compact"/>
              <w:jc w:val="right"/>
            </w:pPr>
            <w:r>
              <w:t xml:space="preserve">0.471</w:t>
            </w:r>
          </w:p>
        </w:tc>
        <w:tc>
          <w:tcPr/>
          <w:p>
            <w:pPr>
              <w:pStyle w:val="Compact"/>
              <w:jc w:val="right"/>
            </w:pPr>
            <w:r>
              <w:t xml:space="preserve">0.502</w:t>
            </w:r>
          </w:p>
        </w:tc>
        <w:tc>
          <w:tcPr/>
          <w:p>
            <w:pPr>
              <w:pStyle w:val="Compact"/>
              <w:jc w:val="right"/>
            </w:pPr>
            <m:oMath>
              <m:r>
                <m:rPr>
                  <m:sty m:val="p"/>
                </m:rPr>
                <m:t>−</m:t>
              </m:r>
            </m:oMath>
            <w:r>
              <w:t xml:space="preserve">0.120</w:t>
            </w:r>
          </w:p>
        </w:tc>
        <w:tc>
          <w:tcPr/>
          <w:p>
            <w:pPr>
              <w:pStyle w:val="Compact"/>
              <w:jc w:val="right"/>
            </w:pPr>
            <m:oMath>
              <m:r>
                <m:rPr>
                  <m:sty m:val="p"/>
                </m:rPr>
                <m:t>&lt;</m:t>
              </m:r>
            </m:oMath>
            <w:r>
              <w:t xml:space="preserve">0.001</w:t>
            </w:r>
          </w:p>
        </w:tc>
      </w:tr>
      <w:tr>
        <w:tc>
          <w:tcPr/>
          <w:p>
            <w:pPr>
              <w:pStyle w:val="Compact"/>
              <w:jc w:val="left"/>
            </w:pPr>
            <w:r>
              <w:t xml:space="preserve">bge-small</w:t>
            </w:r>
          </w:p>
        </w:tc>
        <w:tc>
          <w:tcPr/>
          <w:p>
            <w:pPr>
              <w:pStyle w:val="Compact"/>
              <w:jc w:val="right"/>
            </w:pPr>
            <w:r>
              <w:t xml:space="preserve">0.400</w:t>
            </w:r>
          </w:p>
        </w:tc>
        <w:tc>
          <w:tcPr/>
          <w:p>
            <w:pPr>
              <w:pStyle w:val="Compact"/>
              <w:jc w:val="right"/>
            </w:pPr>
            <w:r>
              <w:t xml:space="preserve">0.470</w:t>
            </w:r>
          </w:p>
        </w:tc>
        <w:tc>
          <w:tcPr/>
          <w:p>
            <w:pPr>
              <w:pStyle w:val="Compact"/>
              <w:jc w:val="right"/>
            </w:pPr>
            <w:r>
              <w:t xml:space="preserve">0.484</w:t>
            </w:r>
          </w:p>
        </w:tc>
        <w:tc>
          <w:tcPr/>
          <w:p>
            <w:pPr>
              <w:pStyle w:val="Compact"/>
              <w:jc w:val="right"/>
            </w:pPr>
            <w:r>
              <w:t xml:space="preserve">0.507</w:t>
            </w:r>
          </w:p>
        </w:tc>
        <w:tc>
          <w:tcPr/>
          <w:p>
            <w:pPr>
              <w:pStyle w:val="Compact"/>
              <w:jc w:val="right"/>
            </w:pPr>
            <m:oMath>
              <m:r>
                <m:rPr>
                  <m:sty m:val="p"/>
                </m:rPr>
                <m:t>−</m:t>
              </m:r>
            </m:oMath>
            <w:r>
              <w:t xml:space="preserve">0.083</w:t>
            </w:r>
          </w:p>
        </w:tc>
        <w:tc>
          <w:tcPr/>
          <w:p>
            <w:pPr>
              <w:pStyle w:val="Compact"/>
              <w:jc w:val="right"/>
            </w:pPr>
            <m:oMath>
              <m:r>
                <m:rPr>
                  <m:sty m:val="p"/>
                </m:rPr>
                <m:t>&lt;</m:t>
              </m:r>
            </m:oMath>
            <w:r>
              <w:t xml:space="preserve">0.001</w:t>
            </w:r>
          </w:p>
        </w:tc>
      </w:tr>
      <w:tr>
        <w:tc>
          <w:tcPr/>
          <w:p>
            <w:pPr>
              <w:pStyle w:val="Compact"/>
              <w:jc w:val="left"/>
            </w:pPr>
            <w:r>
              <w:t xml:space="preserve">bge-base</w:t>
            </w:r>
          </w:p>
        </w:tc>
        <w:tc>
          <w:tcPr/>
          <w:p>
            <w:pPr>
              <w:pStyle w:val="Compact"/>
              <w:jc w:val="right"/>
            </w:pPr>
            <w:r>
              <w:t xml:space="preserve">0.415</w:t>
            </w:r>
          </w:p>
        </w:tc>
        <w:tc>
          <w:tcPr/>
          <w:p>
            <w:pPr>
              <w:pStyle w:val="Compact"/>
              <w:jc w:val="right"/>
            </w:pPr>
            <w:r>
              <w:t xml:space="preserve">0.480</w:t>
            </w:r>
          </w:p>
        </w:tc>
        <w:tc>
          <w:tcPr/>
          <w:p>
            <w:pPr>
              <w:pStyle w:val="Compact"/>
              <w:jc w:val="right"/>
            </w:pPr>
            <w:r>
              <w:t xml:space="preserve">0.493</w:t>
            </w:r>
          </w:p>
        </w:tc>
        <w:tc>
          <w:tcPr/>
          <w:p>
            <w:pPr>
              <w:pStyle w:val="Compact"/>
              <w:jc w:val="right"/>
            </w:pPr>
            <w:r>
              <w:t xml:space="preserve">0.506</w:t>
            </w:r>
          </w:p>
        </w:tc>
        <w:tc>
          <w:tcPr/>
          <w:p>
            <w:pPr>
              <w:pStyle w:val="Compact"/>
              <w:jc w:val="right"/>
            </w:pPr>
            <m:oMath>
              <m:r>
                <m:rPr>
                  <m:sty m:val="p"/>
                </m:rPr>
                <m:t>−</m:t>
              </m:r>
            </m:oMath>
            <w:r>
              <w:t xml:space="preserve">0.078</w:t>
            </w:r>
          </w:p>
        </w:tc>
        <w:tc>
          <w:tcPr/>
          <w:p>
            <w:pPr>
              <w:pStyle w:val="Compact"/>
              <w:jc w:val="right"/>
            </w:pPr>
            <m:oMath>
              <m:r>
                <m:rPr>
                  <m:sty m:val="p"/>
                </m:rPr>
                <m:t>&lt;</m:t>
              </m:r>
            </m:oMath>
            <w:r>
              <w:t xml:space="preserve">0.001</w:t>
            </w:r>
          </w:p>
        </w:tc>
      </w:tr>
      <w:tr>
        <w:tc>
          <w:tcPr/>
          <w:p>
            <w:pPr>
              <w:pStyle w:val="Compact"/>
              <w:jc w:val="left"/>
            </w:pPr>
            <w:r>
              <w:t xml:space="preserve">bge-large</w:t>
            </w:r>
          </w:p>
        </w:tc>
        <w:tc>
          <w:tcPr/>
          <w:p>
            <w:pPr>
              <w:pStyle w:val="Compact"/>
              <w:jc w:val="right"/>
            </w:pPr>
            <w:r>
              <w:t xml:space="preserve">0.421</w:t>
            </w:r>
          </w:p>
        </w:tc>
        <w:tc>
          <w:tcPr/>
          <w:p>
            <w:pPr>
              <w:pStyle w:val="Compact"/>
              <w:jc w:val="right"/>
            </w:pPr>
            <w:r>
              <w:t xml:space="preserve">0.493</w:t>
            </w:r>
          </w:p>
        </w:tc>
        <w:tc>
          <w:tcPr/>
          <w:p>
            <w:pPr>
              <w:pStyle w:val="Compact"/>
              <w:jc w:val="right"/>
            </w:pPr>
            <w:r>
              <w:t xml:space="preserve">0.503</w:t>
            </w:r>
          </w:p>
        </w:tc>
        <w:tc>
          <w:tcPr/>
          <w:p>
            <w:pPr>
              <w:pStyle w:val="Compact"/>
              <w:jc w:val="right"/>
            </w:pPr>
            <w:r>
              <w:t xml:space="preserve">0.520</w:t>
            </w:r>
          </w:p>
        </w:tc>
        <w:tc>
          <w:tcPr/>
          <w:p>
            <w:pPr>
              <w:pStyle w:val="Compact"/>
              <w:jc w:val="right"/>
            </w:pPr>
            <m:oMath>
              <m:r>
                <m:rPr>
                  <m:sty m:val="p"/>
                </m:rPr>
                <m:t>−</m:t>
              </m:r>
            </m:oMath>
            <w:r>
              <w:t xml:space="preserve">0.082</w:t>
            </w:r>
          </w:p>
        </w:tc>
        <w:tc>
          <w:tcPr/>
          <w:p>
            <w:pPr>
              <w:pStyle w:val="Compact"/>
              <w:jc w:val="right"/>
            </w:pPr>
            <m:oMath>
              <m:r>
                <m:rPr>
                  <m:sty m:val="p"/>
                </m:rPr>
                <m:t>&lt;</m:t>
              </m:r>
            </m:oMath>
            <w:r>
              <w:t xml:space="preserve">0.001</w:t>
            </w:r>
          </w:p>
        </w:tc>
      </w:tr>
      <w:tr>
        <w:tc>
          <w:tcPr/>
          <w:p>
            <w:pPr>
              <w:pStyle w:val="Compact"/>
              <w:jc w:val="left"/>
            </w:pPr>
            <w:r>
              <w:t xml:space="preserve">e5-base-v2</w:t>
            </w:r>
          </w:p>
        </w:tc>
        <w:tc>
          <w:tcPr/>
          <w:p>
            <w:pPr>
              <w:pStyle w:val="Compact"/>
              <w:jc w:val="right"/>
            </w:pPr>
            <w:r>
              <w:t xml:space="preserve">0.432</w:t>
            </w:r>
          </w:p>
        </w:tc>
        <w:tc>
          <w:tcPr/>
          <w:p>
            <w:pPr>
              <w:pStyle w:val="Compact"/>
              <w:jc w:val="right"/>
            </w:pPr>
            <w:r>
              <w:t xml:space="preserve">0.500</w:t>
            </w:r>
          </w:p>
        </w:tc>
        <w:tc>
          <w:tcPr/>
          <w:p>
            <w:pPr>
              <w:pStyle w:val="Compact"/>
              <w:jc w:val="right"/>
            </w:pPr>
            <w:r>
              <w:t xml:space="preserve">0.510</w:t>
            </w:r>
          </w:p>
        </w:tc>
        <w:tc>
          <w:tcPr/>
          <w:p>
            <w:pPr>
              <w:pStyle w:val="Compact"/>
              <w:jc w:val="right"/>
            </w:pPr>
            <w:r>
              <w:t xml:space="preserve">0.508</w:t>
            </w:r>
          </w:p>
        </w:tc>
        <w:tc>
          <w:tcPr/>
          <w:p>
            <w:pPr>
              <w:pStyle w:val="Compact"/>
              <w:jc w:val="right"/>
            </w:pPr>
            <m:oMath>
              <m:r>
                <m:rPr>
                  <m:sty m:val="p"/>
                </m:rPr>
                <m:t>−</m:t>
              </m:r>
            </m:oMath>
            <w:r>
              <w:t xml:space="preserve">0.078</w:t>
            </w:r>
          </w:p>
        </w:tc>
        <w:tc>
          <w:tcPr/>
          <w:p>
            <w:pPr>
              <w:pStyle w:val="Compact"/>
              <w:jc w:val="right"/>
            </w:pPr>
            <m:oMath>
              <m:r>
                <m:rPr>
                  <m:sty m:val="p"/>
                </m:rPr>
                <m:t>&lt;</m:t>
              </m:r>
            </m:oMath>
            <w:r>
              <w:t xml:space="preserve">0.001</w:t>
            </w:r>
          </w:p>
        </w:tc>
      </w:tr>
      <w:tr>
        <w:tc>
          <w:tcPr/>
          <w:p>
            <w:pPr>
              <w:pStyle w:val="Compact"/>
              <w:jc w:val="left"/>
            </w:pPr>
            <w:r>
              <w:t xml:space="preserve">Qwen3-Emb-0.6B</w:t>
            </w:r>
          </w:p>
        </w:tc>
        <w:tc>
          <w:tcPr/>
          <w:p>
            <w:pPr>
              <w:pStyle w:val="Compact"/>
              <w:jc w:val="right"/>
            </w:pPr>
            <w:r>
              <w:t xml:space="preserve">0.386</w:t>
            </w:r>
          </w:p>
        </w:tc>
        <w:tc>
          <w:tcPr/>
          <w:p>
            <w:pPr>
              <w:pStyle w:val="Compact"/>
              <w:jc w:val="right"/>
            </w:pPr>
            <w:r>
              <w:t xml:space="preserve">0.475</w:t>
            </w:r>
          </w:p>
        </w:tc>
        <w:tc>
          <w:tcPr/>
          <w:p>
            <w:pPr>
              <w:pStyle w:val="Compact"/>
              <w:jc w:val="right"/>
            </w:pPr>
            <w:r>
              <w:t xml:space="preserve">0.492</w:t>
            </w:r>
          </w:p>
        </w:tc>
        <w:tc>
          <w:tcPr/>
          <w:p>
            <w:pPr>
              <w:pStyle w:val="Compact"/>
              <w:jc w:val="right"/>
            </w:pPr>
            <w:r>
              <w:t xml:space="preserve">0.506</w:t>
            </w:r>
          </w:p>
        </w:tc>
        <w:tc>
          <w:tcPr/>
          <w:p>
            <w:pPr>
              <w:pStyle w:val="Compact"/>
              <w:jc w:val="right"/>
            </w:pPr>
            <m:oMath>
              <m:r>
                <m:rPr>
                  <m:sty m:val="p"/>
                </m:rPr>
                <m:t>−</m:t>
              </m:r>
            </m:oMath>
            <w:r>
              <w:t xml:space="preserve">0.106</w:t>
            </w:r>
          </w:p>
        </w:tc>
        <w:tc>
          <w:tcPr/>
          <w:p>
            <w:pPr>
              <w:pStyle w:val="Compact"/>
              <w:jc w:val="right"/>
            </w:pPr>
            <m:oMath>
              <m:r>
                <m:rPr>
                  <m:sty m:val="p"/>
                </m:rPr>
                <m:t>&lt;</m:t>
              </m:r>
            </m:oMath>
            <w:r>
              <w:t xml:space="preserve">0.001</w:t>
            </w:r>
          </w:p>
        </w:tc>
      </w:tr>
    </w:tbl>
    <w:bookmarkEnd w:id="96"/>
    <w:p>
      <w:pPr>
        <w:pStyle w:val="BodyText"/>
      </w:pPr>
      <w:r>
        <w:rPr>
          <w:iCs/>
          <w:i/>
        </w:rPr>
        <w:t xml:space="preserve">Exact McNemar test of</w:t>
      </w:r>
      <w:r>
        <w:rPr>
          <w:iCs/>
          <w:i/>
        </w:rPr>
        <w:t xml:space="preserve"> </w:t>
      </w:r>
      <m:oMath>
        <m:r>
          <m:t>k</m:t>
        </m:r>
        <m:r>
          <m:rPr>
            <m:sty m:val="p"/>
          </m:rPr>
          <m:t>=</m:t>
        </m:r>
        <m:r>
          <m:t>1</m:t>
        </m:r>
      </m:oMath>
      <w:r>
        <w:rPr>
          <w:iCs/>
          <w:i/>
        </w:rPr>
        <w:t xml:space="preserve"> </w:t>
      </w:r>
      <w:r>
        <w:rPr>
          <w:iCs/>
          <w:i/>
        </w:rPr>
        <w:t xml:space="preserve">vs</w:t>
      </w:r>
      <w:r>
        <w:rPr>
          <w:iCs/>
          <w:i/>
        </w:rPr>
        <w:t xml:space="preserve"> </w:t>
      </w:r>
      <m:oMath>
        <m:r>
          <m:t>k</m:t>
        </m:r>
        <m:r>
          <m:rPr>
            <m:sty m:val="p"/>
          </m:rPr>
          <m:t>=</m:t>
        </m:r>
        <m:r>
          <m:t>5</m:t>
        </m:r>
      </m:oMath>
      <w:r>
        <w:rPr>
          <w:iCs/>
          <w:i/>
        </w:rPr>
        <w:t xml:space="preserve">, Holm over seven retrievers.</w:t>
      </w:r>
    </w:p>
    <w:bookmarkStart w:id="97" w:name="tab:mechanism"/>
    <w:p>
      <w:pPr>
        <w:pStyle w:val="TableCaption"/>
      </w:pPr>
      <w:r>
        <w:t xml:space="preserve">Distraction and position tests (Qwen reader, 500 NQ generation queries).</w:t>
      </w:r>
    </w:p>
    <w:tbl>
      <w:tblPr>
        <w:tblStyle w:val="Table"/>
        <w:tblW w:type="auto" w:w="0"/>
        <w:tblLook w:firstRow="1" w:lastRow="0" w:firstColumn="0" w:lastColumn="0" w:noHBand="0" w:noVBand="0" w:val="0020"/>
        <w:jc w:val="start"/>
        <w:tblCaption w:val="Distraction and position tests (Qwen reader, 500 NQ generation queries)."/>
      </w:tblPr>
      <w:tblGrid>
        <w:gridCol w:w="1980"/>
        <w:gridCol w:w="1980"/>
        <w:gridCol w:w="1980"/>
        <w:gridCol w:w="1980"/>
      </w:tblGrid>
      <w:tr>
        <w:trPr>
          <w:tblHeader w:val="true"/>
        </w:trPr>
        <w:tc>
          <w:tcPr/>
          <w:p>
            <w:pPr>
              <w:pStyle w:val="Compact"/>
              <w:jc w:val="left"/>
            </w:pPr>
            <w:r>
              <w:t xml:space="preserve">Context (5 passages)</w:t>
            </w:r>
          </w:p>
        </w:tc>
        <w:tc>
          <w:tcPr/>
          <w:p>
            <w:pPr>
              <w:pStyle w:val="Compact"/>
              <w:jc w:val="center"/>
            </w:pPr>
            <w:r>
              <w:t xml:space="preserve">EM [95% CI]</w:t>
            </w:r>
          </w:p>
        </w:tc>
        <w:tc>
          <w:tcPr/>
          <w:p>
            <w:pPr>
              <w:pStyle w:val="Compact"/>
              <w:jc w:val="center"/>
            </w:pPr>
            <w:r>
              <w:t xml:space="preserve">F1</w:t>
            </w:r>
          </w:p>
        </w:tc>
        <w:tc>
          <w:tcPr/>
          <w:p>
            <w:pPr>
              <w:pStyle w:val="Compact"/>
              <w:jc w:val="center"/>
            </w:pPr>
            <w:r>
              <w:t xml:space="preserve">AC</w:t>
            </w:r>
          </w:p>
        </w:tc>
      </w:tr>
      <w:tr>
        <w:tc>
          <w:tcPr/>
          <w:p>
            <w:pPr>
              <w:pStyle w:val="Compact"/>
              <w:jc w:val="left"/>
            </w:pPr>
            <w:r>
              <w:t xml:space="preserve">Gold only</w:t>
            </w:r>
          </w:p>
        </w:tc>
        <w:tc>
          <w:tcPr/>
          <w:p>
            <w:pPr>
              <w:pStyle w:val="Compact"/>
              <w:jc w:val="center"/>
            </w:pPr>
            <w:r>
              <w:t xml:space="preserve">0.648 [0.604, 0.690]</w:t>
            </w:r>
          </w:p>
        </w:tc>
        <w:tc>
          <w:tcPr/>
          <w:p>
            <w:pPr>
              <w:pStyle w:val="Compact"/>
              <w:jc w:val="center"/>
            </w:pPr>
            <w:r>
              <w:t xml:space="preserve">0.772</w:t>
            </w:r>
          </w:p>
        </w:tc>
        <w:tc>
          <w:tcPr/>
          <w:p>
            <w:pPr>
              <w:pStyle w:val="Compact"/>
              <w:jc w:val="center"/>
            </w:pPr>
            <w:r>
              <w:t xml:space="preserve">0.770</w:t>
            </w:r>
          </w:p>
        </w:tc>
      </w:tr>
      <w:tr>
        <w:tc>
          <w:tcPr/>
          <w:p>
            <w:pPr>
              <w:pStyle w:val="Compact"/>
              <w:jc w:val="left"/>
            </w:pPr>
            <w:r>
              <w:t xml:space="preserve">Gold@1 + 4 random</w:t>
            </w:r>
          </w:p>
        </w:tc>
        <w:tc>
          <w:tcPr/>
          <w:p>
            <w:pPr>
              <w:pStyle w:val="Compact"/>
              <w:jc w:val="center"/>
            </w:pPr>
            <w:r>
              <w:t xml:space="preserve">0.654 [0.612, 0.696]</w:t>
            </w:r>
          </w:p>
        </w:tc>
        <w:tc>
          <w:tcPr/>
          <w:p>
            <w:pPr>
              <w:pStyle w:val="Compact"/>
              <w:jc w:val="center"/>
            </w:pPr>
            <w:r>
              <w:t xml:space="preserve">0.777</w:t>
            </w:r>
          </w:p>
        </w:tc>
        <w:tc>
          <w:tcPr/>
          <w:p>
            <w:pPr>
              <w:pStyle w:val="Compact"/>
              <w:jc w:val="center"/>
            </w:pPr>
            <w:r>
              <w:t xml:space="preserve">0.764</w:t>
            </w:r>
          </w:p>
        </w:tc>
      </w:tr>
      <w:tr>
        <w:tc>
          <w:tcPr/>
          <w:p>
            <w:pPr>
              <w:pStyle w:val="Compact"/>
              <w:jc w:val="left"/>
            </w:pPr>
            <w:r>
              <w:t xml:space="preserve">Gold@1 + 4 hard</w:t>
            </w:r>
          </w:p>
        </w:tc>
        <w:tc>
          <w:tcPr/>
          <w:p>
            <w:pPr>
              <w:pStyle w:val="Compact"/>
              <w:jc w:val="center"/>
            </w:pPr>
            <w:r>
              <w:t xml:space="preserve">0.580 [0.536, 0.624]</w:t>
            </w:r>
          </w:p>
        </w:tc>
        <w:tc>
          <w:tcPr/>
          <w:p>
            <w:pPr>
              <w:pStyle w:val="Compact"/>
              <w:jc w:val="center"/>
            </w:pPr>
            <w:r>
              <w:t xml:space="preserve">0.696</w:t>
            </w:r>
          </w:p>
        </w:tc>
        <w:tc>
          <w:tcPr/>
          <w:p>
            <w:pPr>
              <w:pStyle w:val="Compact"/>
              <w:jc w:val="center"/>
            </w:pPr>
            <w:r>
              <w:t xml:space="preserve">0.686</w:t>
            </w:r>
          </w:p>
        </w:tc>
      </w:tr>
      <w:tr>
        <w:tc>
          <w:tcPr/>
          <w:p>
            <w:pPr>
              <w:pStyle w:val="Compact"/>
              <w:jc w:val="left"/>
            </w:pPr>
            <w:r>
              <w:t xml:space="preserve">Gold@3 + 4 hard</w:t>
            </w:r>
          </w:p>
        </w:tc>
        <w:tc>
          <w:tcPr/>
          <w:p>
            <w:pPr>
              <w:pStyle w:val="Compact"/>
              <w:jc w:val="center"/>
            </w:pPr>
            <w:r>
              <w:t xml:space="preserve">0.564 [0.520, 0.608]</w:t>
            </w:r>
          </w:p>
        </w:tc>
        <w:tc>
          <w:tcPr/>
          <w:p>
            <w:pPr>
              <w:pStyle w:val="Compact"/>
              <w:jc w:val="center"/>
            </w:pPr>
            <w:r>
              <w:t xml:space="preserve">0.684</w:t>
            </w:r>
          </w:p>
        </w:tc>
        <w:tc>
          <w:tcPr/>
          <w:p>
            <w:pPr>
              <w:pStyle w:val="Compact"/>
              <w:jc w:val="center"/>
            </w:pPr>
            <w:r>
              <w:t xml:space="preserve">0.672</w:t>
            </w:r>
          </w:p>
        </w:tc>
      </w:tr>
      <w:tr>
        <w:tc>
          <w:tcPr/>
          <w:p>
            <w:pPr>
              <w:pStyle w:val="Compact"/>
              <w:jc w:val="left"/>
            </w:pPr>
            <w:r>
              <w:t xml:space="preserve">Gold@5 + 4 hard</w:t>
            </w:r>
          </w:p>
        </w:tc>
        <w:tc>
          <w:tcPr/>
          <w:p>
            <w:pPr>
              <w:pStyle w:val="Compact"/>
              <w:jc w:val="center"/>
            </w:pPr>
            <w:r>
              <w:t xml:space="preserve">0.578 [0.534, 0.622]</w:t>
            </w:r>
          </w:p>
        </w:tc>
        <w:tc>
          <w:tcPr/>
          <w:p>
            <w:pPr>
              <w:pStyle w:val="Compact"/>
              <w:jc w:val="center"/>
            </w:pPr>
            <w:r>
              <w:t xml:space="preserve">0.698</w:t>
            </w:r>
          </w:p>
        </w:tc>
        <w:tc>
          <w:tcPr/>
          <w:p>
            <w:pPr>
              <w:pStyle w:val="Compact"/>
              <w:jc w:val="center"/>
            </w:pPr>
            <w:r>
              <w:t xml:space="preserve">0.682</w:t>
            </w:r>
          </w:p>
        </w:tc>
      </w:tr>
    </w:tbl>
    <w:bookmarkEnd w:id="97"/>
    <w:p>
      <w:pPr>
        <w:pStyle w:val="BodyText"/>
      </w:pPr>
      <w:r>
        <w:rPr>
          <w:iCs/>
          <w:i/>
        </w:rPr>
        <w:t xml:space="preserve">Hard vs random negatives:</w:t>
      </w:r>
      <w:r>
        <w:rPr>
          <w:iCs/>
          <w:i/>
        </w:rPr>
        <w:t xml:space="preserve"> </w:t>
      </w:r>
      <m:oMath>
        <m:r>
          <m:t>Δ</m:t>
        </m:r>
      </m:oMath>
      <w:r>
        <w:rPr>
          <w:iCs/>
          <w:i/>
        </w:rPr>
        <w:t xml:space="preserve">EM =</w:t>
      </w:r>
      <w:r>
        <w:rPr>
          <w:iCs/>
          <w:i/>
        </w:rPr>
        <w:t xml:space="preserve"> </w:t>
      </w:r>
      <m:oMath>
        <m:r>
          <m:rPr>
            <m:sty m:val="p"/>
          </m:rPr>
          <m:t>−</m:t>
        </m:r>
      </m:oMath>
      <w:r>
        <w:rPr>
          <w:iCs/>
          <w:i/>
        </w:rPr>
        <w:t xml:space="preserve">0.074, exact McNemar</w:t>
      </w:r>
      <w:r>
        <w:rPr>
          <w:iCs/>
          <w:i/>
        </w:rPr>
        <w:t xml:space="preserve"> </w:t>
      </w:r>
      <m:oMath>
        <m:r>
          <m:t>p</m:t>
        </m:r>
      </m:oMath>
      <w:r>
        <w:rPr>
          <w:iCs/>
          <w:i/>
        </w:rPr>
        <w:t xml:space="preserve"> </w:t>
      </w:r>
      <w:r>
        <w:rPr>
          <w:iCs/>
          <w:i/>
        </w:rPr>
        <w:t xml:space="preserve">=</w:t>
      </w:r>
      <w:r>
        <w:rPr>
          <w:iCs/>
          <w:i/>
        </w:rPr>
        <w:t xml:space="preserve"> </w:t>
      </w:r>
      <m:oMath>
        <m:r>
          <m:t>2.2</m:t>
        </m:r>
        <m:r>
          <m:rPr>
            <m:sty m:val="p"/>
          </m:rPr>
          <m:t>×</m:t>
        </m:r>
        <m:sSup>
          <m:e>
            <m:r>
              <m:t>10</m:t>
            </m:r>
          </m:e>
          <m:sup>
            <m:r>
              <m:rPr>
                <m:sty m:val="p"/>
              </m:rPr>
              <m:t>−</m:t>
            </m:r>
            <m:r>
              <m:t>​</m:t>
            </m:r>
            <m:r>
              <m:t>5</m:t>
            </m:r>
          </m:sup>
        </m:sSup>
      </m:oMath>
      <w:r>
        <w:rPr>
          <w:iCs/>
          <w:i/>
        </w:rPr>
        <w:t xml:space="preserve">. Position: no pair differs after Holm.</w:t>
      </w:r>
    </w:p>
    <w:bookmarkEnd w:id="98"/>
    <w:bookmarkStart w:id="100" w:name="reranking"/>
    <w:p>
      <w:pPr>
        <w:pStyle w:val="Heading4"/>
      </w:pPr>
      <w:r>
        <w:t xml:space="preserve">Reranking</w:t>
      </w:r>
    </w:p>
    <w:p>
      <w:pPr>
        <w:pStyle w:val="FirstParagraph"/>
      </w:pPr>
      <w:r>
        <w:t xml:space="preserve">The cross-encoder raised the Hit@5 and EM of BM25 and lowered the Hit@5 of e5-base-v2 (Table </w:t>
      </w:r>
      <w:hyperlink w:anchor="tab:reranker">
        <w:r>
          <w:rPr>
            <w:rStyle w:val="Hyperlink"/>
          </w:rPr>
          <w:t xml:space="preserve">5</w:t>
        </w:r>
      </w:hyperlink>
      <w:r>
        <w:t xml:space="preserve">). On the NQ generation queries, reranking the BM25 top 50 raised Hit@5 by +0.304 and EM by +0.097 (both</w:t>
      </w:r>
      <w:r>
        <w:t xml:space="preserve"> </w:t>
      </w:r>
      <m:oMath>
        <m:r>
          <m:t>p</m:t>
        </m:r>
        <m:r>
          <m:rPr>
            <m:sty m:val="p"/>
          </m:rPr>
          <m:t>&lt;</m:t>
        </m:r>
        <m:r>
          <m:t>0.001</m:t>
        </m:r>
      </m:oMath>
      <w:r>
        <w:t xml:space="preserve">). Reranking the e5-base-v2 top 50 changed Hit@5 by −0.067 (</w:t>
      </w:r>
      <m:oMath>
        <m:r>
          <m:t>p</m:t>
        </m:r>
      </m:oMath>
      <w:r>
        <w:t xml:space="preserve"> </w:t>
      </w:r>
      <w:r>
        <w:t xml:space="preserve">=</w:t>
      </w:r>
      <w:r>
        <w:t xml:space="preserve"> </w:t>
      </w:r>
      <m:oMath>
        <m:r>
          <m:t>2.6</m:t>
        </m:r>
        <m:r>
          <m:rPr>
            <m:sty m:val="p"/>
          </m:rPr>
          <m:t>×</m:t>
        </m:r>
        <m:sSup>
          <m:e>
            <m:r>
              <m:t>10</m:t>
            </m:r>
          </m:e>
          <m:sup>
            <m:r>
              <m:rPr>
                <m:sty m:val="p"/>
              </m:rPr>
              <m:t>−</m:t>
            </m:r>
            <m:r>
              <m:t>12</m:t>
            </m:r>
          </m:sup>
        </m:sSup>
      </m:oMath>
      <w:r>
        <w:t xml:space="preserve">); for EM the change was −0.016 (</w:t>
      </w:r>
      <m:oMath>
        <m:r>
          <m:t>p</m:t>
        </m:r>
      </m:oMath>
      <w:r>
        <w:t xml:space="preserve"> </w:t>
      </w:r>
      <w:r>
        <w:t xml:space="preserve">= 0.069), and no difference was detected. Reranking cost a median of 208 to 249 ms per query on a T4. These results come from one reranker at one depth.</w:t>
      </w:r>
    </w:p>
    <w:bookmarkStart w:id="99" w:name="tab:reranker"/>
    <w:p>
      <w:pPr>
        <w:pStyle w:val="TableCaption"/>
      </w:pPr>
      <w:r>
        <w:t xml:space="preserve">Cross-encoder reranking (bge-reranker-base, top 50) on NQ.</w:t>
      </w:r>
    </w:p>
    <w:tbl>
      <w:tblPr>
        <w:tblStyle w:val="Table"/>
        <w:tblW w:type="auto" w:w="0"/>
        <w:tblLook w:firstRow="1" w:lastRow="0" w:firstColumn="0" w:lastColumn="0" w:noHBand="0" w:noVBand="0" w:val="0020"/>
        <w:jc w:val="start"/>
        <w:tblCaption w:val="Cross-encoder reranking (bge-reranker-base, top 50) on NQ."/>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center"/>
            </w:pPr>
            <w:r>
              <w:t xml:space="preserve">Hit@5</w:t>
            </w:r>
          </w:p>
        </w:tc>
        <w:tc>
          <w:tcPr/>
          <w:p>
            <w:pPr>
              <w:pStyle w:val="Compact"/>
              <w:jc w:val="center"/>
            </w:pPr>
            <w:r>
              <w:t xml:space="preserve">nDCG@10</w:t>
            </w:r>
          </w:p>
        </w:tc>
        <w:tc>
          <w:tcPr/>
          <w:p>
            <w:pPr>
              <w:pStyle w:val="Compact"/>
              <w:jc w:val="center"/>
            </w:pPr>
            <w:r>
              <w:t xml:space="preserve">EM</w:t>
            </w:r>
          </w:p>
        </w:tc>
        <w:tc>
          <w:tcPr/>
          <w:p>
            <w:pPr>
              <w:pStyle w:val="Compact"/>
              <w:jc w:val="center"/>
            </w:pPr>
            <w:r>
              <w:t xml:space="preserve">ms/query</w:t>
            </w:r>
          </w:p>
        </w:tc>
      </w:tr>
      <w:tr>
        <w:tc>
          <w:tcPr/>
          <w:p>
            <w:pPr>
              <w:pStyle w:val="Compact"/>
              <w:jc w:val="left"/>
            </w:pPr>
            <w:r>
              <w:t xml:space="preserve">BM25</w:t>
            </w:r>
          </w:p>
        </w:tc>
        <w:tc>
          <w:tcPr/>
          <w:p>
            <w:pPr>
              <w:pStyle w:val="Compact"/>
              <w:jc w:val="center"/>
            </w:pPr>
            <w:r>
              <w:t xml:space="preserve">0.373</w:t>
            </w:r>
          </w:p>
        </w:tc>
        <w:tc>
          <w:tcPr/>
          <w:p>
            <w:pPr>
              <w:pStyle w:val="Compact"/>
              <w:jc w:val="center"/>
            </w:pPr>
            <w:r>
              <w:t xml:space="preserve">0.284</w:t>
            </w:r>
          </w:p>
        </w:tc>
        <w:tc>
          <w:tcPr/>
          <w:p>
            <w:pPr>
              <w:pStyle w:val="Compact"/>
              <w:jc w:val="center"/>
            </w:pPr>
            <w:r>
              <w:t xml:space="preserve">0.360</w:t>
            </w:r>
          </w:p>
        </w:tc>
        <w:tc>
          <w:tcPr/>
          <w:p>
            <w:pPr>
              <w:pStyle w:val="Compact"/>
              <w:jc w:val="center"/>
            </w:pPr>
            <w:r>
              <w:t xml:space="preserve">–</w:t>
            </w:r>
          </w:p>
        </w:tc>
      </w:tr>
      <w:tr>
        <w:tc>
          <w:tcPr/>
          <w:p>
            <w:pPr>
              <w:pStyle w:val="Compact"/>
              <w:jc w:val="left"/>
            </w:pPr>
            <w:r>
              <w:t xml:space="preserve">BM25 + reranker</w:t>
            </w:r>
          </w:p>
        </w:tc>
        <w:tc>
          <w:tcPr/>
          <w:p>
            <w:pPr>
              <w:pStyle w:val="Compact"/>
              <w:jc w:val="center"/>
            </w:pPr>
            <w:r>
              <w:t xml:space="preserve">0.658</w:t>
            </w:r>
          </w:p>
        </w:tc>
        <w:tc>
          <w:tcPr/>
          <w:p>
            <w:pPr>
              <w:pStyle w:val="Compact"/>
              <w:jc w:val="center"/>
            </w:pPr>
            <w:r>
              <w:t xml:space="preserve">0.542</w:t>
            </w:r>
          </w:p>
        </w:tc>
        <w:tc>
          <w:tcPr/>
          <w:p>
            <w:pPr>
              <w:pStyle w:val="Compact"/>
              <w:jc w:val="center"/>
            </w:pPr>
            <w:r>
              <w:t xml:space="preserve">0.456</w:t>
            </w:r>
          </w:p>
        </w:tc>
        <w:tc>
          <w:tcPr/>
          <w:p>
            <w:pPr>
              <w:pStyle w:val="Compact"/>
              <w:jc w:val="center"/>
            </w:pPr>
            <w:r>
              <w:t xml:space="preserve">208</w:t>
            </w:r>
          </w:p>
        </w:tc>
      </w:tr>
      <w:tr>
        <w:tc>
          <w:tcPr/>
          <w:p>
            <w:pPr>
              <w:pStyle w:val="Compact"/>
              <w:jc w:val="left"/>
            </w:pPr>
            <w:r>
              <w:t xml:space="preserve">e5-base-v2</w:t>
            </w:r>
          </w:p>
        </w:tc>
        <w:tc>
          <w:tcPr/>
          <w:p>
            <w:pPr>
              <w:pStyle w:val="Compact"/>
              <w:jc w:val="center"/>
            </w:pPr>
            <w:r>
              <w:t xml:space="preserve">0.817</w:t>
            </w:r>
          </w:p>
        </w:tc>
        <w:tc>
          <w:tcPr/>
          <w:p>
            <w:pPr>
              <w:pStyle w:val="Compact"/>
              <w:jc w:val="center"/>
            </w:pPr>
            <w:r>
              <w:t xml:space="preserve">0.665</w:t>
            </w:r>
          </w:p>
        </w:tc>
        <w:tc>
          <w:tcPr/>
          <w:p>
            <w:pPr>
              <w:pStyle w:val="Compact"/>
              <w:jc w:val="center"/>
            </w:pPr>
            <w:r>
              <w:t xml:space="preserve">0.510</w:t>
            </w:r>
          </w:p>
        </w:tc>
        <w:tc>
          <w:tcPr/>
          <w:p>
            <w:pPr>
              <w:pStyle w:val="Compact"/>
              <w:jc w:val="center"/>
            </w:pPr>
            <w:r>
              <w:t xml:space="preserve">–</w:t>
            </w:r>
          </w:p>
        </w:tc>
      </w:tr>
      <w:tr>
        <w:tc>
          <w:tcPr/>
          <w:p>
            <w:pPr>
              <w:pStyle w:val="Compact"/>
              <w:jc w:val="left"/>
            </w:pPr>
            <w:r>
              <w:t xml:space="preserve">e5-base-v2 + reranker</w:t>
            </w:r>
          </w:p>
        </w:tc>
        <w:tc>
          <w:tcPr/>
          <w:p>
            <w:pPr>
              <w:pStyle w:val="Compact"/>
              <w:jc w:val="center"/>
            </w:pPr>
            <w:r>
              <w:t xml:space="preserve">0.742</w:t>
            </w:r>
          </w:p>
        </w:tc>
        <w:tc>
          <w:tcPr/>
          <w:p>
            <w:pPr>
              <w:pStyle w:val="Compact"/>
              <w:jc w:val="center"/>
            </w:pPr>
            <w:r>
              <w:t xml:space="preserve">0.601</w:t>
            </w:r>
          </w:p>
        </w:tc>
        <w:tc>
          <w:tcPr/>
          <w:p>
            <w:pPr>
              <w:pStyle w:val="Compact"/>
              <w:jc w:val="center"/>
            </w:pPr>
            <w:r>
              <w:t xml:space="preserve">0.494</w:t>
            </w:r>
          </w:p>
        </w:tc>
        <w:tc>
          <w:tcPr/>
          <w:p>
            <w:pPr>
              <w:pStyle w:val="Compact"/>
              <w:jc w:val="center"/>
            </w:pPr>
            <w:r>
              <w:t xml:space="preserve">249</w:t>
            </w:r>
          </w:p>
        </w:tc>
      </w:tr>
    </w:tbl>
    <w:bookmarkEnd w:id="99"/>
    <w:p>
      <w:pPr>
        <w:pStyle w:val="BodyText"/>
      </w:pPr>
      <w:r>
        <w:rPr>
          <w:iCs/>
          <w:i/>
        </w:rPr>
        <w:t xml:space="preserve">Retrieval on all 3,452 judged queries; EM on the 2,255 generation queries (Qwen). Latency: median per query, 50 pairs, one T4.</w:t>
      </w:r>
    </w:p>
    <w:bookmarkEnd w:id="100"/>
    <w:bookmarkEnd w:id="101"/>
    <w:bookmarkStart w:id="114" w:name="sec:res-cost"/>
    <w:p>
      <w:pPr>
        <w:pStyle w:val="Heading2"/>
      </w:pPr>
      <w:r>
        <w:t xml:space="preserve">Retrieval-stage cost and checks of the setup (RQ4)</w:t>
      </w:r>
    </w:p>
    <w:bookmarkStart w:id="106" w:name="encoding-cost"/>
    <w:p>
      <w:pPr>
        <w:pStyle w:val="Heading4"/>
      </w:pPr>
      <w:r>
        <w:t xml:space="preserve">Encoding cost</w:t>
      </w:r>
    </w:p>
    <w:p>
      <w:pPr>
        <w:pStyle w:val="FirstParagraph"/>
      </w:pPr>
      <w:r>
        <w:t xml:space="preserve">Table </w:t>
      </w:r>
      <w:hyperlink w:anchor="tab:cost">
        <w:r>
          <w:rPr>
            <w:rStyle w:val="Hyperlink"/>
          </w:rPr>
          <w:t xml:space="preserve">6</w:t>
        </w:r>
      </w:hyperlink>
      <w:r>
        <w:t xml:space="preserve"> </w:t>
      </w:r>
      <w:r>
        <w:t xml:space="preserve">gives the measured retrieval-stage cost; reader cost was not part of this measurement. Throughput fell from 1,807 passages per second for MiniLM-L6 to 66 for Qwen3-Embedding-0.6B, a factor of 27. e5-base-v2 encoded 2.9 times faster than bge-large. The five repetitions varied little (Table </w:t>
      </w:r>
      <w:hyperlink w:anchor="tab:cost">
        <w:r>
          <w:rPr>
            <w:rStyle w:val="Hyperlink"/>
          </w:rPr>
          <w:t xml:space="preserve">6</w:t>
        </w:r>
      </w:hyperlink>
      <w:r>
        <w:t xml:space="preserve">): no two encoders had overlapping throughput ranges. The closest pair, bge-base and e5-base-v2, share the same architecture size, and bge-base was 1.8% faster at the median. Query encoding took 6.0 to 52.2 ms per query; BM25 took 25.7 ms on the CPU. Fig. </w:t>
      </w:r>
      <w:hyperlink w:anchor="fig:cost">
        <w:r>
          <w:rPr>
            <w:rStyle w:val="Hyperlink"/>
          </w:rPr>
          <w:t xml:space="preserve">10</w:t>
        </w:r>
      </w:hyperlink>
      <w:r>
        <w:t xml:space="preserve"> </w:t>
      </w:r>
      <w:r>
        <w:t xml:space="preserve">relates throughput to EM averaged over the four cells. bge-large had the highest average EM (0.457), bge-base and e5-base-v2 followed at 0.447 with 2.9 times its throughput, and Qwen3-Embedding-0.6B (0.422) was both the slowest and below bge-small (0.432).</w:t>
      </w:r>
    </w:p>
    <w:p>
      <w:pPr>
        <w:pStyle w:val="CaptionedFigure"/>
      </w:pPr>
      <w:r>
        <w:drawing>
          <wp:inline>
            <wp:extent cx="2972564" cy="2256947"/>
            <wp:effectExtent b="0" l="0" r="0" t="0"/>
            <wp:docPr descr="" title="" id="103" name="Picture"/>
            <a:graphic>
              <a:graphicData uri="http://schemas.openxmlformats.org/drawingml/2006/picture">
                <pic:pic>
                  <pic:nvPicPr>
                    <pic:cNvPr descr="/home/claude/rag-embed-transfer/paper_figures/out/fig5_cost_quality.png" id="104" name="Picture"/>
                    <pic:cNvPicPr>
                      <a:picLocks noChangeArrowheads="1" noChangeAspect="1"/>
                    </pic:cNvPicPr>
                  </pic:nvPicPr>
                  <pic:blipFill>
                    <a:blip r:embed="rId102"/>
                    <a:stretch>
                      <a:fillRect/>
                    </a:stretch>
                  </pic:blipFill>
                  <pic:spPr bwMode="auto">
                    <a:xfrm>
                      <a:off x="0" y="0"/>
                      <a:ext cx="2972564" cy="2256947"/>
                    </a:xfrm>
                    <a:prstGeom prst="rect">
                      <a:avLst/>
                    </a:prstGeom>
                    <a:noFill/>
                    <a:ln w="9525">
                      <a:noFill/>
                      <a:headEnd/>
                      <a:tailEnd/>
                    </a:ln>
                  </pic:spPr>
                </pic:pic>
              </a:graphicData>
            </a:graphic>
          </wp:inline>
        </w:drawing>
      </w:r>
    </w:p>
    <w:p>
      <w:pPr>
        <w:pStyle w:val="ImageCaption"/>
      </w:pPr>
      <w:r>
        <w:t xml:space="preserve">Encoding throughput on one T4 GPU (median of five repetitions, log scale) against EM averaged over the four reader–dataset cells. The dashed line joins encoders that no other encoder beats on both axes.</w:t>
      </w:r>
    </w:p>
    <w:bookmarkStart w:id="105" w:name="tab:cost"/>
    <w:p>
      <w:pPr>
        <w:pStyle w:val="TableCaption"/>
      </w:pPr>
      <w:r>
        <w:t xml:space="preserve">Encoding cost on one Tesla T4, median (range) over five repetitions.</w:t>
      </w:r>
    </w:p>
    <w:tbl>
      <w:tblPr>
        <w:tblStyle w:val="Table"/>
        <w:tblW w:type="auto" w:w="0"/>
        <w:tblLook w:firstRow="1" w:lastRow="0" w:firstColumn="0" w:lastColumn="0" w:noHBand="0" w:noVBand="0" w:val="0020"/>
        <w:jc w:val="start"/>
        <w:tblCaption w:val="Encoding cost on one Tesla T4, median (range) over five repetitions."/>
      </w:tblPr>
      <w:tblGrid>
        <w:gridCol w:w="1584"/>
        <w:gridCol w:w="1584"/>
        <w:gridCol w:w="1584"/>
        <w:gridCol w:w="1584"/>
        <w:gridCol w:w="1584"/>
      </w:tblGrid>
      <w:tr>
        <w:trPr>
          <w:tblHeader w:val="true"/>
        </w:trPr>
        <w:tc>
          <w:tcPr/>
          <w:p>
            <w:pPr>
              <w:pStyle w:val="Compact"/>
              <w:jc w:val="left"/>
            </w:pPr>
            <w:r>
              <w:t xml:space="preserve">Encoder</w:t>
            </w:r>
          </w:p>
        </w:tc>
        <w:tc>
          <w:tcPr/>
          <w:p>
            <w:pPr>
              <w:pStyle w:val="Compact"/>
              <w:jc w:val="right"/>
            </w:pPr>
            <w:r>
              <w:t xml:space="preserve">Params (M)</w:t>
            </w:r>
          </w:p>
        </w:tc>
        <w:tc>
          <w:tcPr/>
          <w:p>
            <w:pPr>
              <w:pStyle w:val="Compact"/>
              <w:jc w:val="right"/>
            </w:pPr>
            <w:r>
              <w:t xml:space="preserve">Dim</w:t>
            </w:r>
          </w:p>
        </w:tc>
        <w:tc>
          <w:tcPr/>
          <w:p>
            <w:pPr>
              <w:pStyle w:val="Compact"/>
              <w:jc w:val="center"/>
            </w:pPr>
            <w:r>
              <w:t xml:space="preserve">Passages/s</w:t>
            </w:r>
          </w:p>
        </w:tc>
        <w:tc>
          <w:tcPr/>
          <w:p>
            <w:pPr>
              <w:pStyle w:val="Compact"/>
              <w:jc w:val="center"/>
            </w:pPr>
            <w:r>
              <w:t xml:space="preserve">Query ms</w:t>
            </w:r>
          </w:p>
        </w:tc>
      </w:tr>
      <w:tr>
        <w:tc>
          <w:tcPr/>
          <w:p>
            <w:pPr>
              <w:pStyle w:val="Compact"/>
              <w:jc w:val="left"/>
            </w:pPr>
            <w:r>
              <w:t xml:space="preserve">MiniLM-L6</w:t>
            </w:r>
          </w:p>
        </w:tc>
        <w:tc>
          <w:tcPr/>
          <w:p>
            <w:pPr>
              <w:pStyle w:val="Compact"/>
              <w:jc w:val="right"/>
            </w:pPr>
            <w:r>
              <w:t xml:space="preserve">23</w:t>
            </w:r>
          </w:p>
        </w:tc>
        <w:tc>
          <w:tcPr/>
          <w:p>
            <w:pPr>
              <w:pStyle w:val="Compact"/>
              <w:jc w:val="right"/>
            </w:pPr>
            <w:r>
              <w:t xml:space="preserve">384</w:t>
            </w:r>
          </w:p>
        </w:tc>
        <w:tc>
          <w:tcPr/>
          <w:p>
            <w:pPr>
              <w:pStyle w:val="Compact"/>
              <w:jc w:val="center"/>
            </w:pPr>
            <w:r>
              <w:t xml:space="preserve">1807 (1768–1863)</w:t>
            </w:r>
          </w:p>
        </w:tc>
        <w:tc>
          <w:tcPr/>
          <w:p>
            <w:pPr>
              <w:pStyle w:val="Compact"/>
              <w:jc w:val="center"/>
            </w:pPr>
            <w:r>
              <w:t xml:space="preserve">6.0 (6.0–6.1)</w:t>
            </w:r>
          </w:p>
        </w:tc>
      </w:tr>
      <w:tr>
        <w:tc>
          <w:tcPr/>
          <w:p>
            <w:pPr>
              <w:pStyle w:val="Compact"/>
              <w:jc w:val="left"/>
            </w:pPr>
            <w:r>
              <w:t xml:space="preserve">bge-small</w:t>
            </w:r>
          </w:p>
        </w:tc>
        <w:tc>
          <w:tcPr/>
          <w:p>
            <w:pPr>
              <w:pStyle w:val="Compact"/>
              <w:jc w:val="right"/>
            </w:pPr>
            <w:r>
              <w:t xml:space="preserve">33</w:t>
            </w:r>
          </w:p>
        </w:tc>
        <w:tc>
          <w:tcPr/>
          <w:p>
            <w:pPr>
              <w:pStyle w:val="Compact"/>
              <w:jc w:val="right"/>
            </w:pPr>
            <w:r>
              <w:t xml:space="preserve">384</w:t>
            </w:r>
          </w:p>
        </w:tc>
        <w:tc>
          <w:tcPr/>
          <w:p>
            <w:pPr>
              <w:pStyle w:val="Compact"/>
              <w:jc w:val="center"/>
            </w:pPr>
            <w:r>
              <w:t xml:space="preserve">1155 (1136–1207)</w:t>
            </w:r>
          </w:p>
        </w:tc>
        <w:tc>
          <w:tcPr/>
          <w:p>
            <w:pPr>
              <w:pStyle w:val="Compact"/>
              <w:jc w:val="center"/>
            </w:pPr>
            <w:r>
              <w:t xml:space="preserve">10.3 (10.1–10.3)</w:t>
            </w:r>
          </w:p>
        </w:tc>
      </w:tr>
      <w:tr>
        <w:tc>
          <w:tcPr/>
          <w:p>
            <w:pPr>
              <w:pStyle w:val="Compact"/>
              <w:jc w:val="left"/>
            </w:pPr>
            <w:r>
              <w:t xml:space="preserve">bge-base</w:t>
            </w:r>
          </w:p>
        </w:tc>
        <w:tc>
          <w:tcPr/>
          <w:p>
            <w:pPr>
              <w:pStyle w:val="Compact"/>
              <w:jc w:val="right"/>
            </w:pPr>
            <w:r>
              <w:t xml:space="preserve">109</w:t>
            </w:r>
          </w:p>
        </w:tc>
        <w:tc>
          <w:tcPr/>
          <w:p>
            <w:pPr>
              <w:pStyle w:val="Compact"/>
              <w:jc w:val="right"/>
            </w:pPr>
            <w:r>
              <w:t xml:space="preserve">768</w:t>
            </w:r>
          </w:p>
        </w:tc>
        <w:tc>
          <w:tcPr/>
          <w:p>
            <w:pPr>
              <w:pStyle w:val="Compact"/>
              <w:jc w:val="center"/>
            </w:pPr>
            <w:r>
              <w:t xml:space="preserve">502 (501–503)</w:t>
            </w:r>
          </w:p>
        </w:tc>
        <w:tc>
          <w:tcPr/>
          <w:p>
            <w:pPr>
              <w:pStyle w:val="Compact"/>
              <w:jc w:val="center"/>
            </w:pPr>
            <w:r>
              <w:t xml:space="preserve">10.0 (9.9–10.1)</w:t>
            </w:r>
          </w:p>
        </w:tc>
      </w:tr>
      <w:tr>
        <w:tc>
          <w:tcPr/>
          <w:p>
            <w:pPr>
              <w:pStyle w:val="Compact"/>
              <w:jc w:val="left"/>
            </w:pPr>
            <w:r>
              <w:t xml:space="preserve">e5-base-v2</w:t>
            </w:r>
          </w:p>
        </w:tc>
        <w:tc>
          <w:tcPr/>
          <w:p>
            <w:pPr>
              <w:pStyle w:val="Compact"/>
              <w:jc w:val="right"/>
            </w:pPr>
            <w:r>
              <w:t xml:space="preserve">109</w:t>
            </w:r>
          </w:p>
        </w:tc>
        <w:tc>
          <w:tcPr/>
          <w:p>
            <w:pPr>
              <w:pStyle w:val="Compact"/>
              <w:jc w:val="right"/>
            </w:pPr>
            <w:r>
              <w:t xml:space="preserve">768</w:t>
            </w:r>
          </w:p>
        </w:tc>
        <w:tc>
          <w:tcPr/>
          <w:p>
            <w:pPr>
              <w:pStyle w:val="Compact"/>
              <w:jc w:val="center"/>
            </w:pPr>
            <w:r>
              <w:t xml:space="preserve">493 (491–496)</w:t>
            </w:r>
          </w:p>
        </w:tc>
        <w:tc>
          <w:tcPr/>
          <w:p>
            <w:pPr>
              <w:pStyle w:val="Compact"/>
              <w:jc w:val="center"/>
            </w:pPr>
            <w:r>
              <w:t xml:space="preserve">10.0 (9.9–10.1)</w:t>
            </w:r>
          </w:p>
        </w:tc>
      </w:tr>
      <w:tr>
        <w:tc>
          <w:tcPr/>
          <w:p>
            <w:pPr>
              <w:pStyle w:val="Compact"/>
              <w:jc w:val="left"/>
            </w:pPr>
            <w:r>
              <w:t xml:space="preserve">bge-large</w:t>
            </w:r>
          </w:p>
        </w:tc>
        <w:tc>
          <w:tcPr/>
          <w:p>
            <w:pPr>
              <w:pStyle w:val="Compact"/>
              <w:jc w:val="right"/>
            </w:pPr>
            <w:r>
              <w:t xml:space="preserve">335</w:t>
            </w:r>
          </w:p>
        </w:tc>
        <w:tc>
          <w:tcPr/>
          <w:p>
            <w:pPr>
              <w:pStyle w:val="Compact"/>
              <w:jc w:val="right"/>
            </w:pPr>
            <w:r>
              <w:t xml:space="preserve">1024</w:t>
            </w:r>
          </w:p>
        </w:tc>
        <w:tc>
          <w:tcPr/>
          <w:p>
            <w:pPr>
              <w:pStyle w:val="Compact"/>
              <w:jc w:val="center"/>
            </w:pPr>
            <w:r>
              <w:t xml:space="preserve">168 (168–169)</w:t>
            </w:r>
          </w:p>
        </w:tc>
        <w:tc>
          <w:tcPr/>
          <w:p>
            <w:pPr>
              <w:pStyle w:val="Compact"/>
              <w:jc w:val="center"/>
            </w:pPr>
            <w:r>
              <w:t xml:space="preserve">18.3 (18.3–18.6)</w:t>
            </w:r>
          </w:p>
        </w:tc>
      </w:tr>
      <w:tr>
        <w:tc>
          <w:tcPr/>
          <w:p>
            <w:pPr>
              <w:pStyle w:val="Compact"/>
              <w:jc w:val="left"/>
            </w:pPr>
            <w:r>
              <w:t xml:space="preserve">Qwen3-Emb-0.6B</w:t>
            </w:r>
          </w:p>
        </w:tc>
        <w:tc>
          <w:tcPr/>
          <w:p>
            <w:pPr>
              <w:pStyle w:val="Compact"/>
              <w:jc w:val="right"/>
            </w:pPr>
            <w:r>
              <w:t xml:space="preserve">596</w:t>
            </w:r>
          </w:p>
        </w:tc>
        <w:tc>
          <w:tcPr/>
          <w:p>
            <w:pPr>
              <w:pStyle w:val="Compact"/>
              <w:jc w:val="right"/>
            </w:pPr>
            <w:r>
              <w:t xml:space="preserve">1024</w:t>
            </w:r>
          </w:p>
        </w:tc>
        <w:tc>
          <w:tcPr/>
          <w:p>
            <w:pPr>
              <w:pStyle w:val="Compact"/>
              <w:jc w:val="center"/>
            </w:pPr>
            <w:r>
              <w:t xml:space="preserve">66 (66–66)</w:t>
            </w:r>
          </w:p>
        </w:tc>
        <w:tc>
          <w:tcPr/>
          <w:p>
            <w:pPr>
              <w:pStyle w:val="Compact"/>
              <w:jc w:val="center"/>
            </w:pPr>
            <w:r>
              <w:t xml:space="preserve">52.2 (51.8–54.9)</w:t>
            </w:r>
          </w:p>
        </w:tc>
      </w:tr>
    </w:tbl>
    <w:bookmarkEnd w:id="105"/>
    <w:p>
      <w:pPr>
        <w:pStyle w:val="BodyText"/>
      </w:pPr>
      <w:r>
        <w:rPr>
          <w:iCs/>
          <w:i/>
        </w:rPr>
        <w:t xml:space="preserve">BM25 batch-1 query latency on CPU: 25.7 ms (23.7–27.7).</w:t>
      </w:r>
    </w:p>
    <w:bookmarkEnd w:id="106"/>
    <w:bookmarkStart w:id="107" w:name="cpu-deployment"/>
    <w:p>
      <w:pPr>
        <w:pStyle w:val="Heading4"/>
      </w:pPr>
      <w:r>
        <w:t xml:space="preserve">CPU deployment</w:t>
      </w:r>
    </w:p>
    <w:p>
      <w:pPr>
        <w:pStyle w:val="FirstParagraph"/>
      </w:pPr>
      <w:r>
        <w:t xml:space="preserve">Phase 1 also measured single-query latency with encoding and exact search on the CPU, index size and full sub-corpus encoding time (single measurements). These operational details, with the CPU quality–latency frontier, are in Appendix </w:t>
      </w:r>
      <w:hyperlink w:anchor="app:deploy">
        <w:r>
          <w:rPr>
            <w:rStyle w:val="Hyperlink"/>
          </w:rPr>
          <w:t xml:space="preserve">13</w:t>
        </w:r>
      </w:hyperlink>
      <w:r>
        <w:t xml:space="preserve">.</w:t>
      </w:r>
    </w:p>
    <w:bookmarkEnd w:id="107"/>
    <w:bookmarkStart w:id="108" w:name="approximate-search"/>
    <w:p>
      <w:pPr>
        <w:pStyle w:val="Heading4"/>
      </w:pPr>
      <w:r>
        <w:t xml:space="preserve">Approximate search</w:t>
      </w:r>
    </w:p>
    <w:p>
      <w:pPr>
        <w:pStyle w:val="FirstParagraph"/>
      </w:pPr>
      <w:r>
        <w:t xml:space="preserve">HNSW search kept the exact top five almost unchanged (Table </w:t>
      </w:r>
      <w:hyperlink w:anchor="tab:hnsw">
        <w:r>
          <w:rPr>
            <w:rStyle w:val="Hyperlink"/>
          </w:rPr>
          <w:t xml:space="preserve">[tab:hnsw]</w:t>
        </w:r>
      </w:hyperlink>
      <w:r>
        <w:t xml:space="preserve">). At efSearch 128, HNSW returned at least 0.996 of the exact top five and 0.964 of the exact top 100 (mean shares over all 3,452 judged queries), Hit@5 changed by at most 0.0023, and the median query latency on the CPU fell from 36–78 ms to 0.84–1.45 ms. We did not run the readers on HNSW results, so this check covers retrieval and latency only.</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pPr>
          </w:p>
        </w:tc>
        <w:tc>
          <w:tcPr>
            <w:gridSpan w:val="2"/>
          </w:tcPr>
          <w:p>
            <w:pPr>
              <w:pStyle w:val="Compact"/>
              <w:jc w:val="center"/>
            </w:pPr>
            <w:r>
              <w:t xml:space="preserve">Exact</w:t>
            </w:r>
          </w:p>
        </w:tc>
        <w:tc>
          <w:tcPr>
            <w:gridSpan w:val="4"/>
          </w:tcPr>
          <w:p>
            <w:pPr>
              <w:pStyle w:val="Compact"/>
              <w:jc w:val="center"/>
            </w:pPr>
            <w:r>
              <w:t xml:space="preserve">HNSW efSearch 64</w:t>
            </w:r>
          </w:p>
        </w:tc>
        <w:tc>
          <w:tcPr>
            <w:gridSpan w:val="4"/>
          </w:tcPr>
          <w:p>
            <w:pPr>
              <w:pStyle w:val="Compact"/>
              <w:jc w:val="center"/>
            </w:pPr>
            <w:r>
              <w:t xml:space="preserve">HNSW efSearch 128</w:t>
            </w:r>
          </w:p>
        </w:tc>
      </w:tr>
      <w:tr>
        <w:tc>
          <w:tcPr/>
          <w:p>
            <w:pPr>
              <w:pStyle w:val="Compact"/>
              <w:jc w:val="left"/>
            </w:pPr>
            <w:r>
              <w:t xml:space="preserve">2-3</w:t>
            </w:r>
            <w:r>
              <w:t xml:space="preserve">(lr)</w:t>
            </w:r>
            <w:r>
              <w:t xml:space="preserve">4-7</w:t>
            </w:r>
            <w:r>
              <w:t xml:space="preserve">(lr)</w:t>
            </w:r>
            <w:r>
              <w:t xml:space="preserve">8-11</w:t>
            </w:r>
            <w:r>
              <w:t xml:space="preserve"> </w:t>
            </w:r>
            <w:r>
              <w:t xml:space="preserve">Encoder</w:t>
            </w:r>
          </w:p>
        </w:tc>
        <w:tc>
          <w:tcPr/>
          <w:p>
            <w:pPr>
              <w:pStyle w:val="Compact"/>
              <w:jc w:val="center"/>
            </w:pPr>
            <w:r>
              <w:t xml:space="preserve">Hit@5</w:t>
            </w:r>
          </w:p>
        </w:tc>
        <w:tc>
          <w:tcPr/>
          <w:p>
            <w:pPr>
              <w:pStyle w:val="Compact"/>
              <w:jc w:val="center"/>
            </w:pPr>
            <w:r>
              <w:t xml:space="preserve">ms</w:t>
            </w:r>
          </w:p>
        </w:tc>
        <w:tc>
          <w:tcPr/>
          <w:p>
            <w:pPr>
              <w:pStyle w:val="Compact"/>
              <w:jc w:val="center"/>
            </w:pPr>
            <w:r>
              <w:t xml:space="preserve">Ov@5</w:t>
            </w:r>
          </w:p>
        </w:tc>
        <w:tc>
          <w:tcPr/>
          <w:p>
            <w:pPr>
              <w:pStyle w:val="Compact"/>
              <w:jc w:val="center"/>
            </w:pPr>
            <w:r>
              <w:t xml:space="preserve">Ov@100</w:t>
            </w:r>
          </w:p>
        </w:tc>
        <w:tc>
          <w:tcPr/>
          <w:p>
            <w:pPr>
              <w:pStyle w:val="Compact"/>
              <w:jc w:val="center"/>
            </w:pPr>
            <w:r>
              <w:t xml:space="preserve">Hit@5</w:t>
            </w:r>
          </w:p>
        </w:tc>
        <w:tc>
          <w:tcPr/>
          <w:p>
            <w:pPr>
              <w:pStyle w:val="Compact"/>
              <w:jc w:val="center"/>
            </w:pPr>
            <w:r>
              <w:t xml:space="preserve">ms</w:t>
            </w:r>
          </w:p>
        </w:tc>
        <w:tc>
          <w:tcPr/>
          <w:p>
            <w:pPr>
              <w:pStyle w:val="Compact"/>
              <w:jc w:val="center"/>
            </w:pPr>
            <w:r>
              <w:t xml:space="preserve">Ov@5</w:t>
            </w:r>
          </w:p>
        </w:tc>
        <w:tc>
          <w:tcPr/>
          <w:p>
            <w:pPr>
              <w:pStyle w:val="Compact"/>
              <w:jc w:val="center"/>
            </w:pPr>
            <w:r>
              <w:t xml:space="preserve">Ov@100</w:t>
            </w:r>
          </w:p>
        </w:tc>
        <w:tc>
          <w:tcPr/>
          <w:p>
            <w:pPr>
              <w:pStyle w:val="Compact"/>
              <w:jc w:val="center"/>
            </w:pPr>
            <w:r>
              <w:t xml:space="preserve">Hit@5</w:t>
            </w:r>
          </w:p>
        </w:tc>
        <w:tc>
          <w:tcPr/>
          <w:p>
            <w:pPr>
              <w:pStyle w:val="Compact"/>
              <w:jc w:val="center"/>
            </w:pPr>
            <w:r>
              <w:t xml:space="preserve">ms</w:t>
            </w:r>
          </w:p>
        </w:tc>
      </w:tr>
      <w:tr>
        <w:tc>
          <w:tcPr/>
          <w:p>
            <w:pPr>
              <w:pStyle w:val="Compact"/>
              <w:jc w:val="left"/>
            </w:pPr>
            <w:r>
              <w:t xml:space="preserve">MiniLM-L6</w:t>
            </w:r>
          </w:p>
        </w:tc>
        <w:tc>
          <w:tcPr/>
          <w:p>
            <w:pPr>
              <w:pStyle w:val="Compact"/>
              <w:jc w:val="center"/>
            </w:pPr>
            <w:r>
              <w:t xml:space="preserve">0.673</w:t>
            </w:r>
          </w:p>
        </w:tc>
        <w:tc>
          <w:tcPr/>
          <w:p>
            <w:pPr>
              <w:pStyle w:val="Compact"/>
              <w:jc w:val="center"/>
            </w:pPr>
            <w:r>
              <w:t xml:space="preserve">35.9</w:t>
            </w:r>
          </w:p>
        </w:tc>
        <w:tc>
          <w:tcPr/>
          <w:p>
            <w:pPr>
              <w:pStyle w:val="Compact"/>
              <w:jc w:val="center"/>
            </w:pPr>
            <w:r>
              <w:t xml:space="preserve">0.998</w:t>
            </w:r>
          </w:p>
        </w:tc>
        <w:tc>
          <w:tcPr/>
          <w:p>
            <w:pPr>
              <w:pStyle w:val="Compact"/>
              <w:jc w:val="center"/>
            </w:pPr>
            <w:r>
              <w:t xml:space="preserve">0.946</w:t>
            </w:r>
          </w:p>
        </w:tc>
        <w:tc>
          <w:tcPr/>
          <w:p>
            <w:pPr>
              <w:pStyle w:val="Compact"/>
              <w:jc w:val="center"/>
            </w:pPr>
            <w:r>
              <w:t xml:space="preserve">0.672</w:t>
            </w:r>
          </w:p>
        </w:tc>
        <w:tc>
          <w:tcPr/>
          <w:p>
            <w:pPr>
              <w:pStyle w:val="Compact"/>
              <w:jc w:val="center"/>
            </w:pPr>
            <w:r>
              <w:t xml:space="preserve">0.50</w:t>
            </w:r>
          </w:p>
        </w:tc>
        <w:tc>
          <w:tcPr/>
          <w:p>
            <w:pPr>
              <w:pStyle w:val="Compact"/>
              <w:jc w:val="center"/>
            </w:pPr>
            <w:r>
              <w:t xml:space="preserve">0.999</w:t>
            </w:r>
          </w:p>
        </w:tc>
        <w:tc>
          <w:tcPr/>
          <w:p>
            <w:pPr>
              <w:pStyle w:val="Compact"/>
              <w:jc w:val="center"/>
            </w:pPr>
            <w:r>
              <w:t xml:space="preserve">0.984</w:t>
            </w:r>
          </w:p>
        </w:tc>
        <w:tc>
          <w:tcPr/>
          <w:p>
            <w:pPr>
              <w:pStyle w:val="Compact"/>
              <w:jc w:val="center"/>
            </w:pPr>
            <w:r>
              <w:t xml:space="preserve">0.673</w:t>
            </w:r>
          </w:p>
        </w:tc>
        <w:tc>
          <w:tcPr/>
          <w:p>
            <w:pPr>
              <w:pStyle w:val="Compact"/>
              <w:jc w:val="center"/>
            </w:pPr>
            <w:r>
              <w:t xml:space="preserve">0.84</w:t>
            </w:r>
          </w:p>
        </w:tc>
      </w:tr>
      <w:tr>
        <w:tc>
          <w:tcPr/>
          <w:p>
            <w:pPr>
              <w:pStyle w:val="Compact"/>
              <w:jc w:val="left"/>
            </w:pPr>
            <w:r>
              <w:t xml:space="preserve">bge-small</w:t>
            </w:r>
          </w:p>
        </w:tc>
        <w:tc>
          <w:tcPr/>
          <w:p>
            <w:pPr>
              <w:pStyle w:val="Compact"/>
              <w:jc w:val="center"/>
            </w:pPr>
            <w:r>
              <w:t xml:space="preserve">0.729</w:t>
            </w:r>
          </w:p>
        </w:tc>
        <w:tc>
          <w:tcPr/>
          <w:p>
            <w:pPr>
              <w:pStyle w:val="Compact"/>
              <w:jc w:val="center"/>
            </w:pPr>
            <w:r>
              <w:t xml:space="preserve">36.3</w:t>
            </w:r>
          </w:p>
        </w:tc>
        <w:tc>
          <w:tcPr/>
          <w:p>
            <w:pPr>
              <w:pStyle w:val="Compact"/>
              <w:jc w:val="center"/>
            </w:pPr>
            <w:r>
              <w:t xml:space="preserve">0.992</w:t>
            </w:r>
          </w:p>
        </w:tc>
        <w:tc>
          <w:tcPr/>
          <w:p>
            <w:pPr>
              <w:pStyle w:val="Compact"/>
              <w:jc w:val="center"/>
            </w:pPr>
            <w:r>
              <w:t xml:space="preserve">0.904</w:t>
            </w:r>
          </w:p>
        </w:tc>
        <w:tc>
          <w:tcPr/>
          <w:p>
            <w:pPr>
              <w:pStyle w:val="Compact"/>
              <w:jc w:val="center"/>
            </w:pPr>
            <w:r>
              <w:t xml:space="preserve">0.726</w:t>
            </w:r>
          </w:p>
        </w:tc>
        <w:tc>
          <w:tcPr/>
          <w:p>
            <w:pPr>
              <w:pStyle w:val="Compact"/>
              <w:jc w:val="center"/>
            </w:pPr>
            <w:r>
              <w:t xml:space="preserve">0.49</w:t>
            </w:r>
          </w:p>
        </w:tc>
        <w:tc>
          <w:tcPr/>
          <w:p>
            <w:pPr>
              <w:pStyle w:val="Compact"/>
              <w:jc w:val="center"/>
            </w:pPr>
            <w:r>
              <w:t xml:space="preserve">0.996</w:t>
            </w:r>
          </w:p>
        </w:tc>
        <w:tc>
          <w:tcPr/>
          <w:p>
            <w:pPr>
              <w:pStyle w:val="Compact"/>
              <w:jc w:val="center"/>
            </w:pPr>
            <w:r>
              <w:t xml:space="preserve">0.964</w:t>
            </w:r>
          </w:p>
        </w:tc>
        <w:tc>
          <w:tcPr/>
          <w:p>
            <w:pPr>
              <w:pStyle w:val="Compact"/>
              <w:jc w:val="center"/>
            </w:pPr>
            <w:r>
              <w:t xml:space="preserve">0.727</w:t>
            </w:r>
          </w:p>
        </w:tc>
        <w:tc>
          <w:tcPr/>
          <w:p>
            <w:pPr>
              <w:pStyle w:val="Compact"/>
              <w:jc w:val="center"/>
            </w:pPr>
            <w:r>
              <w:t xml:space="preserve">0.89</w:t>
            </w:r>
          </w:p>
        </w:tc>
      </w:tr>
      <w:tr>
        <w:tc>
          <w:tcPr/>
          <w:p>
            <w:pPr>
              <w:pStyle w:val="Compact"/>
              <w:jc w:val="left"/>
            </w:pPr>
            <w:r>
              <w:t xml:space="preserve">e5-base-v2</w:t>
            </w:r>
          </w:p>
        </w:tc>
        <w:tc>
          <w:tcPr/>
          <w:p>
            <w:pPr>
              <w:pStyle w:val="Compact"/>
              <w:jc w:val="center"/>
            </w:pPr>
            <w:r>
              <w:t xml:space="preserve">0.817</w:t>
            </w:r>
          </w:p>
        </w:tc>
        <w:tc>
          <w:tcPr/>
          <w:p>
            <w:pPr>
              <w:pStyle w:val="Compact"/>
              <w:jc w:val="center"/>
            </w:pPr>
            <w:r>
              <w:t xml:space="preserve">77.7</w:t>
            </w:r>
          </w:p>
        </w:tc>
        <w:tc>
          <w:tcPr/>
          <w:p>
            <w:pPr>
              <w:pStyle w:val="Compact"/>
              <w:jc w:val="center"/>
            </w:pPr>
            <w:r>
              <w:t xml:space="preserve">0.995</w:t>
            </w:r>
          </w:p>
        </w:tc>
        <w:tc>
          <w:tcPr/>
          <w:p>
            <w:pPr>
              <w:pStyle w:val="Compact"/>
              <w:jc w:val="center"/>
            </w:pPr>
            <w:r>
              <w:t xml:space="preserve">0.915</w:t>
            </w:r>
          </w:p>
        </w:tc>
        <w:tc>
          <w:tcPr/>
          <w:p>
            <w:pPr>
              <w:pStyle w:val="Compact"/>
              <w:jc w:val="center"/>
            </w:pPr>
            <w:r>
              <w:t xml:space="preserve">0.815</w:t>
            </w:r>
          </w:p>
        </w:tc>
        <w:tc>
          <w:tcPr/>
          <w:p>
            <w:pPr>
              <w:pStyle w:val="Compact"/>
              <w:jc w:val="center"/>
            </w:pPr>
            <w:r>
              <w:t xml:space="preserve">0.80</w:t>
            </w:r>
          </w:p>
        </w:tc>
        <w:tc>
          <w:tcPr/>
          <w:p>
            <w:pPr>
              <w:pStyle w:val="Compact"/>
              <w:jc w:val="center"/>
            </w:pPr>
            <w:r>
              <w:t xml:space="preserve">0.997</w:t>
            </w:r>
          </w:p>
        </w:tc>
        <w:tc>
          <w:tcPr/>
          <w:p>
            <w:pPr>
              <w:pStyle w:val="Compact"/>
              <w:jc w:val="center"/>
            </w:pPr>
            <w:r>
              <w:t xml:space="preserve">0.970</w:t>
            </w:r>
          </w:p>
        </w:tc>
        <w:tc>
          <w:tcPr/>
          <w:p>
            <w:pPr>
              <w:pStyle w:val="Compact"/>
              <w:jc w:val="center"/>
            </w:pPr>
            <w:r>
              <w:t xml:space="preserve">0.817</w:t>
            </w:r>
          </w:p>
        </w:tc>
        <w:tc>
          <w:tcPr/>
          <w:p>
            <w:pPr>
              <w:pStyle w:val="Compact"/>
              <w:jc w:val="center"/>
            </w:pPr>
            <w:r>
              <w:t xml:space="preserve">1.45</w:t>
            </w:r>
          </w:p>
        </w:tc>
      </w:tr>
    </w:tbl>
    <w:p>
      <w:pPr>
        <w:pStyle w:val="BodyText"/>
      </w:pPr>
      <w:r>
        <w:rPr>
          <w:iCs/>
          <w:i/>
        </w:rPr>
        <w:t xml:space="preserve">Ov@5 / Ov@100: mean share of the exact top 5 / top 100 that HNSW also returns. Hit@5 here is over all judged queries, not the 2,255 generation queries. ms: median batch-1 query latency on 4 vCPUs. No reader was run on HNSW results.</w:t>
      </w:r>
    </w:p>
    <w:bookmarkEnd w:id="108"/>
    <w:bookmarkStart w:id="113" w:name="sub-corpus-versus-full-corpus"/>
    <w:p>
      <w:pPr>
        <w:pStyle w:val="Heading4"/>
      </w:pPr>
      <w:r>
        <w:t xml:space="preserve">Sub-corpus versus full corpus</w:t>
      </w:r>
    </w:p>
    <w:p>
      <w:pPr>
        <w:pStyle w:val="FirstParagraph"/>
      </w:pPr>
      <w:r>
        <w:t xml:space="preserve">On the full NQ corpus the four tested retrievers kept their nDCG@10 order (Kendall’s</w:t>
      </w:r>
      <w:r>
        <w:t xml:space="preserve"> </w:t>
      </w:r>
      <m:oMath>
        <m:r>
          <m:t>τ</m:t>
        </m:r>
      </m:oMath>
      <w:r>
        <w:t xml:space="preserve"> </w:t>
      </w:r>
      <w:r>
        <w:t xml:space="preserve">= 1.00; P3 criterion met; Table </w:t>
      </w:r>
      <w:hyperlink w:anchor="tab:fullcorpus">
        <w:r>
          <w:rPr>
            <w:rStyle w:val="Hyperlink"/>
          </w:rPr>
          <w:t xml:space="preserve">7</w:t>
        </w:r>
      </w:hyperlink>
      <w:r>
        <w:t xml:space="preserve"> </w:t>
      </w:r>
      <w:r>
        <w:t xml:space="preserve">and Fig. </w:t>
      </w:r>
      <w:hyperlink w:anchor="fig:fullcorpus">
        <w:r>
          <w:rPr>
            <w:rStyle w:val="Hyperlink"/>
          </w:rPr>
          <w:t xml:space="preserve">11</w:t>
        </w:r>
      </w:hyperlink>
      <w:r>
        <w:t xml:space="preserve">). The dense retrievers lost 0.083 to 0.086 in nDCG@10, and BM25 lost almost nothing (0.002). The sub-corpus therefore inflates absolute dense scores but not the order of these four retrievers. The drops also agree with the bias that the construction implies: the sub-corpus keeps BM25’s own top-ranked passages for every judged query but not those of the dense encoders, so it favours the dense encoders relative to BM25. Section </w:t>
      </w:r>
      <w:hyperlink w:anchor="sec:res-full">
        <w:r>
          <w:rPr>
            <w:rStyle w:val="Hyperlink"/>
          </w:rPr>
          <w:t xml:space="preserve">5.4</w:t>
        </w:r>
      </w:hyperlink>
      <w:r>
        <w:t xml:space="preserve"> </w:t>
      </w:r>
      <w:r>
        <w:t xml:space="preserve">gives the readers on full-corpus retrieval; HotpotQA was not run on its full corpus.</w:t>
      </w:r>
    </w:p>
    <w:p>
      <w:pPr>
        <w:pStyle w:val="CaptionedFigure"/>
      </w:pPr>
      <w:r>
        <w:drawing>
          <wp:inline>
            <wp:extent cx="2975622" cy="1544387"/>
            <wp:effectExtent b="0" l="0" r="0" t="0"/>
            <wp:docPr descr="" title="" id="110" name="Picture"/>
            <a:graphic>
              <a:graphicData uri="http://schemas.openxmlformats.org/drawingml/2006/picture">
                <pic:pic>
                  <pic:nvPicPr>
                    <pic:cNvPr descr="/home/claude/rag-embed-transfer/paper_figures/out/fig6_full_corpus.png" id="111" name="Picture"/>
                    <pic:cNvPicPr>
                      <a:picLocks noChangeArrowheads="1" noChangeAspect="1"/>
                    </pic:cNvPicPr>
                  </pic:nvPicPr>
                  <pic:blipFill>
                    <a:blip r:embed="rId109"/>
                    <a:stretch>
                      <a:fillRect/>
                    </a:stretch>
                  </pic:blipFill>
                  <pic:spPr bwMode="auto">
                    <a:xfrm>
                      <a:off x="0" y="0"/>
                      <a:ext cx="2975622" cy="1544387"/>
                    </a:xfrm>
                    <a:prstGeom prst="rect">
                      <a:avLst/>
                    </a:prstGeom>
                    <a:noFill/>
                    <a:ln w="9525">
                      <a:noFill/>
                      <a:headEnd/>
                      <a:tailEnd/>
                    </a:ln>
                  </pic:spPr>
                </pic:pic>
              </a:graphicData>
            </a:graphic>
          </wp:inline>
        </w:drawing>
      </w:r>
    </w:p>
    <w:p>
      <w:pPr>
        <w:pStyle w:val="ImageCaption"/>
      </w:pPr>
      <w:r>
        <w:t xml:space="preserve">nDCG@10 on the 300,000-passage sub-corpus and on the full NQ corpus (all 3,452 judged queries).</w:t>
      </w:r>
    </w:p>
    <w:bookmarkStart w:id="112" w:name="tab:fullcorpus"/>
    <w:p>
      <w:pPr>
        <w:pStyle w:val="TableCaption"/>
      </w:pPr>
      <w:r>
        <w:t xml:space="preserve">Sub-corpus (300k) vs full NQ corpus (2.68M), all 3,452 judged queries.</w:t>
      </w:r>
    </w:p>
    <w:tbl>
      <w:tblPr>
        <w:tblStyle w:val="Table"/>
        <w:tblW w:type="auto" w:w="0"/>
        <w:tblLook w:firstRow="1" w:lastRow="0" w:firstColumn="0" w:lastColumn="0" w:noHBand="0" w:noVBand="0" w:val="0020"/>
        <w:jc w:val="start"/>
        <w:tblCaption w:val="Sub-corpus (300k) vs full NQ corpus (2.68M), all 3,452 judged queries."/>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nDCG@10 sub</w:t>
            </w:r>
          </w:p>
        </w:tc>
        <w:tc>
          <w:tcPr/>
          <w:p>
            <w:pPr>
              <w:pStyle w:val="Compact"/>
              <w:jc w:val="center"/>
            </w:pPr>
            <w:r>
              <w:t xml:space="preserve">nDCG@10 full</w:t>
            </w:r>
          </w:p>
        </w:tc>
        <w:tc>
          <w:tcPr/>
          <w:p>
            <w:pPr>
              <w:pStyle w:val="Compact"/>
              <w:jc w:val="center"/>
            </w:pPr>
            <w:r>
              <w:t xml:space="preserve">Hit@5 sub</w:t>
            </w:r>
          </w:p>
        </w:tc>
        <w:tc>
          <w:tcPr/>
          <w:p>
            <w:pPr>
              <w:pStyle w:val="Compact"/>
              <w:jc w:val="center"/>
            </w:pPr>
            <w:r>
              <w:t xml:space="preserve">Hit@5 full</w:t>
            </w:r>
          </w:p>
        </w:tc>
      </w:tr>
      <w:tr>
        <w:tc>
          <w:tcPr/>
          <w:p>
            <w:pPr>
              <w:pStyle w:val="Compact"/>
              <w:jc w:val="left"/>
            </w:pPr>
            <w:r>
              <w:t xml:space="preserve">BM25</w:t>
            </w:r>
          </w:p>
        </w:tc>
        <w:tc>
          <w:tcPr/>
          <w:p>
            <w:pPr>
              <w:pStyle w:val="Compact"/>
              <w:jc w:val="center"/>
            </w:pPr>
            <w:r>
              <w:t xml:space="preserve">0.284</w:t>
            </w:r>
          </w:p>
        </w:tc>
        <w:tc>
          <w:tcPr/>
          <w:p>
            <w:pPr>
              <w:pStyle w:val="Compact"/>
              <w:jc w:val="center"/>
            </w:pPr>
            <w:r>
              <w:t xml:space="preserve">0.283</w:t>
            </w:r>
          </w:p>
        </w:tc>
        <w:tc>
          <w:tcPr/>
          <w:p>
            <w:pPr>
              <w:pStyle w:val="Compact"/>
              <w:jc w:val="center"/>
            </w:pPr>
            <w:r>
              <w:t xml:space="preserve">0.373</w:t>
            </w:r>
          </w:p>
        </w:tc>
        <w:tc>
          <w:tcPr/>
          <w:p>
            <w:pPr>
              <w:pStyle w:val="Compact"/>
              <w:jc w:val="center"/>
            </w:pPr>
            <w:r>
              <w:t xml:space="preserve">0.373</w:t>
            </w:r>
          </w:p>
        </w:tc>
      </w:tr>
      <w:tr>
        <w:tc>
          <w:tcPr/>
          <w:p>
            <w:pPr>
              <w:pStyle w:val="Compact"/>
              <w:jc w:val="left"/>
            </w:pPr>
            <w:r>
              <w:t xml:space="preserve">MiniLM-L6</w:t>
            </w:r>
          </w:p>
        </w:tc>
        <w:tc>
          <w:tcPr/>
          <w:p>
            <w:pPr>
              <w:pStyle w:val="Compact"/>
              <w:jc w:val="center"/>
            </w:pPr>
            <w:r>
              <w:t xml:space="preserve">0.525</w:t>
            </w:r>
          </w:p>
        </w:tc>
        <w:tc>
          <w:tcPr/>
          <w:p>
            <w:pPr>
              <w:pStyle w:val="Compact"/>
              <w:jc w:val="center"/>
            </w:pPr>
            <w:r>
              <w:t xml:space="preserve">0.439</w:t>
            </w:r>
          </w:p>
        </w:tc>
        <w:tc>
          <w:tcPr/>
          <w:p>
            <w:pPr>
              <w:pStyle w:val="Compact"/>
              <w:jc w:val="center"/>
            </w:pPr>
            <w:r>
              <w:t xml:space="preserve">0.673</w:t>
            </w:r>
          </w:p>
        </w:tc>
        <w:tc>
          <w:tcPr/>
          <w:p>
            <w:pPr>
              <w:pStyle w:val="Compact"/>
              <w:jc w:val="center"/>
            </w:pPr>
            <w:r>
              <w:t xml:space="preserve">0.571</w:t>
            </w:r>
          </w:p>
        </w:tc>
      </w:tr>
      <w:tr>
        <w:tc>
          <w:tcPr/>
          <w:p>
            <w:pPr>
              <w:pStyle w:val="Compact"/>
              <w:jc w:val="left"/>
            </w:pPr>
            <w:r>
              <w:t xml:space="preserve">bge-small</w:t>
            </w:r>
          </w:p>
        </w:tc>
        <w:tc>
          <w:tcPr/>
          <w:p>
            <w:pPr>
              <w:pStyle w:val="Compact"/>
              <w:jc w:val="center"/>
            </w:pPr>
            <w:r>
              <w:t xml:space="preserve">0.582</w:t>
            </w:r>
          </w:p>
        </w:tc>
        <w:tc>
          <w:tcPr/>
          <w:p>
            <w:pPr>
              <w:pStyle w:val="Compact"/>
              <w:jc w:val="center"/>
            </w:pPr>
            <w:r>
              <w:t xml:space="preserve">0.499</w:t>
            </w:r>
          </w:p>
        </w:tc>
        <w:tc>
          <w:tcPr/>
          <w:p>
            <w:pPr>
              <w:pStyle w:val="Compact"/>
              <w:jc w:val="center"/>
            </w:pPr>
            <w:r>
              <w:t xml:space="preserve">0.729</w:t>
            </w:r>
          </w:p>
        </w:tc>
        <w:tc>
          <w:tcPr/>
          <w:p>
            <w:pPr>
              <w:pStyle w:val="Compact"/>
              <w:jc w:val="center"/>
            </w:pPr>
            <w:r>
              <w:t xml:space="preserve">0.630</w:t>
            </w:r>
          </w:p>
        </w:tc>
      </w:tr>
      <w:tr>
        <w:tc>
          <w:tcPr/>
          <w:p>
            <w:pPr>
              <w:pStyle w:val="Compact"/>
              <w:jc w:val="left"/>
            </w:pPr>
            <w:r>
              <w:t xml:space="preserve">e5-base-v2</w:t>
            </w:r>
          </w:p>
        </w:tc>
        <w:tc>
          <w:tcPr/>
          <w:p>
            <w:pPr>
              <w:pStyle w:val="Compact"/>
              <w:jc w:val="center"/>
            </w:pPr>
            <w:r>
              <w:t xml:space="preserve">0.665</w:t>
            </w:r>
          </w:p>
        </w:tc>
        <w:tc>
          <w:tcPr/>
          <w:p>
            <w:pPr>
              <w:pStyle w:val="Compact"/>
              <w:jc w:val="center"/>
            </w:pPr>
            <w:r>
              <w:t xml:space="preserve">0.582</w:t>
            </w:r>
          </w:p>
        </w:tc>
        <w:tc>
          <w:tcPr/>
          <w:p>
            <w:pPr>
              <w:pStyle w:val="Compact"/>
              <w:jc w:val="center"/>
            </w:pPr>
            <w:r>
              <w:t xml:space="preserve">0.817</w:t>
            </w:r>
          </w:p>
        </w:tc>
        <w:tc>
          <w:tcPr/>
          <w:p>
            <w:pPr>
              <w:pStyle w:val="Compact"/>
              <w:jc w:val="center"/>
            </w:pPr>
            <w:r>
              <w:t xml:space="preserve">0.727</w:t>
            </w:r>
          </w:p>
        </w:tc>
      </w:tr>
    </w:tbl>
    <w:bookmarkEnd w:id="112"/>
    <w:p>
      <w:pPr>
        <w:pStyle w:val="BodyText"/>
      </w:pPr>
      <w:r>
        <w:rPr>
          <w:iCs/>
          <w:i/>
        </w:rPr>
        <w:t xml:space="preserve">Kendall’s</w:t>
      </w:r>
      <w:r>
        <w:rPr>
          <w:iCs/>
          <w:i/>
        </w:rPr>
        <w:t xml:space="preserve"> </w:t>
      </w:r>
      <m:oMath>
        <m:r>
          <m:t>τ</m:t>
        </m:r>
      </m:oMath>
      <w:r>
        <w:rPr>
          <w:iCs/>
          <w:i/>
        </w:rPr>
        <w:t xml:space="preserve"> </w:t>
      </w:r>
      <w:r>
        <w:rPr>
          <w:iCs/>
          <w:i/>
        </w:rPr>
        <w:t xml:space="preserve">between the two orderings = 1.00.</w:t>
      </w:r>
    </w:p>
    <w:bookmarkEnd w:id="113"/>
    <w:bookmarkEnd w:id="114"/>
    <w:bookmarkStart w:id="116" w:name="sec:res-judge"/>
    <w:p>
      <w:pPr>
        <w:pStyle w:val="Heading2"/>
      </w:pPr>
      <w:r>
        <w:t xml:space="preserve">LLM judge validation</w:t>
      </w:r>
    </w:p>
    <w:p>
      <w:pPr>
        <w:pStyle w:val="FirstParagraph"/>
      </w:pPr>
      <w:r>
        <w:t xml:space="preserve">The LLM judge agreed poorly with the author’s labels (Table </w:t>
      </w:r>
      <w:hyperlink w:anchor="tab:judge">
        <w:r>
          <w:rPr>
            <w:rStyle w:val="Hyperlink"/>
          </w:rPr>
          <w:t xml:space="preserve">8</w:t>
        </w:r>
      </w:hyperlink>
      <w:r>
        <w:t xml:space="preserve">). Cohen’s</w:t>
      </w:r>
      <w:r>
        <w:t xml:space="preserve"> </w:t>
      </w:r>
      <m:oMath>
        <m:r>
          <m:t>κ</m:t>
        </m:r>
      </m:oMath>
      <w:r>
        <w:t xml:space="preserve"> </w:t>
      </w:r>
      <w:r>
        <w:t xml:space="preserve">was 0.127 [−0.006, 0.261], with raw agreement 0.565. Weighted to the population, the judge labelled 0.886 of answers as supported, against 0.620 for the author, and its precision for the label supported was 0.636. Under the registered rule (</w:t>
      </w:r>
      <m:oMath>
        <m:r>
          <m:t>κ</m:t>
        </m:r>
        <m:r>
          <m:rPr>
            <m:sty m:val="p"/>
          </m:rPr>
          <m:t>&lt;</m:t>
        </m:r>
        <m:r>
          <m:t>0.2</m:t>
        </m:r>
      </m:oMath>
      <w:r>
        <w:t xml:space="preserve">) we excluded the judge’s faithfulness labels from all conclusions. For completeness, Table </w:t>
      </w:r>
      <w:hyperlink w:anchor="tab:judgerates">
        <w:r>
          <w:rPr>
            <w:rStyle w:val="Hyperlink"/>
          </w:rPr>
          <w:t xml:space="preserve">13</w:t>
        </w:r>
      </w:hyperlink>
      <w:r>
        <w:t xml:space="preserve"> </w:t>
      </w:r>
      <w:r>
        <w:t xml:space="preserve">in the appendix lists the share of answers the judge labelled as supported, and Appendix </w:t>
      </w:r>
      <w:hyperlink w:anchor="app:judge">
        <w:r>
          <w:rPr>
            <w:rStyle w:val="Hyperlink"/>
          </w:rPr>
          <w:t xml:space="preserve">10</w:t>
        </w:r>
      </w:hyperlink>
      <w:r>
        <w:t xml:space="preserve"> </w:t>
      </w:r>
      <w:r>
        <w:t xml:space="preserve">gives the judge prompt and the annotation instructions.</w:t>
      </w:r>
    </w:p>
    <w:bookmarkStart w:id="115" w:name="tab:judge"/>
    <w:p>
      <w:pPr>
        <w:pStyle w:val="TableCaption"/>
      </w:pPr>
      <w:r>
        <w:t xml:space="preserve">Agreement between the author’s labels and the LLM judge on 200 stratified items.</w:t>
      </w:r>
    </w:p>
    <w:tbl>
      <w:tblPr>
        <w:tblStyle w:val="Table"/>
        <w:tblW w:type="auto" w:w="0"/>
        <w:tblLook w:firstRow="1" w:lastRow="0" w:firstColumn="0" w:lastColumn="0" w:noHBand="0" w:noVBand="0" w:val="0020"/>
        <w:jc w:val="start"/>
        <w:tblCaption w:val="Agreement between the author’s labels and the LLM judge on 200 stratified items."/>
      </w:tblPr>
      <w:tblGrid>
        <w:gridCol w:w="2640"/>
        <w:gridCol w:w="2640"/>
        <w:gridCol w:w="2640"/>
      </w:tblGrid>
      <w:tr>
        <w:trPr>
          <w:tblHeader w:val="true"/>
        </w:trPr>
        <w:tc>
          <w:tcPr/>
          <w:p>
            <w:pPr>
              <w:pStyle w:val="Compact"/>
            </w:pPr>
          </w:p>
        </w:tc>
        <w:tc>
          <w:tcPr/>
          <w:p>
            <w:pPr>
              <w:pStyle w:val="Compact"/>
              <w:jc w:val="center"/>
            </w:pPr>
            <w:r>
              <w:t xml:space="preserve">Judge SUPPORTED</w:t>
            </w:r>
          </w:p>
        </w:tc>
        <w:tc>
          <w:tcPr/>
          <w:p>
            <w:pPr>
              <w:pStyle w:val="Compact"/>
              <w:jc w:val="center"/>
            </w:pPr>
            <w:r>
              <w:t xml:space="preserve">Judge NOT_SUPPORTED</w:t>
            </w:r>
          </w:p>
        </w:tc>
      </w:tr>
      <w:tr>
        <w:tc>
          <w:tcPr/>
          <w:p>
            <w:pPr>
              <w:pStyle w:val="Compact"/>
              <w:jc w:val="left"/>
            </w:pPr>
            <w:r>
              <w:t xml:space="preserve">Human SUPPORTED</w:t>
            </w:r>
          </w:p>
        </w:tc>
        <w:tc>
          <w:tcPr/>
          <w:p>
            <w:pPr>
              <w:pStyle w:val="Compact"/>
              <w:jc w:val="center"/>
            </w:pPr>
            <w:r>
              <w:t xml:space="preserve">65</w:t>
            </w:r>
          </w:p>
        </w:tc>
        <w:tc>
          <w:tcPr/>
          <w:p>
            <w:pPr>
              <w:pStyle w:val="Compact"/>
              <w:jc w:val="center"/>
            </w:pPr>
            <w:r>
              <w:t xml:space="preserve">50</w:t>
            </w:r>
          </w:p>
        </w:tc>
      </w:tr>
      <w:tr>
        <w:tc>
          <w:tcPr/>
          <w:p>
            <w:pPr>
              <w:pStyle w:val="Compact"/>
              <w:jc w:val="left"/>
            </w:pPr>
            <w:r>
              <w:t xml:space="preserve">Human NOT_SUPPORTED</w:t>
            </w:r>
          </w:p>
        </w:tc>
        <w:tc>
          <w:tcPr/>
          <w:p>
            <w:pPr>
              <w:pStyle w:val="Compact"/>
              <w:jc w:val="center"/>
            </w:pPr>
            <w:r>
              <w:t xml:space="preserve">37</w:t>
            </w:r>
          </w:p>
        </w:tc>
        <w:tc>
          <w:tcPr/>
          <w:p>
            <w:pPr>
              <w:pStyle w:val="Compact"/>
              <w:jc w:val="center"/>
            </w:pPr>
            <w:r>
              <w:t xml:space="preserve">48</w:t>
            </w:r>
          </w:p>
        </w:tc>
      </w:tr>
    </w:tbl>
    <w:bookmarkEnd w:id="115"/>
    <w:p>
      <w:pPr>
        <w:pStyle w:val="BodyText"/>
      </w:pPr>
      <w:r>
        <w:rPr>
          <w:iCs/>
          <w:i/>
        </w:rPr>
        <w:t xml:space="preserve">Cohen’s</w:t>
      </w:r>
      <w:r>
        <w:rPr>
          <w:iCs/>
          <w:i/>
        </w:rPr>
        <w:t xml:space="preserve"> </w:t>
      </w:r>
      <m:oMath>
        <m:r>
          <m:t>κ</m:t>
        </m:r>
      </m:oMath>
      <w:r>
        <w:rPr>
          <w:iCs/>
          <w:i/>
        </w:rPr>
        <w:t xml:space="preserve"> </w:t>
      </w:r>
      <w:r>
        <w:rPr>
          <w:iCs/>
          <w:i/>
        </w:rPr>
        <w:t xml:space="preserve">= 0.127 [</w:t>
      </w:r>
      <m:oMath>
        <m:r>
          <m:rPr>
            <m:sty m:val="p"/>
          </m:rPr>
          <m:t>−</m:t>
        </m:r>
      </m:oMath>
      <w:r>
        <w:rPr>
          <w:iCs/>
          <w:i/>
        </w:rPr>
        <w:t xml:space="preserve">0.006, 0.261]; raw agreement 0.565. Under the pre-registered rule (</w:t>
      </w:r>
      <m:oMath>
        <m:r>
          <m:t>κ</m:t>
        </m:r>
        <m:r>
          <m:rPr>
            <m:sty m:val="p"/>
          </m:rPr>
          <m:t>&lt;</m:t>
        </m:r>
        <m:r>
          <m:t>0.2</m:t>
        </m:r>
      </m:oMath>
      <w:r>
        <w:rPr>
          <w:iCs/>
          <w:i/>
        </w:rPr>
        <w:t xml:space="preserve">) the judge results are excluded from the conclusions.</w:t>
      </w:r>
    </w:p>
    <w:bookmarkEnd w:id="116"/>
    <w:bookmarkStart w:id="117" w:name="summary-of-the-predictions"/>
    <w:p>
      <w:pPr>
        <w:pStyle w:val="Heading2"/>
      </w:pPr>
      <w:r>
        <w:t xml:space="preserve">Summary of the predictions</w:t>
      </w:r>
    </w:p>
    <w:p>
      <w:pPr>
        <w:pStyle w:val="FirstParagraph"/>
      </w:pPr>
      <w:r>
        <w:t xml:space="preserve">Table </w:t>
      </w:r>
      <w:hyperlink w:anchor="tab:predictions">
        <w:r>
          <w:rPr>
            <w:rStyle w:val="Hyperlink"/>
          </w:rPr>
          <w:t xml:space="preserve">[tab:predictions]</w:t>
        </w:r>
      </w:hyperlink>
      <w:r>
        <w:t xml:space="preserve"> </w:t>
      </w:r>
      <w:r>
        <w:t xml:space="preserve">lists all eight registered criteria. P3, P4, P5, P7 and P8 were met. P1 was not met in one of three new cells (an upper bound of 1.000 or more), P2 was not met in either HotpotQA cell, and P6 was not met. Where a verdict is not confirmatory, the table marks it.</w:t>
      </w:r>
    </w:p>
    <w:tbl>
      <w:tblPr>
        <w:tblStyle w:val="Table"/>
        <w:tblW w:type="pct" w:w="2750"/>
        <w:tblLook w:firstRow="1" w:lastRow="0" w:firstColumn="0" w:lastColumn="0" w:noHBand="0" w:noVBand="0" w:val="0020"/>
        <w:jc w:val="start"/>
      </w:tblPr>
      <w:tblGrid>
        <w:gridCol w:w="0"/>
        <w:gridCol w:w="0"/>
        <w:gridCol w:w="0"/>
        <w:gridCol w:w="4356"/>
      </w:tblGrid>
      <w:tr>
        <w:trPr>
          <w:tblHeader w:val="true"/>
        </w:trPr>
        <w:tc>
          <w:tcPr/>
          <w:p>
            <w:pPr>
              <w:pStyle w:val="Compact"/>
              <w:jc w:val="left"/>
            </w:pPr>
            <w:r>
              <w:t xml:space="preserve">ID</w:t>
            </w:r>
          </w:p>
        </w:tc>
        <w:tc>
          <w:tcPr/>
          <w:p>
            <w:pPr>
              <w:pStyle w:val="Compact"/>
              <w:jc w:val="left"/>
            </w:pPr>
            <w:r>
              <w:t xml:space="preserve">Scope</w:t>
            </w:r>
          </w:p>
        </w:tc>
        <w:tc>
          <w:tcPr/>
          <w:p>
            <w:pPr>
              <w:pStyle w:val="Compact"/>
              <w:jc w:val="left"/>
            </w:pPr>
            <w:r>
              <w:t xml:space="preserve">Criterion</w:t>
            </w:r>
          </w:p>
        </w:tc>
        <w:tc>
          <w:tcPr/>
          <w:p>
            <w:pPr>
              <w:pStyle w:val="Compact"/>
              <w:jc w:val="left"/>
            </w:pPr>
            <w:r>
              <w:t xml:space="preserve">Evidence</w:t>
            </w:r>
          </w:p>
        </w:tc>
      </w:tr>
      <w:tr>
        <w:tc>
          <w:tcPr/>
          <w:p>
            <w:pPr>
              <w:pStyle w:val="Compact"/>
              <w:jc w:val="left"/>
            </w:pPr>
            <w:r>
              <w:t xml:space="preserve">P1</w:t>
            </w:r>
          </w:p>
        </w:tc>
        <w:tc>
          <w:tcPr/>
          <w:p>
            <w:pPr>
              <w:pStyle w:val="Compact"/>
              <w:jc w:val="left"/>
            </w:pPr>
            <w:r>
              <w:t xml:space="preserve">NQ, Qwen</w:t>
            </w:r>
            <m:oMath>
              <m:sSup>
                <m:e>
                  <m:r>
                    <m:t>​</m:t>
                  </m:r>
                </m:e>
                <m:sup>
                  <m:r>
                    <m:rPr>
                      <m:sty m:val="p"/>
                    </m:rPr>
                    <m:t>†</m:t>
                  </m:r>
                </m:sup>
              </m:sSup>
            </m:oMath>
          </w:p>
        </w:tc>
        <w:tc>
          <w:tcPr/>
          <w:p>
            <w:pPr>
              <w:pStyle w:val="Compact"/>
              <w:jc w:val="left"/>
            </w:pPr>
            <w:r>
              <w:t xml:space="preserve">met</w:t>
            </w:r>
          </w:p>
        </w:tc>
        <w:tc>
          <w:tcPr/>
          <w:p>
            <w:pPr>
              <w:pStyle w:val="Compact"/>
              <w:jc w:val="left"/>
            </w:pPr>
            <w:r>
              <w:t xml:space="preserve">5 dense-encoder ratios; largest upper bound 0.455 (Qwen3-Emb-0.6B)</w:t>
            </w:r>
          </w:p>
        </w:tc>
      </w:tr>
      <w:tr>
        <w:tc>
          <w:tcPr/>
          <w:p>
            <w:pPr>
              <w:pStyle w:val="Compact"/>
              <w:jc w:val="left"/>
            </w:pPr>
            <w:r>
              <w:t xml:space="preserve">P1</w:t>
            </w:r>
          </w:p>
        </w:tc>
        <w:tc>
          <w:tcPr/>
          <w:p>
            <w:pPr>
              <w:pStyle w:val="Compact"/>
              <w:jc w:val="left"/>
            </w:pPr>
            <w:r>
              <w:t xml:space="preserve">NQ, Llama</w:t>
            </w:r>
          </w:p>
        </w:tc>
        <w:tc>
          <w:tcPr/>
          <w:p>
            <w:pPr>
              <w:pStyle w:val="Compact"/>
              <w:jc w:val="left"/>
            </w:pPr>
            <w:r>
              <w:t xml:space="preserve">met</w:t>
            </w:r>
          </w:p>
        </w:tc>
        <w:tc>
          <w:tcPr/>
          <w:p>
            <w:pPr>
              <w:pStyle w:val="Compact"/>
              <w:jc w:val="left"/>
            </w:pPr>
            <w:r>
              <w:t xml:space="preserve">5 dense-encoder ratios; largest upper bound 0.427 (bge-small)</w:t>
            </w:r>
          </w:p>
        </w:tc>
      </w:tr>
      <w:tr>
        <w:tc>
          <w:tcPr/>
          <w:p>
            <w:pPr>
              <w:pStyle w:val="Compact"/>
              <w:jc w:val="left"/>
            </w:pPr>
            <w:r>
              <w:t xml:space="preserve">P1</w:t>
            </w:r>
          </w:p>
        </w:tc>
        <w:tc>
          <w:tcPr/>
          <w:p>
            <w:pPr>
              <w:pStyle w:val="Compact"/>
              <w:jc w:val="left"/>
            </w:pPr>
            <w:r>
              <w:t xml:space="preserve">HotpotQA, Qwen</w:t>
            </w:r>
          </w:p>
        </w:tc>
        <w:tc>
          <w:tcPr/>
          <w:p>
            <w:pPr>
              <w:pStyle w:val="Compact"/>
              <w:jc w:val="left"/>
            </w:pPr>
            <w:r>
              <w:t xml:space="preserve">met</w:t>
            </w:r>
          </w:p>
        </w:tc>
        <w:tc>
          <w:tcPr/>
          <w:p>
            <w:pPr>
              <w:pStyle w:val="Compact"/>
              <w:jc w:val="left"/>
            </w:pPr>
            <w:r>
              <w:t xml:space="preserve">5 dense-encoder ratios; largest upper bound 0.996 (bge-large)</w:t>
            </w:r>
          </w:p>
        </w:tc>
      </w:tr>
      <w:tr>
        <w:tc>
          <w:tcPr/>
          <w:p>
            <w:pPr>
              <w:pStyle w:val="Compact"/>
              <w:jc w:val="left"/>
            </w:pPr>
            <w:r>
              <w:t xml:space="preserve">P1</w:t>
            </w:r>
          </w:p>
        </w:tc>
        <w:tc>
          <w:tcPr/>
          <w:p>
            <w:pPr>
              <w:pStyle w:val="Compact"/>
              <w:jc w:val="left"/>
            </w:pPr>
            <w:r>
              <w:t xml:space="preserve">HotpotQA, Llama</w:t>
            </w:r>
          </w:p>
        </w:tc>
        <w:tc>
          <w:tcPr/>
          <w:p>
            <w:pPr>
              <w:pStyle w:val="Compact"/>
              <w:jc w:val="left"/>
            </w:pPr>
            <w:r>
              <w:rPr>
                <w:bCs/>
                <w:b/>
              </w:rPr>
              <w:t xml:space="preserve">not met</w:t>
            </w:r>
          </w:p>
        </w:tc>
        <w:tc>
          <w:tcPr/>
          <w:p>
            <w:pPr>
              <w:pStyle w:val="Compact"/>
              <w:jc w:val="left"/>
            </w:pPr>
            <w:r>
              <w:t xml:space="preserve">5 dense-encoder ratios; largest upper bound 1.096 (bge-large)</w:t>
            </w:r>
          </w:p>
        </w:tc>
      </w:tr>
      <w:tr>
        <w:tc>
          <w:tcPr/>
          <w:p>
            <w:pPr>
              <w:pStyle w:val="Compact"/>
              <w:jc w:val="left"/>
            </w:pPr>
            <w:r>
              <w:t xml:space="preserve">P2</w:t>
            </w:r>
          </w:p>
        </w:tc>
        <w:tc>
          <w:tcPr/>
          <w:p>
            <w:pPr>
              <w:pStyle w:val="Compact"/>
              <w:jc w:val="left"/>
            </w:pPr>
            <w:r>
              <w:t xml:space="preserve">NQ, Qwen</w:t>
            </w:r>
            <m:oMath>
              <m:sSup>
                <m:e>
                  <m:r>
                    <m:t>​</m:t>
                  </m:r>
                </m:e>
                <m:sup>
                  <m:r>
                    <m:rPr>
                      <m:sty m:val="p"/>
                    </m:rPr>
                    <m:t>†</m:t>
                  </m:r>
                </m:sup>
              </m:sSup>
            </m:oMath>
          </w:p>
        </w:tc>
        <w:tc>
          <w:tcPr/>
          <w:p>
            <w:pPr>
              <w:pStyle w:val="Compact"/>
              <w:jc w:val="left"/>
            </w:pPr>
            <w:r>
              <w:t xml:space="preserve">met</w:t>
            </w:r>
          </w:p>
        </w:tc>
        <w:tc>
          <w:tcPr/>
          <w:p>
            <w:pPr>
              <w:pStyle w:val="Compact"/>
              <w:jc w:val="left"/>
            </w:pPr>
            <w:r>
              <w:t xml:space="preserve">bge-large</w:t>
            </w:r>
            <w:r>
              <w:t xml:space="preserve"> </w:t>
            </w:r>
            <m:oMath>
              <m:r>
                <m:rPr>
                  <m:sty m:val="p"/>
                </m:rPr>
                <m:t>−</m:t>
              </m:r>
            </m:oMath>
            <w:r>
              <w:t xml:space="preserve"> </w:t>
            </w:r>
            <w:r>
              <w:t xml:space="preserve">e5:</w:t>
            </w:r>
            <w:r>
              <w:t xml:space="preserve"> </w:t>
            </w:r>
            <m:oMath>
              <m:r>
                <m:rPr>
                  <m:sty m:val="p"/>
                </m:rPr>
                <m:t>−</m:t>
              </m:r>
            </m:oMath>
            <w:r>
              <w:t xml:space="preserve">0.006 (</w:t>
            </w:r>
            <m:oMath>
              <m:sSub>
                <m:e>
                  <m:r>
                    <m:t>p</m:t>
                  </m:r>
                </m:e>
                <m:sub>
                  <m:r>
                    <m:rPr>
                      <m:nor/>
                      <m:sty m:val="p"/>
                    </m:rPr>
                    <m:t>Holm</m:t>
                  </m:r>
                </m:sub>
              </m:sSub>
            </m:oMath>
            <w:r>
              <w:t xml:space="preserve"> </w:t>
            </w:r>
            <w:r>
              <w:t xml:space="preserve">1.000); Qwen3-Emb-0.6B</w:t>
            </w:r>
            <w:r>
              <w:t xml:space="preserve"> </w:t>
            </w:r>
            <m:oMath>
              <m:r>
                <m:rPr>
                  <m:sty m:val="p"/>
                </m:rPr>
                <m:t>−</m:t>
              </m:r>
            </m:oMath>
            <w:r>
              <w:t xml:space="preserve"> </w:t>
            </w:r>
            <w:r>
              <w:t xml:space="preserve">e5:</w:t>
            </w:r>
            <w:r>
              <w:t xml:space="preserve"> </w:t>
            </w:r>
            <m:oMath>
              <m:r>
                <m:rPr>
                  <m:sty m:val="p"/>
                </m:rPr>
                <m:t>−</m:t>
              </m:r>
            </m:oMath>
            <w:r>
              <w:t xml:space="preserve">0.018 (</w:t>
            </w:r>
            <m:oMath>
              <m:sSub>
                <m:e>
                  <m:r>
                    <m:t>p</m:t>
                  </m:r>
                </m:e>
                <m:sub>
                  <m:r>
                    <m:rPr>
                      <m:nor/>
                      <m:sty m:val="p"/>
                    </m:rPr>
                    <m:t>Holm</m:t>
                  </m:r>
                </m:sub>
              </m:sSub>
            </m:oMath>
            <w:r>
              <w:t xml:space="preserve"> </w:t>
            </w:r>
            <w:r>
              <w:t xml:space="preserve">0.271)</w:t>
            </w:r>
          </w:p>
        </w:tc>
      </w:tr>
      <w:tr>
        <w:tc>
          <w:tcPr/>
          <w:p>
            <w:pPr>
              <w:pStyle w:val="Compact"/>
              <w:jc w:val="left"/>
            </w:pPr>
            <w:r>
              <w:t xml:space="preserve">P2</w:t>
            </w:r>
          </w:p>
        </w:tc>
        <w:tc>
          <w:tcPr/>
          <w:p>
            <w:pPr>
              <w:pStyle w:val="Compact"/>
              <w:jc w:val="left"/>
            </w:pPr>
            <w:r>
              <w:t xml:space="preserve">NQ, Llama</w:t>
            </w:r>
          </w:p>
        </w:tc>
        <w:tc>
          <w:tcPr/>
          <w:p>
            <w:pPr>
              <w:pStyle w:val="Compact"/>
              <w:jc w:val="left"/>
            </w:pPr>
            <w:r>
              <w:t xml:space="preserve">met</w:t>
            </w:r>
          </w:p>
        </w:tc>
        <w:tc>
          <w:tcPr/>
          <w:p>
            <w:pPr>
              <w:pStyle w:val="Compact"/>
              <w:jc w:val="left"/>
            </w:pPr>
            <w:r>
              <w:t xml:space="preserve">bge-large</w:t>
            </w:r>
            <w:r>
              <w:t xml:space="preserve"> </w:t>
            </w:r>
            <m:oMath>
              <m:r>
                <m:rPr>
                  <m:sty m:val="p"/>
                </m:rPr>
                <m:t>−</m:t>
              </m:r>
            </m:oMath>
            <w:r>
              <w:t xml:space="preserve"> </w:t>
            </w:r>
            <w:r>
              <w:t xml:space="preserve">e5:</w:t>
            </w:r>
            <w:r>
              <w:t xml:space="preserve"> </w:t>
            </w:r>
            <m:oMath>
              <m:r>
                <m:rPr>
                  <m:sty m:val="p"/>
                </m:rPr>
                <m:t>−</m:t>
              </m:r>
            </m:oMath>
            <w:r>
              <w:t xml:space="preserve">0.004 (</w:t>
            </w:r>
            <m:oMath>
              <m:sSub>
                <m:e>
                  <m:r>
                    <m:t>p</m:t>
                  </m:r>
                </m:e>
                <m:sub>
                  <m:r>
                    <m:rPr>
                      <m:nor/>
                      <m:sty m:val="p"/>
                    </m:rPr>
                    <m:t>Holm</m:t>
                  </m:r>
                </m:sub>
              </m:sSub>
            </m:oMath>
            <w:r>
              <w:t xml:space="preserve"> </w:t>
            </w:r>
            <w:r>
              <w:t xml:space="preserve">1.000); Qwen3-Emb-0.6B</w:t>
            </w:r>
            <w:r>
              <w:t xml:space="preserve"> </w:t>
            </w:r>
            <m:oMath>
              <m:r>
                <m:rPr>
                  <m:sty m:val="p"/>
                </m:rPr>
                <m:t>−</m:t>
              </m:r>
            </m:oMath>
            <w:r>
              <w:t xml:space="preserve"> </w:t>
            </w:r>
            <w:r>
              <w:t xml:space="preserve">e5:</w:t>
            </w:r>
            <w:r>
              <w:t xml:space="preserve"> </w:t>
            </w:r>
            <m:oMath>
              <m:r>
                <m:rPr>
                  <m:sty m:val="p"/>
                </m:rPr>
                <m:t>−</m:t>
              </m:r>
            </m:oMath>
            <w:r>
              <w:t xml:space="preserve">0.007 (</w:t>
            </w:r>
            <m:oMath>
              <m:sSub>
                <m:e>
                  <m:r>
                    <m:t>p</m:t>
                  </m:r>
                </m:e>
                <m:sub>
                  <m:r>
                    <m:rPr>
                      <m:nor/>
                      <m:sty m:val="p"/>
                    </m:rPr>
                    <m:t>Holm</m:t>
                  </m:r>
                </m:sub>
              </m:sSub>
            </m:oMath>
            <w:r>
              <w:t xml:space="preserve"> </w:t>
            </w:r>
            <w:r>
              <w:t xml:space="preserve">1.000)</w:t>
            </w:r>
          </w:p>
        </w:tc>
      </w:tr>
      <w:tr>
        <w:tc>
          <w:tcPr/>
          <w:p>
            <w:pPr>
              <w:pStyle w:val="Compact"/>
              <w:jc w:val="left"/>
            </w:pPr>
            <w:r>
              <w:t xml:space="preserve">P2</w:t>
            </w:r>
          </w:p>
        </w:tc>
        <w:tc>
          <w:tcPr/>
          <w:p>
            <w:pPr>
              <w:pStyle w:val="Compact"/>
              <w:jc w:val="left"/>
            </w:pPr>
            <w:r>
              <w:t xml:space="preserve">HotpotQA, Qwen</w:t>
            </w:r>
          </w:p>
        </w:tc>
        <w:tc>
          <w:tcPr/>
          <w:p>
            <w:pPr>
              <w:pStyle w:val="Compact"/>
              <w:jc w:val="left"/>
            </w:pPr>
            <w:r>
              <w:rPr>
                <w:bCs/>
                <w:b/>
              </w:rPr>
              <w:t xml:space="preserve">not met</w:t>
            </w:r>
          </w:p>
        </w:tc>
        <w:tc>
          <w:tcPr/>
          <w:p>
            <w:pPr>
              <w:pStyle w:val="Compact"/>
              <w:jc w:val="left"/>
            </w:pPr>
            <w:r>
              <w:t xml:space="preserve">bge-large</w:t>
            </w:r>
            <w:r>
              <w:t xml:space="preserve"> </w:t>
            </w:r>
            <m:oMath>
              <m:r>
                <m:rPr>
                  <m:sty m:val="p"/>
                </m:rPr>
                <m:t>−</m:t>
              </m:r>
            </m:oMath>
            <w:r>
              <w:t xml:space="preserve"> </w:t>
            </w:r>
            <w:r>
              <w:t xml:space="preserve">e5: +0.028 (</w:t>
            </w:r>
            <m:oMath>
              <m:sSub>
                <m:e>
                  <m:r>
                    <m:t>p</m:t>
                  </m:r>
                </m:e>
                <m:sub>
                  <m:r>
                    <m:rPr>
                      <m:nor/>
                      <m:sty m:val="p"/>
                    </m:rPr>
                    <m:t>Holm</m:t>
                  </m:r>
                </m:sub>
              </m:sSub>
            </m:oMath>
            <w:r>
              <w:t xml:space="preserve"> </w:t>
            </w:r>
            <w:r>
              <w:t xml:space="preserve">0.005); Qwen3-Emb-0.6B</w:t>
            </w:r>
            <w:r>
              <w:t xml:space="preserve"> </w:t>
            </w:r>
            <m:oMath>
              <m:r>
                <m:rPr>
                  <m:sty m:val="p"/>
                </m:rPr>
                <m:t>−</m:t>
              </m:r>
            </m:oMath>
            <w:r>
              <w:t xml:space="preserve"> </w:t>
            </w:r>
            <w:r>
              <w:t xml:space="preserve">e5:</w:t>
            </w:r>
            <w:r>
              <w:t xml:space="preserve"> </w:t>
            </w:r>
            <m:oMath>
              <m:r>
                <m:rPr>
                  <m:sty m:val="p"/>
                </m:rPr>
                <m:t>−</m:t>
              </m:r>
            </m:oMath>
            <w:r>
              <w:t xml:space="preserve">0.030 (</w:t>
            </w:r>
            <m:oMath>
              <m:sSub>
                <m:e>
                  <m:r>
                    <m:t>p</m:t>
                  </m:r>
                </m:e>
                <m:sub>
                  <m:r>
                    <m:rPr>
                      <m:nor/>
                      <m:sty m:val="p"/>
                    </m:rPr>
                    <m:t>Holm</m:t>
                  </m:r>
                </m:sub>
              </m:sSub>
            </m:oMath>
            <w:r>
              <w:t xml:space="preserve"> </w:t>
            </w:r>
            <w:r>
              <w:t xml:space="preserve">0.003)</w:t>
            </w:r>
          </w:p>
        </w:tc>
      </w:tr>
      <w:tr>
        <w:tc>
          <w:tcPr/>
          <w:p>
            <w:pPr>
              <w:pStyle w:val="Compact"/>
              <w:jc w:val="left"/>
            </w:pPr>
            <w:r>
              <w:t xml:space="preserve">P2</w:t>
            </w:r>
          </w:p>
        </w:tc>
        <w:tc>
          <w:tcPr/>
          <w:p>
            <w:pPr>
              <w:pStyle w:val="Compact"/>
              <w:jc w:val="left"/>
            </w:pPr>
            <w:r>
              <w:t xml:space="preserve">HotpotQA, Llama</w:t>
            </w:r>
          </w:p>
        </w:tc>
        <w:tc>
          <w:tcPr/>
          <w:p>
            <w:pPr>
              <w:pStyle w:val="Compact"/>
              <w:jc w:val="left"/>
            </w:pPr>
            <w:r>
              <w:rPr>
                <w:bCs/>
                <w:b/>
              </w:rPr>
              <w:t xml:space="preserve">not met</w:t>
            </w:r>
          </w:p>
        </w:tc>
        <w:tc>
          <w:tcPr/>
          <w:p>
            <w:pPr>
              <w:pStyle w:val="Compact"/>
              <w:jc w:val="left"/>
            </w:pPr>
            <w:r>
              <w:t xml:space="preserve">bge-large</w:t>
            </w:r>
            <w:r>
              <w:t xml:space="preserve"> </w:t>
            </w:r>
            <m:oMath>
              <m:r>
                <m:rPr>
                  <m:sty m:val="p"/>
                </m:rPr>
                <m:t>−</m:t>
              </m:r>
            </m:oMath>
            <w:r>
              <w:t xml:space="preserve"> </w:t>
            </w:r>
            <w:r>
              <w:t xml:space="preserve">e5: +0.022 (</w:t>
            </w:r>
            <m:oMath>
              <m:sSub>
                <m:e>
                  <m:r>
                    <m:t>p</m:t>
                  </m:r>
                </m:e>
                <m:sub>
                  <m:r>
                    <m:rPr>
                      <m:nor/>
                      <m:sty m:val="p"/>
                    </m:rPr>
                    <m:t>Holm</m:t>
                  </m:r>
                </m:sub>
              </m:sSub>
            </m:oMath>
            <w:r>
              <w:t xml:space="preserve"> </w:t>
            </w:r>
            <w:r>
              <w:t xml:space="preserve">0.040); Qwen3-Emb-0.6B</w:t>
            </w:r>
            <w:r>
              <w:t xml:space="preserve"> </w:t>
            </w:r>
            <m:oMath>
              <m:r>
                <m:rPr>
                  <m:sty m:val="p"/>
                </m:rPr>
                <m:t>−</m:t>
              </m:r>
            </m:oMath>
            <w:r>
              <w:t xml:space="preserve"> </w:t>
            </w:r>
            <w:r>
              <w:t xml:space="preserve">e5:</w:t>
            </w:r>
            <w:r>
              <w:t xml:space="preserve"> </w:t>
            </w:r>
            <m:oMath>
              <m:r>
                <m:rPr>
                  <m:sty m:val="p"/>
                </m:rPr>
                <m:t>−</m:t>
              </m:r>
            </m:oMath>
            <w:r>
              <w:t xml:space="preserve">0.042 (</w:t>
            </w:r>
            <m:oMath>
              <m:sSub>
                <m:e>
                  <m:r>
                    <m:t>p</m:t>
                  </m:r>
                </m:e>
                <m:sub>
                  <m:r>
                    <m:rPr>
                      <m:nor/>
                      <m:sty m:val="p"/>
                    </m:rPr>
                    <m:t>Holm</m:t>
                  </m:r>
                </m:sub>
              </m:sSub>
            </m:oMath>
            <w:r>
              <w:t xml:space="preserve"> </w:t>
            </w:r>
            <m:oMath>
              <m:r>
                <m:rPr>
                  <m:sty m:val="p"/>
                </m:rPr>
                <m:t>&lt;</m:t>
              </m:r>
            </m:oMath>
            <w:r>
              <w:t xml:space="preserve">0.001)</w:t>
            </w:r>
          </w:p>
        </w:tc>
      </w:tr>
      <w:tr>
        <w:tc>
          <w:tcPr/>
          <w:p>
            <w:pPr>
              <w:pStyle w:val="Compact"/>
              <w:jc w:val="left"/>
            </w:pPr>
            <w:r>
              <w:t xml:space="preserve">P3</w:t>
            </w:r>
          </w:p>
        </w:tc>
        <w:tc>
          <w:tcPr/>
          <w:p>
            <w:pPr>
              <w:pStyle w:val="Compact"/>
              <w:jc w:val="left"/>
            </w:pPr>
            <w:r>
              <w:t xml:space="preserve">NQ, 4 retrievers</w:t>
            </w:r>
          </w:p>
        </w:tc>
        <w:tc>
          <w:tcPr/>
          <w:p>
            <w:pPr>
              <w:pStyle w:val="Compact"/>
              <w:jc w:val="left"/>
            </w:pPr>
            <w:r>
              <w:t xml:space="preserve">met</w:t>
            </w:r>
          </w:p>
        </w:tc>
        <w:tc>
          <w:tcPr/>
          <w:p>
            <w:pPr>
              <w:pStyle w:val="Compact"/>
              <w:jc w:val="left"/>
            </w:pPr>
            <w:r>
              <w:t xml:space="preserve">Kendall’s</w:t>
            </w:r>
            <w:r>
              <w:t xml:space="preserve"> </w:t>
            </w:r>
            <m:oMath>
              <m:r>
                <m:t>τ</m:t>
              </m:r>
            </m:oMath>
            <w:r>
              <w:t xml:space="preserve"> </w:t>
            </w:r>
            <w:r>
              <w:t xml:space="preserve">= 1.00 (retrieval only)</w:t>
            </w:r>
          </w:p>
        </w:tc>
      </w:tr>
      <w:tr>
        <w:tc>
          <w:tcPr/>
          <w:p>
            <w:pPr>
              <w:pStyle w:val="Compact"/>
              <w:jc w:val="left"/>
            </w:pPr>
            <w:r>
              <w:t xml:space="preserve">P4</w:t>
            </w:r>
          </w:p>
        </w:tc>
        <w:tc>
          <w:tcPr/>
          <w:p>
            <w:pPr>
              <w:pStyle w:val="Compact"/>
              <w:jc w:val="left"/>
            </w:pPr>
            <w:r>
              <w:t xml:space="preserve">NQ, Qwen</w:t>
            </w:r>
          </w:p>
        </w:tc>
        <w:tc>
          <w:tcPr/>
          <w:p>
            <w:pPr>
              <w:pStyle w:val="Compact"/>
              <w:jc w:val="left"/>
            </w:pPr>
            <w:r>
              <w:t xml:space="preserve">met</w:t>
            </w:r>
          </w:p>
        </w:tc>
        <w:tc>
          <w:tcPr/>
          <w:p>
            <w:pPr>
              <w:pStyle w:val="Compact"/>
              <w:jc w:val="left"/>
            </w:pPr>
            <m:oMath>
              <m:r>
                <m:t>k</m:t>
              </m:r>
              <m:r>
                <m:rPr>
                  <m:sty m:val="p"/>
                </m:rPr>
                <m:t>=</m:t>
              </m:r>
              <m:r>
                <m:t>1</m:t>
              </m:r>
            </m:oMath>
            <w:r>
              <w:t xml:space="preserve"> </w:t>
            </w:r>
            <w:r>
              <w:t xml:space="preserve">below</w:t>
            </w:r>
            <w:r>
              <w:t xml:space="preserve"> </w:t>
            </w:r>
            <m:oMath>
              <m:r>
                <m:t>k</m:t>
              </m:r>
              <m:r>
                <m:rPr>
                  <m:sty m:val="p"/>
                </m:rPr>
                <m:t>=</m:t>
              </m:r>
              <m:r>
                <m:t>5</m:t>
              </m:r>
            </m:oMath>
            <w:r>
              <w:t xml:space="preserve"> </w:t>
            </w:r>
            <w:r>
              <w:t xml:space="preserve">for all 7 retrievers</w:t>
            </w:r>
            <m:oMath>
              <m:sSup>
                <m:e>
                  <m:r>
                    <m:t>​</m:t>
                  </m:r>
                </m:e>
                <m:sup>
                  <m:r>
                    <m:rPr>
                      <m:sty m:val="p"/>
                    </m:rPr>
                    <m:t>‡</m:t>
                  </m:r>
                </m:sup>
              </m:sSup>
            </m:oMath>
            <w:r>
              <w:t xml:space="preserve">;</w:t>
            </w:r>
            <w:r>
              <w:t xml:space="preserve"> </w:t>
            </w:r>
            <m:oMath>
              <m:r>
                <m:t>Δ</m:t>
              </m:r>
            </m:oMath>
            <w:r>
              <w:t xml:space="preserve">EM</w:t>
            </w:r>
            <w:r>
              <w:t xml:space="preserve"> </w:t>
            </w:r>
            <m:oMath>
              <m:r>
                <m:rPr>
                  <m:sty m:val="p"/>
                </m:rPr>
                <m:t>−</m:t>
              </m:r>
            </m:oMath>
            <w:r>
              <w:t xml:space="preserve">0.126 to</w:t>
            </w:r>
            <w:r>
              <w:t xml:space="preserve"> </w:t>
            </w:r>
            <m:oMath>
              <m:r>
                <m:rPr>
                  <m:sty m:val="p"/>
                </m:rPr>
                <m:t>−</m:t>
              </m:r>
            </m:oMath>
            <w:r>
              <w:t xml:space="preserve">0.078; all</w:t>
            </w:r>
            <w:r>
              <w:t xml:space="preserve"> </w:t>
            </w:r>
            <m:oMath>
              <m:sSub>
                <m:e>
                  <m:r>
                    <m:t>p</m:t>
                  </m:r>
                </m:e>
                <m:sub>
                  <m:r>
                    <m:rPr>
                      <m:nor/>
                      <m:sty m:val="p"/>
                    </m:rPr>
                    <m:t>Holm</m:t>
                  </m:r>
                </m:sub>
              </m:sSub>
            </m:oMath>
            <w:r>
              <w:t xml:space="preserve"> </w:t>
            </w:r>
            <m:oMath>
              <m:r>
                <m:rPr>
                  <m:sty m:val="p"/>
                </m:rPr>
                <m:t>&lt;</m:t>
              </m:r>
            </m:oMath>
            <w:r>
              <w:t xml:space="preserve">0.001</w:t>
            </w:r>
          </w:p>
        </w:tc>
      </w:tr>
      <w:tr>
        <w:tc>
          <w:tcPr/>
          <w:p>
            <w:pPr>
              <w:pStyle w:val="Compact"/>
              <w:jc w:val="left"/>
            </w:pPr>
            <w:r>
              <w:t xml:space="preserve">P5</w:t>
            </w:r>
          </w:p>
        </w:tc>
        <w:tc>
          <w:tcPr/>
          <w:p>
            <w:pPr>
              <w:pStyle w:val="Compact"/>
              <w:jc w:val="left"/>
            </w:pPr>
            <w:r>
              <w:t xml:space="preserve">NQ, Qwen, 500 q.</w:t>
            </w:r>
          </w:p>
        </w:tc>
        <w:tc>
          <w:tcPr/>
          <w:p>
            <w:pPr>
              <w:pStyle w:val="Compact"/>
              <w:jc w:val="left"/>
            </w:pPr>
            <w:r>
              <w:t xml:space="preserve">met</w:t>
            </w:r>
          </w:p>
        </w:tc>
        <w:tc>
          <w:tcPr/>
          <w:p>
            <w:pPr>
              <w:pStyle w:val="Compact"/>
              <w:jc w:val="left"/>
            </w:pPr>
            <w:r>
              <w:t xml:space="preserve">hard vs random negatives:</w:t>
            </w:r>
            <w:r>
              <w:t xml:space="preserve"> </w:t>
            </w:r>
            <m:oMath>
              <m:r>
                <m:t>Δ</m:t>
              </m:r>
            </m:oMath>
            <w:r>
              <w:t xml:space="preserve">EM</w:t>
            </w:r>
            <w:r>
              <w:t xml:space="preserve"> </w:t>
            </w:r>
            <m:oMath>
              <m:r>
                <m:rPr>
                  <m:sty m:val="p"/>
                </m:rPr>
                <m:t>−</m:t>
              </m:r>
            </m:oMath>
            <w:r>
              <w:t xml:space="preserve">0.074,</w:t>
            </w:r>
            <w:r>
              <w:t xml:space="preserve"> </w:t>
            </w:r>
            <m:oMath>
              <m:r>
                <m:t>p</m:t>
              </m:r>
            </m:oMath>
            <w:r>
              <w:t xml:space="preserve"> </w:t>
            </w:r>
            <m:oMath>
              <m:r>
                <m:rPr>
                  <m:sty m:val="p"/>
                </m:rPr>
                <m:t>&lt;</m:t>
              </m:r>
            </m:oMath>
            <w:r>
              <w:t xml:space="preserve">0.001</w:t>
            </w:r>
          </w:p>
        </w:tc>
      </w:tr>
      <w:tr>
        <w:tc>
          <w:tcPr/>
          <w:p>
            <w:pPr>
              <w:pStyle w:val="Compact"/>
              <w:jc w:val="left"/>
            </w:pPr>
            <w:r>
              <w:t xml:space="preserve">P6</w:t>
            </w:r>
          </w:p>
        </w:tc>
        <w:tc>
          <w:tcPr/>
          <w:p>
            <w:pPr>
              <w:pStyle w:val="Compact"/>
              <w:jc w:val="left"/>
            </w:pPr>
            <w:r>
              <w:t xml:space="preserve">NQ, Qwen, 500 q.</w:t>
            </w:r>
          </w:p>
        </w:tc>
        <w:tc>
          <w:tcPr/>
          <w:p>
            <w:pPr>
              <w:pStyle w:val="Compact"/>
              <w:jc w:val="left"/>
            </w:pPr>
            <w:r>
              <w:rPr>
                <w:bCs/>
                <w:b/>
              </w:rPr>
              <w:t xml:space="preserve">not met</w:t>
            </w:r>
          </w:p>
        </w:tc>
        <w:tc>
          <w:tcPr/>
          <w:p>
            <w:pPr>
              <w:pStyle w:val="Compact"/>
              <w:jc w:val="left"/>
            </w:pPr>
            <w:r>
              <w:t xml:space="preserve">gold at position 1/3/5: largest</w:t>
            </w:r>
            <w:r>
              <w:t xml:space="preserve"> </w:t>
            </w:r>
            <m:oMath>
              <m:r>
                <m:rPr>
                  <m:sty m:val="p"/>
                </m:rPr>
                <m:t>|</m:t>
              </m:r>
              <m:r>
                <m:t>Δ</m:t>
              </m:r>
            </m:oMath>
            <w:r>
              <w:t xml:space="preserve">EM</w:t>
            </w:r>
            <m:oMath>
              <m:r>
                <m:rPr>
                  <m:sty m:val="p"/>
                </m:rPr>
                <m:t>|</m:t>
              </m:r>
            </m:oMath>
            <w:r>
              <w:t xml:space="preserve"> </w:t>
            </w:r>
            <w:r>
              <w:t xml:space="preserve">0.016; smallest</w:t>
            </w:r>
            <w:r>
              <w:t xml:space="preserve"> </w:t>
            </w:r>
            <m:oMath>
              <m:sSub>
                <m:e>
                  <m:r>
                    <m:t>p</m:t>
                  </m:r>
                </m:e>
                <m:sub>
                  <m:r>
                    <m:rPr>
                      <m:nor/>
                      <m:sty m:val="p"/>
                    </m:rPr>
                    <m:t>Holm</m:t>
                  </m:r>
                </m:sub>
              </m:sSub>
            </m:oMath>
            <w:r>
              <w:t xml:space="preserve"> </w:t>
            </w:r>
            <w:r>
              <w:t xml:space="preserve">0.94</w:t>
            </w:r>
          </w:p>
        </w:tc>
      </w:tr>
      <w:tr>
        <w:tc>
          <w:tcPr/>
          <w:p>
            <w:pPr>
              <w:pStyle w:val="Compact"/>
              <w:jc w:val="left"/>
            </w:pPr>
            <w:r>
              <w:t xml:space="preserve">P7</w:t>
            </w:r>
          </w:p>
        </w:tc>
        <w:tc>
          <w:tcPr/>
          <w:p>
            <w:pPr>
              <w:pStyle w:val="Compact"/>
              <w:jc w:val="left"/>
            </w:pPr>
            <w:r>
              <w:t xml:space="preserve">NQ full corpus, Qwen</w:t>
            </w:r>
          </w:p>
        </w:tc>
        <w:tc>
          <w:tcPr/>
          <w:p>
            <w:pPr>
              <w:pStyle w:val="Compact"/>
              <w:jc w:val="left"/>
            </w:pPr>
            <w:r>
              <w:t xml:space="preserve">met</w:t>
            </w:r>
          </w:p>
        </w:tc>
        <w:tc>
          <w:tcPr/>
          <w:p>
            <w:pPr>
              <w:pStyle w:val="Compact"/>
              <w:jc w:val="left"/>
            </w:pPr>
            <w:r>
              <w:t xml:space="preserve">2 dense-encoder ratios; largest upper bound 0.399 (bge-small)</w:t>
            </w:r>
          </w:p>
        </w:tc>
      </w:tr>
      <w:tr>
        <w:tc>
          <w:tcPr/>
          <w:p>
            <w:pPr>
              <w:pStyle w:val="Compact"/>
              <w:jc w:val="left"/>
            </w:pPr>
            <w:r>
              <w:t xml:space="preserve">P7</w:t>
            </w:r>
          </w:p>
        </w:tc>
        <w:tc>
          <w:tcPr/>
          <w:p>
            <w:pPr>
              <w:pStyle w:val="Compact"/>
              <w:jc w:val="left"/>
            </w:pPr>
            <w:r>
              <w:t xml:space="preserve">NQ full corpus, Llama</w:t>
            </w:r>
          </w:p>
        </w:tc>
        <w:tc>
          <w:tcPr/>
          <w:p>
            <w:pPr>
              <w:pStyle w:val="Compact"/>
              <w:jc w:val="left"/>
            </w:pPr>
            <w:r>
              <w:t xml:space="preserve">met</w:t>
            </w:r>
          </w:p>
        </w:tc>
        <w:tc>
          <w:tcPr/>
          <w:p>
            <w:pPr>
              <w:pStyle w:val="Compact"/>
              <w:jc w:val="left"/>
            </w:pPr>
            <w:r>
              <w:t xml:space="preserve">2 dense-encoder ratios; largest upper bound 0.483 (bge-small)</w:t>
            </w:r>
          </w:p>
        </w:tc>
      </w:tr>
      <w:tr>
        <w:tc>
          <w:tcPr/>
          <w:p>
            <w:pPr>
              <w:pStyle w:val="Compact"/>
              <w:jc w:val="left"/>
            </w:pPr>
            <w:r>
              <w:t xml:space="preserve">P8</w:t>
            </w:r>
          </w:p>
        </w:tc>
        <w:tc>
          <w:tcPr/>
          <w:p>
            <w:pPr>
              <w:pStyle w:val="Compact"/>
              <w:jc w:val="left"/>
            </w:pPr>
            <w:r>
              <w:t xml:space="preserve">NQ full corpus, Qwen</w:t>
            </w:r>
          </w:p>
        </w:tc>
        <w:tc>
          <w:tcPr/>
          <w:p>
            <w:pPr>
              <w:pStyle w:val="Compact"/>
              <w:jc w:val="left"/>
            </w:pPr>
            <w:r>
              <w:t xml:space="preserve">met</w:t>
            </w:r>
          </w:p>
        </w:tc>
        <w:tc>
          <w:tcPr/>
          <w:p>
            <w:pPr>
              <w:pStyle w:val="Compact"/>
              <w:jc w:val="left"/>
            </w:pPr>
            <w:r>
              <w:t xml:space="preserve">e5-base-v2:</w:t>
            </w:r>
            <w:r>
              <w:t xml:space="preserve"> </w:t>
            </w:r>
            <m:oMath>
              <m:sSub>
                <m:e>
                  <m:r>
                    <m:t>T</m:t>
                  </m:r>
                </m:e>
                <m:sub>
                  <m:r>
                    <m:rPr>
                      <m:nor/>
                      <m:sty m:val="p"/>
                    </m:rPr>
                    <m:t>full</m:t>
                  </m:r>
                </m:sub>
              </m:sSub>
            </m:oMath>
            <w:r>
              <w:t xml:space="preserve"> </w:t>
            </w:r>
            <w:r>
              <w:t xml:space="preserve">0.233 in [0.147, 0.356];</w:t>
            </w:r>
            <w:r>
              <w:t xml:space="preserve"> </w:t>
            </w:r>
            <m:oMath>
              <m:sSub>
                <m:e>
                  <m:r>
                    <m:t>T</m:t>
                  </m:r>
                </m:e>
                <m:sub>
                  <m:r>
                    <m:rPr>
                      <m:nor/>
                      <m:sty m:val="p"/>
                    </m:rPr>
                    <m:t>full</m:t>
                  </m:r>
                </m:sub>
              </m:sSub>
              <m:r>
                <m:rPr>
                  <m:sty m:val="p"/>
                </m:rPr>
                <m:t>−</m:t>
              </m:r>
              <m:sSub>
                <m:e>
                  <m:r>
                    <m:t>T</m:t>
                  </m:r>
                </m:e>
                <m:sub>
                  <m:r>
                    <m:rPr>
                      <m:nor/>
                      <m:sty m:val="p"/>
                    </m:rPr>
                    <m:t>sub</m:t>
                  </m:r>
                </m:sub>
              </m:sSub>
            </m:oMath>
            <w:r>
              <w:t xml:space="preserve"> </w:t>
            </w:r>
            <m:oMath>
              <m:r>
                <m:rPr>
                  <m:sty m:val="p"/>
                </m:rPr>
                <m:t>−</m:t>
              </m:r>
            </m:oMath>
            <w:r>
              <w:t xml:space="preserve">0.017 [</w:t>
            </w:r>
            <m:oMath>
              <m:r>
                <m:rPr>
                  <m:sty m:val="p"/>
                </m:rPr>
                <m:t>−</m:t>
              </m:r>
            </m:oMath>
            <w:r>
              <w:t xml:space="preserve">0.123, +0.087]</w:t>
            </w:r>
          </w:p>
        </w:tc>
      </w:tr>
      <w:tr>
        <w:tc>
          <w:tcPr/>
          <w:p>
            <w:pPr>
              <w:pStyle w:val="Compact"/>
              <w:jc w:val="left"/>
            </w:pPr>
            <w:r>
              <w:t xml:space="preserve">P8</w:t>
            </w:r>
          </w:p>
        </w:tc>
        <w:tc>
          <w:tcPr/>
          <w:p>
            <w:pPr>
              <w:pStyle w:val="Compact"/>
              <w:jc w:val="left"/>
            </w:pPr>
            <w:r>
              <w:t xml:space="preserve">NQ full corpus, Llama</w:t>
            </w:r>
          </w:p>
        </w:tc>
        <w:tc>
          <w:tcPr/>
          <w:p>
            <w:pPr>
              <w:pStyle w:val="Compact"/>
              <w:jc w:val="left"/>
            </w:pPr>
            <w:r>
              <w:t xml:space="preserve">met</w:t>
            </w:r>
          </w:p>
        </w:tc>
        <w:tc>
          <w:tcPr/>
          <w:p>
            <w:pPr>
              <w:pStyle w:val="Compact"/>
              <w:jc w:val="left"/>
            </w:pPr>
            <w:r>
              <w:t xml:space="preserve">e5-base-v2:</w:t>
            </w:r>
            <w:r>
              <w:t xml:space="preserve"> </w:t>
            </w:r>
            <m:oMath>
              <m:sSub>
                <m:e>
                  <m:r>
                    <m:t>T</m:t>
                  </m:r>
                </m:e>
                <m:sub>
                  <m:r>
                    <m:rPr>
                      <m:nor/>
                      <m:sty m:val="p"/>
                    </m:rPr>
                    <m:t>full</m:t>
                  </m:r>
                </m:sub>
              </m:sSub>
            </m:oMath>
            <w:r>
              <w:t xml:space="preserve"> </w:t>
            </w:r>
            <w:r>
              <w:t xml:space="preserve">0.195 in [0.053, 0.265];</w:t>
            </w:r>
            <w:r>
              <w:t xml:space="preserve"> </w:t>
            </w:r>
            <m:oMath>
              <m:sSub>
                <m:e>
                  <m:r>
                    <m:t>T</m:t>
                  </m:r>
                </m:e>
                <m:sub>
                  <m:r>
                    <m:rPr>
                      <m:nor/>
                      <m:sty m:val="p"/>
                    </m:rPr>
                    <m:t>full</m:t>
                  </m:r>
                </m:sub>
              </m:sSub>
              <m:r>
                <m:rPr>
                  <m:sty m:val="p"/>
                </m:rPr>
                <m:t>−</m:t>
              </m:r>
              <m:sSub>
                <m:e>
                  <m:r>
                    <m:t>T</m:t>
                  </m:r>
                </m:e>
                <m:sub>
                  <m:r>
                    <m:rPr>
                      <m:nor/>
                      <m:sty m:val="p"/>
                    </m:rPr>
                    <m:t>sub</m:t>
                  </m:r>
                </m:sub>
              </m:sSub>
            </m:oMath>
            <w:r>
              <w:t xml:space="preserve"> </w:t>
            </w:r>
            <w:r>
              <w:t xml:space="preserve">+0.035 [</w:t>
            </w:r>
            <m:oMath>
              <m:r>
                <m:rPr>
                  <m:sty m:val="p"/>
                </m:rPr>
                <m:t>−</m:t>
              </m:r>
            </m:oMath>
            <w:r>
              <w:t xml:space="preserve">0.065, +0.137]</w:t>
            </w:r>
          </w:p>
        </w:tc>
      </w:tr>
    </w:tbl>
    <w:p>
      <w:pPr>
        <w:pStyle w:val="BodyText"/>
      </w:pPr>
      <w:r>
        <w:rPr>
          <w:iCs/>
          <w:i/>
        </w:rPr>
        <w:t xml:space="preserve">P1: every reportable EM transfer ratio of a dense encoder has an upper 95% bound below 1 (unrounded; a bound of exactly 1.000 does not meet it). P2: no Holm-significant EM gain of bge-large or Qwen3-Emb-0.6B over e5-base-v2. P3: the full corpus keeps the nDCG@10 ordering. P4: EM at</w:t>
      </w:r>
      <w:r>
        <w:rPr>
          <w:iCs/>
          <w:i/>
        </w:rPr>
        <w:t xml:space="preserve"> </w:t>
      </w:r>
      <m:oMath>
        <m:r>
          <m:t>k</m:t>
        </m:r>
        <m:r>
          <m:rPr>
            <m:sty m:val="p"/>
          </m:rPr>
          <m:t>=</m:t>
        </m:r>
        <m:r>
          <m:t>1</m:t>
        </m:r>
      </m:oMath>
      <w:r>
        <w:rPr>
          <w:iCs/>
          <w:i/>
        </w:rPr>
        <w:t xml:space="preserve"> </w:t>
      </w:r>
      <w:r>
        <w:rPr>
          <w:iCs/>
          <w:i/>
        </w:rPr>
        <w:t xml:space="preserve">below</w:t>
      </w:r>
      <w:r>
        <w:rPr>
          <w:iCs/>
          <w:i/>
        </w:rPr>
        <w:t xml:space="preserve"> </w:t>
      </w:r>
      <m:oMath>
        <m:r>
          <m:t>k</m:t>
        </m:r>
        <m:r>
          <m:rPr>
            <m:sty m:val="p"/>
          </m:rPr>
          <m:t>=</m:t>
        </m:r>
        <m:r>
          <m:t>5</m:t>
        </m:r>
      </m:oMath>
      <w:r>
        <w:rPr>
          <w:iCs/>
          <w:i/>
        </w:rPr>
        <w:t xml:space="preserve">. P5: hard negatives lower EM. P6: gold position changes EM. P7 (registered before Phase 3): every reportable full-corpus EM ratio of a dense encoder has an upper 95% bound below 1. P8: the full-corpus ratio of e5-base-v2 lies inside its sub-corpus 95% interval.</w:t>
      </w:r>
      <w:r>
        <w:rPr>
          <w:iCs/>
          <w:i/>
        </w:rPr>
        <w:t xml:space="preserve"> </w:t>
      </w:r>
      <m:oMath>
        <m:sSup>
          <m:e>
            <m:r>
              <m:t>​</m:t>
            </m:r>
          </m:e>
          <m:sup>
            <m:r>
              <m:rPr>
                <m:sty m:val="p"/>
              </m:rPr>
              <m:t>†</m:t>
            </m:r>
          </m:sup>
        </m:sSup>
      </m:oMath>
      <w:r>
        <w:rPr>
          <w:iCs/>
          <w:i/>
        </w:rPr>
        <w:t xml:space="preserve">Not confirmatory: observed in Phase 1, before registration.</w:t>
      </w:r>
      <w:r>
        <w:rPr>
          <w:iCs/>
          <w:i/>
        </w:rPr>
        <w:t xml:space="preserve"> </w:t>
      </w:r>
      <m:oMath>
        <m:sSup>
          <m:e>
            <m:r>
              <m:t>​</m:t>
            </m:r>
          </m:e>
          <m:sup>
            <m:r>
              <m:rPr>
                <m:sty m:val="p"/>
              </m:rPr>
              <m:t>‡</m:t>
            </m:r>
          </m:sup>
        </m:sSup>
      </m:oMath>
      <w:r>
        <w:rPr>
          <w:iCs/>
          <w:i/>
        </w:rPr>
        <w:t xml:space="preserve">Confirmatory for bge-small, bge-base, e5-base-v2 and Qwen3-Emb-0.6B only. The v0.3 analysis code also counted BM25 in the NQ P1 checks (six ratios); the registered criterion covers dense encoders, and the verdict is the same either way.</w:t>
      </w:r>
    </w:p>
    <w:bookmarkEnd w:id="117"/>
    <w:bookmarkEnd w:id="118"/>
    <w:bookmarkStart w:id="123" w:name="sec:discussion"/>
    <w:p>
      <w:pPr>
        <w:pStyle w:val="Heading1"/>
      </w:pPr>
      <w:r>
        <w:t xml:space="preserve">Discussion</w:t>
      </w:r>
    </w:p>
    <w:bookmarkStart w:id="119" w:name="what-the-transfer-ratio-shows"/>
    <w:p>
      <w:pPr>
        <w:pStyle w:val="Heading2"/>
      </w:pPr>
      <w:r>
        <w:t xml:space="preserve">What the transfer ratio shows</w:t>
      </w:r>
    </w:p>
    <w:p>
      <w:pPr>
        <w:pStyle w:val="FirstParagraph"/>
      </w:pPr>
      <w:r>
        <w:t xml:space="preserve">On single-hop NQ, a Hit@5 gain of a dense encoder over a small encoder came with an EM gain of 0.16 to 0.27 points per point, with both readers, and the ratio stayed well below 1 under every answer metric and baseline we tried at</w:t>
      </w:r>
      <w:r>
        <w:t xml:space="preserve"> </w:t>
      </w:r>
      <m:oMath>
        <m:r>
          <m:t>k</m:t>
        </m:r>
        <m:r>
          <m:rPr>
            <m:sty m:val="p"/>
          </m:rPr>
          <m:t>≥</m:t>
        </m:r>
        <m:r>
          <m:t>3</m:t>
        </m:r>
      </m:oMath>
      <w:r>
        <w:t xml:space="preserve">. The registered full-corpus run agreed for the encoders it covered: the ratio of e5-base-v2 moved by −0.02 and +0.04, and both values lay inside the sub-corpus intervals. The query-level accounting shows where the difference between the two gains sits. Queries that newly retrieved a gold passage did gain EM, but 0.23–0.30 of them had already been answered correctly under MiniLM-L6, and queries that kept or lost their hit gave back part of the gain. Three observations within our setup are consistent with this. (i) The readers fell well short of the gold-passage reference even with good retrieval, so part of the loss lies in reading, not retrieval. (ii) EM given a miss stayed far above closed-book EM, and the abstention prompt showed that the reader still answered most misses. The NQ relevance labels are sparse: 0.41–0.55 of dense-encoder misses had an answer string in their top five passages, and the readers may also have known some answers. Hit@5 therefore overstates the difference between encoders that matters for the reader. The full corpus showed the same effect from the other side: it removed about a tenth of the hits of each dense encoder but only 0.20–0.28 EM points per lost hit. (iii) Queries that hit under both retrievers lost a little EM with the stronger encoder, so a change of context can cost answers even when a gold passage stays in the top five. We did not inspect these contexts; this point is a hypothesis.</w:t>
      </w:r>
    </w:p>
    <w:p>
      <w:pPr>
        <w:pStyle w:val="BodyText"/>
      </w:pPr>
      <w:r>
        <w:t xml:space="preserve">On multi-hop HotpotQA, Hit@5 saturated while Both@5 did not. The EM gain sat almost entirely in queries for which the stronger encoder retrieved more supporting passages, mostly the second of two, and the EM ranking of retrievers followed Both@5 exactly. With Both@5 as the denominator, the HotpotQA ratios fell to 0.29–0.35, close to the NQ ratios against BM25. The large Hit@5-based ratios on HotpotQA therefore largely reflect the denominator: the retrieval gain that matters is larger than Hit@5 shows. The comparison questions, where both entities are named in the question, were close to their gold-passage reference for every dense encoder. These are descriptions of the data, not causal attributions, but they point the same way: for multi-hop questions, a retrieval metric that requires all needed evidence tracks the answer far better than Hit@k.</w:t>
      </w:r>
    </w:p>
    <w:p>
      <w:pPr>
        <w:pStyle w:val="BodyText"/>
      </w:pPr>
      <w:r>
        <w:t xml:space="preserve">Measured with Hit@5, the two datasets would support different conclusions about the same encoders. Measured with metrics that count the evidence the question needs, both show an answer gain that is a fraction of the retrieval gain.</w:t>
      </w:r>
    </w:p>
    <w:bookmarkEnd w:id="119"/>
    <w:bookmarkStart w:id="120" w:name="comparison-with-earlier-work"/>
    <w:p>
      <w:pPr>
        <w:pStyle w:val="Heading2"/>
      </w:pPr>
      <w:r>
        <w:t xml:space="preserve">Comparison with earlier work</w:t>
      </w:r>
    </w:p>
    <w:p>
      <w:pPr>
        <w:pStyle w:val="FirstParagraph"/>
      </w:pPr>
      <w:r>
        <w:t xml:space="preserve">That better retrieval need not give proportionally better answers is not new</w:t>
      </w:r>
      <w:r>
        <w:t xml:space="preserve"> </w:t>
      </w:r>
      <w:r>
        <w:t xml:space="preserve">(</w:t>
      </w:r>
      <w:hyperlink w:anchor="ref-salemi2024erag">
        <w:r>
          <w:rPr>
            <w:rStyle w:val="Hyperlink"/>
          </w:rPr>
          <w:t xml:space="preserve">Salemi and Zamani 2024</w:t>
        </w:r>
      </w:hyperlink>
      <w:r>
        <w:t xml:space="preserve">;</w:t>
      </w:r>
      <w:r>
        <w:t xml:space="preserve"> </w:t>
      </w:r>
      <w:hyperlink w:anchor="ref-mathur2026policy">
        <w:r>
          <w:rPr>
            <w:rStyle w:val="Hyperlink"/>
          </w:rPr>
          <w:t xml:space="preserve">Mathur et al. 2026</w:t>
        </w:r>
      </w:hyperlink>
      <w:r>
        <w:t xml:space="preserve">;</w:t>
      </w:r>
      <w:r>
        <w:t xml:space="preserve"> </w:t>
      </w:r>
      <w:hyperlink w:anchor="ref-ghosh2026evidence">
        <w:r>
          <w:rPr>
            <w:rStyle w:val="Hyperlink"/>
          </w:rPr>
          <w:t xml:space="preserve">Ghosh, Mukhopadhyay, and Chatterjee 2026</w:t>
        </w:r>
      </w:hyperlink>
      <w:r>
        <w:t xml:space="preserve">)</w:t>
      </w:r>
      <w:r>
        <w:t xml:space="preserve">, and our NQ results agree with the falling recall conversion rate reported by</w:t>
      </w:r>
      <w:r>
        <w:t xml:space="preserve"> </w:t>
      </w:r>
      <w:r>
        <w:t xml:space="preserve">Peng et al. (</w:t>
      </w:r>
      <w:hyperlink w:anchor="ref-peng2026neocorrag">
        <w:r>
          <w:rPr>
            <w:rStyle w:val="Hyperlink"/>
          </w:rPr>
          <w:t xml:space="preserve">2026</w:t>
        </w:r>
      </w:hyperlink>
      <w:r>
        <w:t xml:space="preserve">)</w:t>
      </w:r>
      <w:r>
        <w:t xml:space="preserve">. Our results do not contradict the strong correlations reported by</w:t>
      </w:r>
      <w:r>
        <w:t xml:space="preserve"> </w:t>
      </w:r>
      <w:r>
        <w:t xml:space="preserve">Samuel et al. (</w:t>
      </w:r>
      <w:hyperlink w:anchor="ref-samuel2026beyond">
        <w:r>
          <w:rPr>
            <w:rStyle w:val="Hyperlink"/>
          </w:rPr>
          <w:t xml:space="preserve">2026</w:t>
        </w:r>
      </w:hyperlink>
      <w:r>
        <w:t xml:space="preserve">)</w:t>
      </w:r>
      <w:r>
        <w:t xml:space="preserve"> </w:t>
      </w:r>
      <w:r>
        <w:t xml:space="preserve">or the conclusion of</w:t>
      </w:r>
      <w:r>
        <w:t xml:space="preserve"> </w:t>
      </w:r>
      <w:r>
        <w:t xml:space="preserve">Hitl, Bagić Babac, and Mornar (</w:t>
      </w:r>
      <w:hyperlink w:anchor="ref-hitl2026comparative">
        <w:r>
          <w:rPr>
            <w:rStyle w:val="Hyperlink"/>
          </w:rPr>
          <w:t xml:space="preserve">2026</w:t>
        </w:r>
      </w:hyperlink>
      <w:r>
        <w:t xml:space="preserve">)</w:t>
      </w:r>
      <w:r>
        <w:t xml:space="preserve"> </w:t>
      </w:r>
      <w:r>
        <w:t xml:space="preserve">that retrieval quality is the main determinant of end-to-end quality: the EM ranking of retrievers followed their Hit@5 ranking closely in every cell (Spearman</w:t>
      </w:r>
      <w:r>
        <w:t xml:space="preserve"> </w:t>
      </w:r>
      <m:oMath>
        <m:r>
          <m:t>ρ</m:t>
        </m:r>
      </m:oMath>
      <w:r>
        <w:t xml:space="preserve"> </w:t>
      </w:r>
      <w:r>
        <w:t xml:space="preserve">between 0.89 and 1.00). Correlation concerns the order of systems; the transfer ratio concerns the size of the gain. A metric can rank encoders correctly and still overstate how much answers improve, and that size is what decides whether a more expensive encoder is worth its cost. What this study adds is the paired size with its uncertainty, its sensitivity to the baseline, the answer metric,</w:t>
      </w:r>
      <w:r>
        <w:t xml:space="preserve"> </w:t>
      </w:r>
      <m:oMath>
        <m:r>
          <m:t>k</m:t>
        </m:r>
      </m:oMath>
      <w:r>
        <w:t xml:space="preserve"> </w:t>
      </w:r>
      <w:r>
        <w:t xml:space="preserve">and evidence completeness, and an accounting of where in the query set the gain appears.</w:t>
      </w:r>
    </w:p>
    <w:p>
      <w:pPr>
        <w:pStyle w:val="BodyText"/>
      </w:pPr>
      <w:r>
        <w:t xml:space="preserve">The context experiment agrees with earlier findings on distraction. Top-ranked non-gold passages lowered EM compared with random passages</w:t>
      </w:r>
      <w:r>
        <w:t xml:space="preserve"> </w:t>
      </w:r>
      <w:r>
        <w:t xml:space="preserve">(</w:t>
      </w:r>
      <w:hyperlink w:anchor="ref-cuconasu2024power">
        <w:r>
          <w:rPr>
            <w:rStyle w:val="Hyperlink"/>
          </w:rPr>
          <w:t xml:space="preserve">Cuconasu et al. 2024</w:t>
        </w:r>
      </w:hyperlink>
      <w:r>
        <w:t xml:space="preserve">;</w:t>
      </w:r>
      <w:r>
        <w:t xml:space="preserve"> </w:t>
      </w:r>
      <w:hyperlink w:anchor="ref-amiraz2025distracting">
        <w:r>
          <w:rPr>
            <w:rStyle w:val="Hyperlink"/>
          </w:rPr>
          <w:t xml:space="preserve">Amiraz et al. 2025</w:t>
        </w:r>
      </w:hyperlink>
      <w:r>
        <w:t xml:space="preserve">;</w:t>
      </w:r>
      <w:r>
        <w:t xml:space="preserve"> </w:t>
      </w:r>
      <w:hyperlink w:anchor="ref-repantis2026competition">
        <w:r>
          <w:rPr>
            <w:rStyle w:val="Hyperlink"/>
          </w:rPr>
          <w:t xml:space="preserve">Repantis et al. 2026</w:t>
        </w:r>
      </w:hyperlink>
      <w:r>
        <w:t xml:space="preserve">)</w:t>
      </w:r>
      <w:r>
        <w:t xml:space="preserve">, and adding random passages to the gold passage changed EM by no detectable amount. Gold position showed no detectable effect among five passages, in line with</w:t>
      </w:r>
      <w:r>
        <w:t xml:space="preserve"> </w:t>
      </w:r>
      <w:r>
        <w:t xml:space="preserve">Cuconasu et al. (</w:t>
      </w:r>
      <w:hyperlink w:anchor="ref-cuconasu2025positional">
        <w:r>
          <w:rPr>
            <w:rStyle w:val="Hyperlink"/>
          </w:rPr>
          <w:t xml:space="preserve">2025</w:t>
        </w:r>
      </w:hyperlink>
      <w:r>
        <w:t xml:space="preserve">)</w:t>
      </w:r>
      <w:r>
        <w:t xml:space="preserve">; with five short passages our setting is far from the long contexts in which position effects were originally shown</w:t>
      </w:r>
      <w:r>
        <w:t xml:space="preserve"> </w:t>
      </w:r>
      <w:r>
        <w:t xml:space="preserve">(</w:t>
      </w:r>
      <w:hyperlink w:anchor="ref-liu2024lost">
        <w:r>
          <w:rPr>
            <w:rStyle w:val="Hyperlink"/>
          </w:rPr>
          <w:t xml:space="preserve">Liu et al. 2024</w:t>
        </w:r>
      </w:hyperlink>
      <w:r>
        <w:t xml:space="preserve">)</w:t>
      </w:r>
      <w:r>
        <w:t xml:space="preserve">. The near-identical retrieval results of exact and approximate search agree with</w:t>
      </w:r>
      <w:r>
        <w:t xml:space="preserve"> </w:t>
      </w:r>
      <w:r>
        <w:t xml:space="preserve">Leto et al. (</w:t>
      </w:r>
      <w:hyperlink w:anchor="ref-leto2024toward">
        <w:r>
          <w:rPr>
            <w:rStyle w:val="Hyperlink"/>
          </w:rPr>
          <w:t xml:space="preserve">2024</w:t>
        </w:r>
      </w:hyperlink>
      <w:r>
        <w:t xml:space="preserve">)</w:t>
      </w:r>
      <w:r>
        <w:t xml:space="preserve">, who also measured answers; we measured retrieval only.</w:t>
      </w:r>
    </w:p>
    <w:bookmarkEnd w:id="120"/>
    <w:bookmarkStart w:id="121" w:name="practical-implications"/>
    <w:p>
      <w:pPr>
        <w:pStyle w:val="Heading2"/>
      </w:pPr>
      <w:r>
        <w:t xml:space="preserve">Practical implications</w:t>
      </w:r>
    </w:p>
    <w:p>
      <w:pPr>
        <w:pStyle w:val="FirstParagraph"/>
      </w:pPr>
      <w:r>
        <w:t xml:space="preserve">Within our setup, the choice of encoder mattered less for answers than for retrieval, while its retrieval-stage cost differed by more than an order of magnitude. For single-hop questions, no larger encoder gave a detectably higher EM than a base-size encoder such as e5-base-v2 or bge-base, which encoded 2.9 times faster than bge-large. For multi-hop questions, bge-large gave a small but detectable gain. Qwen3-Embedding-0.6B had the highest retrieval-stage cost and gave lower EM than e5-base-v2 on HotpotQA; its instruction and length settings may not suit this task, and we did not tune them. Retrieving ten passages instead of five raised EM for most retrievers and narrowed their differences, which is another option when the reader’s context allows it, although it nearly doubles the prompt the reader must process. The cross-encoder raised the Hit@5 and EM of the weak BM25 retrieval stage; for e5-base-v2 it lowered Hit@5, and no EM difference was detected. Approximate search returned nearly the same top passages as exact search at a small fraction of the latency; we did not measure its effect on answers.</w:t>
      </w:r>
    </w:p>
    <w:bookmarkEnd w:id="121"/>
    <w:bookmarkStart w:id="122" w:name="alternative-explanations"/>
    <w:p>
      <w:pPr>
        <w:pStyle w:val="Heading2"/>
      </w:pPr>
      <w:r>
        <w:t xml:space="preserve">Alternative explanations</w:t>
      </w:r>
    </w:p>
    <w:p>
      <w:pPr>
        <w:pStyle w:val="FirstParagraph"/>
      </w:pPr>
      <w:r>
        <w:t xml:space="preserve">Several features of the design could produce low NQ transfer without a property of the encoders. EM undercounts correct answers</w:t>
      </w:r>
      <w:r>
        <w:t xml:space="preserve"> </w:t>
      </w:r>
      <w:r>
        <w:t xml:space="preserve">(</w:t>
      </w:r>
      <w:hyperlink w:anchor="ref-kamalloo2023">
        <w:r>
          <w:rPr>
            <w:rStyle w:val="Hyperlink"/>
          </w:rPr>
          <w:t xml:space="preserve">Kamalloo et al. 2023</w:t>
        </w:r>
      </w:hyperlink>
      <w:r>
        <w:t xml:space="preserve">)</w:t>
      </w:r>
      <w:r>
        <w:t xml:space="preserve">; the F1 and containment ratios were higher but still well below 1. The sub-corpus inflates dense retrieval scores, but on the full corpus the order of four retrievers was kept, the e5-base-v2 ratios stayed inside their sub-corpus intervals for both readers, and the ratios of bge-small and e5-base-v2 against BM25 rose only from 0.29–0.34 to 0.33–0.38. This check covers three dense encoders on NQ; the larger encoders and HotpotQA were not run on a full corpus. Answer-bearing hard negatives did not explain the context effect either: P5 held, with a larger drop, on the questions whose hard negatives contained no answer string. The readers were 4-bit quantised 7–8B models with one prompt; stronger readers may convert hits into answers at a different rate. The ratio also depends on the baseline and on</w:t>
      </w:r>
      <w:r>
        <w:t xml:space="preserve"> </w:t>
      </w:r>
      <m:oMath>
        <m:r>
          <m:t>k</m:t>
        </m:r>
      </m:oMath>
      <w:r>
        <w:t xml:space="preserve">. Against BM25 the NQ ratios were higher (0.29–0.35), and with one passage read they were higher still. The ratio therefore describes a pair of retrievers at a given reading depth, not a single encoder.</w:t>
      </w:r>
    </w:p>
    <w:bookmarkEnd w:id="122"/>
    <w:bookmarkEnd w:id="123"/>
    <w:bookmarkStart w:id="130" w:name="sec:limits"/>
    <w:p>
      <w:pPr>
        <w:pStyle w:val="Heading1"/>
      </w:pPr>
      <w:r>
        <w:t xml:space="preserve">Limitations</w:t>
      </w:r>
    </w:p>
    <w:bookmarkStart w:id="124" w:name="scope"/>
    <w:p>
      <w:pPr>
        <w:pStyle w:val="Heading4"/>
      </w:pPr>
      <w:r>
        <w:t xml:space="preserve">Scope</w:t>
      </w:r>
    </w:p>
    <w:p>
      <w:pPr>
        <w:pStyle w:val="FirstParagraph"/>
      </w:pPr>
      <w:r>
        <w:t xml:space="preserve">The study covers two English Wikipedia question-answering datasets, six open encoders up to 0.6B parameters, two 4-bit 7–8B readers, one prompt and</w:t>
      </w:r>
      <w:r>
        <w:t xml:space="preserve"> </w:t>
      </w:r>
      <m:oMath>
        <m:r>
          <m:t>k</m:t>
        </m:r>
        <m:r>
          <m:rPr>
            <m:sty m:val="p"/>
          </m:rPr>
          <m:t>=</m:t>
        </m:r>
        <m:r>
          <m:t>5</m:t>
        </m:r>
      </m:oMath>
      <w:r>
        <w:t xml:space="preserve"> </w:t>
      </w:r>
      <w:r>
        <w:t xml:space="preserve">for the registered transfer ratios; the exploratory ratios at other</w:t>
      </w:r>
      <w:r>
        <w:t xml:space="preserve"> </w:t>
      </w:r>
      <m:oMath>
        <m:r>
          <m:t>k</m:t>
        </m:r>
      </m:oMath>
      <w:r>
        <w:t xml:space="preserve"> </w:t>
      </w:r>
      <w:r>
        <w:t xml:space="preserve">show that the size of the ratio depends on how many passages the reader sees. Results may differ for other domains, longer answers, larger or proprietary readers, other prompts or agentic pipelines. All timings come from one GPU type (Tesla T4) and one CPU configuration.</w:t>
      </w:r>
    </w:p>
    <w:bookmarkEnd w:id="124"/>
    <w:bookmarkStart w:id="125" w:name="corpus-and-labels"/>
    <w:p>
      <w:pPr>
        <w:pStyle w:val="Heading4"/>
      </w:pPr>
      <w:r>
        <w:t xml:space="preserve">Corpus and labels</w:t>
      </w:r>
    </w:p>
    <w:p>
      <w:pPr>
        <w:pStyle w:val="FirstParagraph"/>
      </w:pPr>
      <w:r>
        <w:t xml:space="preserve">Except for Phase 3, retrieval ran on 300,000-passage sub-corpora that contain every gold passage and favour the dense encoders relative to BM25. Phase 3 tested the NQ ratios on the full corpus for BM25, MiniLM-L6, bge-small and e5-base-v2 only; bge-base, bge-large, Qwen3-Embedding-0.6B and all of HotpotQA rest on the sub-corpus. NQ relevance labels are sparse. The answer-string check measures how often a miss still holds an answer, but it is lexical: it can count a passage that mentions the answer without supporting it, and it misses paraphrases. The registered blinded human audit of misses was not complete for this version. The joined NQ set covers 2,255 of 3,452 judged queries and may differ in difficulty from the excluded queries. A Phase 1 check found Hit@5 differences between joined and unjoined queries from −0.028 to +0.005 across the seven retrievers, and every 95% interval included zero.</w:t>
      </w:r>
    </w:p>
    <w:bookmarkEnd w:id="125"/>
    <w:bookmarkStart w:id="126" w:name="metrics-and-statistics"/>
    <w:p>
      <w:pPr>
        <w:pStyle w:val="Heading4"/>
      </w:pPr>
      <w:r>
        <w:t xml:space="preserve">Metrics and statistics</w:t>
      </w:r>
    </w:p>
    <w:p>
      <w:pPr>
        <w:pStyle w:val="FirstParagraph"/>
      </w:pPr>
      <w:r>
        <w:t xml:space="preserve">EM is strict. We report F1 and answer containment, but did not judge correctness by hand. The transfer ratio is a ratio of means and becomes unstable when the retrieval gain is small; our reporting rule removes the worst cases, but the bge-small intervals on NQ still include zero. The ratio depends on the baseline encoder, and the share of the gain assigned to conditional EM depends on how the decomposition is ordered (Tables </w:t>
      </w:r>
      <w:hyperlink w:anchor="tab:altbase">
        <w:r>
          <w:rPr>
            <w:rStyle w:val="Hyperlink"/>
          </w:rPr>
          <w:t xml:space="preserve">[tab:altbase]</w:t>
        </w:r>
      </w:hyperlink>
      <w:r>
        <w:t xml:space="preserve"> </w:t>
      </w:r>
      <w:r>
        <w:t xml:space="preserve">and </w:t>
      </w:r>
      <w:hyperlink w:anchor="tab:share">
        <w:r>
          <w:rPr>
            <w:rStyle w:val="Hyperlink"/>
          </w:rPr>
          <w:t xml:space="preserve">11</w:t>
        </w:r>
      </w:hyperlink>
      <w:r>
        <w:t xml:space="preserve">). The decomposition, the query-level accounting, the Both@5 ranking and ratios, the BM25 baseline and the GEE interaction model are post hoc. The accounting groups are defined by retrieval outcomes, so they locate the EM difference but do not explain it. The registered pooled GEE model assumed one retriever effect across datasets, which the interaction test did not support. Answer quality under approximate search was not measured. Multiplicity is controlled within each family, not across all tests in the paper. Bootstrap intervals, F1, answer containment and the pooled model were checked by a rerun on a second computer, not by an independent implementation.</w:t>
      </w:r>
    </w:p>
    <w:bookmarkEnd w:id="126"/>
    <w:bookmarkStart w:id="127" w:name="context-experiment"/>
    <w:p>
      <w:pPr>
        <w:pStyle w:val="Heading4"/>
      </w:pPr>
      <w:r>
        <w:t xml:space="preserve">Context experiment</w:t>
      </w:r>
    </w:p>
    <w:p>
      <w:pPr>
        <w:pStyle w:val="FirstParagraph"/>
      </w:pPr>
      <w:r>
        <w:t xml:space="preserve">The hard negatives are top-ranked BM25 passages without a gold label, and a third of the questions had at least one that contained an answer string. Excluding those questions made the measured drop larger, so this does not weaken P5, but the subset analysis is a sensitivity check on 333 questions. The experiment used one reader and 500 questions. The random-passage control found no detected difference from the gold passage alone; it does not establish equivalence.</w:t>
      </w:r>
    </w:p>
    <w:bookmarkEnd w:id="127"/>
    <w:bookmarkStart w:id="128" w:name="judge-and-annotation"/>
    <w:p>
      <w:pPr>
        <w:pStyle w:val="Heading4"/>
      </w:pPr>
      <w:r>
        <w:t xml:space="preserve">Judge and annotation</w:t>
      </w:r>
    </w:p>
    <w:p>
      <w:pPr>
        <w:pStyle w:val="FirstParagraph"/>
      </w:pPr>
      <w:r>
        <w:t xml:space="preserve">The LLM judge was validated against one annotator, the author. With</w:t>
      </w:r>
      <w:r>
        <w:t xml:space="preserve"> </w:t>
      </w:r>
      <m:oMath>
        <m:r>
          <m:t>κ</m:t>
        </m:r>
      </m:oMath>
      <w:r>
        <w:t xml:space="preserve"> </w:t>
      </w:r>
      <w:r>
        <w:t xml:space="preserve">= 0.127 the judge was excluded under the registered rule, so this limitation does not affect the conclusions, but no faithfulness result is reported.</w:t>
      </w:r>
    </w:p>
    <w:bookmarkEnd w:id="128"/>
    <w:bookmarkStart w:id="129" w:name="three-study-phases"/>
    <w:p>
      <w:pPr>
        <w:pStyle w:val="Heading4"/>
      </w:pPr>
      <w:r>
        <w:t xml:space="preserve">Three study phases</w:t>
      </w:r>
    </w:p>
    <w:p>
      <w:pPr>
        <w:pStyle w:val="FirstParagraph"/>
      </w:pPr>
      <w:r>
        <w:t xml:space="preserve">The predictions were registered in dated, version-controlled design documents in our own repository, not in a public registry. The Qwen–NQ cell and part of the</w:t>
      </w:r>
      <w:r>
        <w:t xml:space="preserve"> </w:t>
      </w:r>
      <m:oMath>
        <m:r>
          <m:t>k</m:t>
        </m:r>
      </m:oMath>
      <w:r>
        <w:t xml:space="preserve"> </w:t>
      </w:r>
      <w:r>
        <w:t xml:space="preserve">ablation were run before the predictions were registered, and the software image changed between Phases 1 and 2. P7 and P8 were registered after the sub-corpus results were known; they test whether those results replicate, not a new hypothesis. Within-cell comparisons share one environment. For comparisons across phases, 396 of 397 identical prompts gave identical outputs.</w:t>
      </w:r>
    </w:p>
    <w:bookmarkEnd w:id="129"/>
    <w:bookmarkEnd w:id="130"/>
    <w:bookmarkStart w:id="131" w:name="sec:conclusion"/>
    <w:p>
      <w:pPr>
        <w:pStyle w:val="Heading1"/>
      </w:pPr>
      <w:r>
        <w:t xml:space="preserve">Conclusion</w:t>
      </w:r>
    </w:p>
    <w:p>
      <w:pPr>
        <w:pStyle w:val="FirstParagraph"/>
      </w:pPr>
      <w:r>
        <w:t xml:space="preserve">We measured how much of a paired retrieval gain reaches the answer when a RAG system swaps one open embedding model for another. On single-hop NQ, between 0.16 and 0.27 EM points followed each Hit@5 point that a dense encoder gained over MiniLM-L6, for both readers; the ratio stayed well below 1 under other answer metrics and a BM25 baseline, held on the full NQ corpus in a registered rerun (0.15–0.23), and its size depended on the number of passages read (RQ1). The gain came from queries that newly retrieved a gold passage, partly offset by queries that kept or lost one, and many retrieval misses still contained the answer. On multi-hop HotpotQA, the Hit@5-based ratios were larger, but with Both@5 as the denominator they were 0.29 to 0.35, and the EM gain sat in queries for which the encoder retrieved more supporting passages. Among dense encoders, bge-large gave a small EM gain over e5-base-v2 on HotpotQA and none detectable on NQ, and Qwen3-Embedding-0.6B gave lower EM on HotpotQA (RQ2). Top-ranked non-gold passages lowered EM, gold position did not change it detectably, and ten passages narrowed the gaps between retrievers (RQ3). Retrieval-stage throughput differed 27-fold, approximate search returned nearly the same top passages, and on the full NQ corpus the four retrievers tested kept their order and their transfer ratios (RQ4).</w:t>
      </w:r>
    </w:p>
    <w:p>
      <w:pPr>
        <w:pStyle w:val="BodyText"/>
      </w:pPr>
      <w:r>
        <w:t xml:space="preserve">Within this setup, retrieval gains overstated answer gains, and Hit@5 hid much of the multi-hop retrieval gain. We recommend that RAG studies report answer gains next to retrieval gains, with paired intervals, the baseline and the reading depth stated, and that they score multi-hop retrieval by complete evidence. Future work should test larger readers, other domains and the multi-hop setting on a full corpus, run the readers on approximate-search results, and judge by hand whether the answer-bearing passages behind retrieval misses support the answer.</w:t>
      </w:r>
    </w:p>
    <w:bookmarkEnd w:id="131"/>
    <w:bookmarkStart w:id="136" w:name="ethics-statement"/>
    <w:p>
      <w:pPr>
        <w:pStyle w:val="Heading1"/>
      </w:pPr>
      <w:r>
        <w:t xml:space="preserve">Ethics statement</w:t>
      </w:r>
    </w:p>
    <w:bookmarkStart w:id="132" w:name="data-and-licences"/>
    <w:p>
      <w:pPr>
        <w:pStyle w:val="Heading4"/>
      </w:pPr>
      <w:r>
        <w:t xml:space="preserve">Data and licences</w:t>
      </w:r>
    </w:p>
    <w:p>
      <w:pPr>
        <w:pStyle w:val="FirstParagraph"/>
      </w:pPr>
      <w:r>
        <w:t xml:space="preserve">We used public resources under their licences, as listed on their Hugging Face cards (accessed 17 October 2026): the BEIR versions of Natural Questions and HotpotQA (CC BY-SA 4.0), NQ-open (CC BY-SA 3.0) and HotpotQA (CC BY-SA 4.0). The encoders are released under Apache-2.0 (all-MiniLM-L6-v2, Qwen3-Embedding-0.6B) or MIT (bge, e5 and bge-reranker-base); Qwen2.5-7B-Instruct-AWQ and Mistral-7B-Instruct-v0.3 under Apache-2.0; and the Llama-3.1-8B-Instruct AWQ build under the Llama 3.1 Community License. We used each for research evaluation. The questions are public benchmark questions over Wikipedia; we collected no personal data.</w:t>
      </w:r>
    </w:p>
    <w:bookmarkEnd w:id="132"/>
    <w:bookmarkStart w:id="133" w:name="human-annotation"/>
    <w:p>
      <w:pPr>
        <w:pStyle w:val="Heading4"/>
      </w:pPr>
      <w:r>
        <w:t xml:space="preserve">Human annotation</w:t>
      </w:r>
    </w:p>
    <w:p>
      <w:pPr>
        <w:pStyle w:val="FirstParagraph"/>
      </w:pPr>
      <w:r>
        <w:t xml:space="preserve">The 200 judge-validation items were labelled by one member of the study team, with the same instructions the judge received and without seeing its verdicts. No external participants were involved.</w:t>
      </w:r>
    </w:p>
    <w:bookmarkEnd w:id="133"/>
    <w:bookmarkStart w:id="134" w:name="risks"/>
    <w:p>
      <w:pPr>
        <w:pStyle w:val="Heading4"/>
      </w:pPr>
      <w:r>
        <w:t xml:space="preserve">Risks</w:t>
      </w:r>
    </w:p>
    <w:p>
      <w:pPr>
        <w:pStyle w:val="FirstParagraph"/>
      </w:pPr>
      <w:r>
        <w:t xml:space="preserve">The study compares existing models and creates no new model. Readers may over-generalise the comparison to other readers, corpora or languages; we scope each claim to the tested setup. The excluded LLM judge should not be used as evidence that a system gives faithful answers.</w:t>
      </w:r>
    </w:p>
    <w:bookmarkEnd w:id="134"/>
    <w:bookmarkStart w:id="135" w:name="compute"/>
    <w:p>
      <w:pPr>
        <w:pStyle w:val="Heading4"/>
      </w:pPr>
      <w:r>
        <w:t xml:space="preserve">Compute</w:t>
      </w:r>
    </w:p>
    <w:p>
      <w:pPr>
        <w:pStyle w:val="FirstParagraph"/>
      </w:pPr>
      <w:r>
        <w:t xml:space="preserve">All experiments ran on free Kaggle sessions with Tesla T4 GPUs; the study had no monetary cost.</w:t>
      </w:r>
    </w:p>
    <w:bookmarkEnd w:id="135"/>
    <w:bookmarkEnd w:id="136"/>
    <w:bookmarkStart w:id="137" w:name="data-and-code-availability"/>
    <w:p>
      <w:pPr>
        <w:pStyle w:val="Heading1"/>
      </w:pPr>
      <w:r>
        <w:t xml:space="preserve">Data and code availability</w:t>
      </w:r>
    </w:p>
    <w:p>
      <w:pPr>
        <w:pStyle w:val="FirstParagraph"/>
      </w:pPr>
      <w:r>
        <w:t xml:space="preserve">All code, prompts, design documents with their registration dates, raw reader outputs, scored answers and analysis scripts are kept in one version-controlled repository. To preserve double-anonymised review, its link is given to the editor on the separate title page; it will be made public, with an archived DOI, on acceptance. The datasets and models are public under their own licences; the exact revisions are listed in Appendix </w:t>
      </w:r>
      <w:hyperlink w:anchor="app:repro">
        <w:r>
          <w:rPr>
            <w:rStyle w:val="Hyperlink"/>
          </w:rPr>
          <w:t xml:space="preserve">11</w:t>
        </w:r>
      </w:hyperlink>
      <w:r>
        <w:t xml:space="preserve">. Every number in this paper is generated by script from the committed outputs, including the post hoc analyses, whose scripts are in the same repository.</w:t>
      </w:r>
    </w:p>
    <w:bookmarkEnd w:id="137"/>
    <w:bookmarkStart w:id="138"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to write and test analysis and experiment code, to check references against bibliographic databases, and to draft and edit text. After using this tool, the author reviewed and edited the content as needed and takes full responsibility for the content of the published article. Figures and tables were generated by scripts from the experimental data.</w:t>
      </w:r>
    </w:p>
    <w:bookmarkEnd w:id="138"/>
    <w:bookmarkStart w:id="143" w:name="app:prompts"/>
    <w:p>
      <w:pPr>
        <w:pStyle w:val="Heading1"/>
      </w:pPr>
      <w:r>
        <w:t xml:space="preserve">Reader prompts</w:t>
      </w:r>
    </w:p>
    <w:p>
      <w:pPr>
        <w:pStyle w:val="FirstParagraph"/>
      </w:pPr>
      <w:r>
        <w:t xml:space="preserve">The prompts below are copied from the code that ran the readers (</w:t>
      </w:r>
      <w:r>
        <w:rPr>
          <w:rStyle w:val="VerbatimChar"/>
        </w:rPr>
        <w:t xml:space="preserve">src/generation/prompts.py</w:t>
      </w:r>
      <w:r>
        <w:t xml:space="preserve">). Every generation record stores a hash of the system prompt; all 131,855 scored answers carry the hash of the prompt printed here (A1: 122,545, A2: 8,510, A3: 800 records). Each prompt was rendered with the reader’s own chat template.</w:t>
      </w:r>
    </w:p>
    <w:bookmarkStart w:id="139" w:name="user-message-a1-and-a3"/>
    <w:p>
      <w:pPr>
        <w:pStyle w:val="Heading4"/>
      </w:pPr>
      <w:r>
        <w:t xml:space="preserve">User message (A1 and A3)</w:t>
      </w:r>
    </w:p>
    <w:p>
      <w:pPr>
        <w:pStyle w:val="FirstParagraph"/>
      </w:pPr>
      <w:r>
        <w:t xml:space="preserve">Passages appear in rank order, each as</w:t>
      </w:r>
      <w:r>
        <w:t xml:space="preserve"> </w:t>
      </w:r>
      <w:r>
        <w:t xml:space="preserve">“</w:t>
      </w:r>
      <w:r>
        <w:t xml:space="preserve">[</w:t>
      </w:r>
      <m:oMath>
        <m:r>
          <m:t>i</m:t>
        </m:r>
      </m:oMath>
      <w:r>
        <w:t xml:space="preserve">] title</w:t>
      </w:r>
      <w:r>
        <w:t xml:space="preserve">”</w:t>
      </w:r>
      <w:r>
        <w:t xml:space="preserve">, a line break and the passage text, separated by blank lines:</w:t>
      </w:r>
    </w:p>
    <w:p>
      <w:pPr>
        <w:pStyle w:val="BlockText"/>
      </w:pPr>
      <w:r>
        <w:t xml:space="preserve">Passages:</w:t>
      </w:r>
      <w:r>
        <w:br/>
      </w:r>
      <w:r>
        <w:t xml:space="preserve">[</w:t>
      </w:r>
      <w:r>
        <w:t xml:space="preserve">1</w:t>
      </w:r>
      <w:r>
        <w:t xml:space="preserve">]</w:t>
      </w:r>
      <w:r>
        <w:t xml:space="preserve"> </w:t>
      </w:r>
      <w:r>
        <w:t xml:space="preserve">{title 1}</w:t>
      </w:r>
      <w:r>
        <w:br/>
      </w:r>
      <w:r>
        <w:t xml:space="preserve">{text 1}</w:t>
      </w:r>
      <w:r>
        <w:br/>
      </w:r>
      <w:r>
        <w:t xml:space="preserve">[</w:t>
      </w:r>
      <w:r>
        <w:t xml:space="preserve">2</w:t>
      </w:r>
      <w:r>
        <w:t xml:space="preserve">]</w:t>
      </w:r>
      <w:r>
        <w:t xml:space="preserve"> </w:t>
      </w:r>
      <w:r>
        <w:t xml:space="preserve">{title 2}</w:t>
      </w:r>
      <w:r>
        <w:br/>
      </w:r>
      <w:r>
        <w:t xml:space="preserve">{text 2}</w:t>
      </w:r>
      <w:r>
        <w:br/>
      </w:r>
      <w:r>
        <w:t xml:space="preserve">…</w:t>
      </w:r>
      <w:r>
        <w:br/>
      </w:r>
      <w:r>
        <w:t xml:space="preserve">Question: {question}</w:t>
      </w:r>
      <w:r>
        <w:br/>
      </w:r>
      <w:r>
        <w:t xml:space="preserve">Answer:</w:t>
      </w:r>
    </w:p>
    <w:bookmarkEnd w:id="139"/>
    <w:bookmarkStart w:id="140" w:name="a1-main-prompt-with-passages"/>
    <w:p>
      <w:pPr>
        <w:pStyle w:val="Heading4"/>
      </w:pPr>
      <w:r>
        <w:t xml:space="preserve">A1 (main prompt, with passages)</w:t>
      </w:r>
    </w:p>
    <w:p>
      <w:pPr>
        <w:pStyle w:val="FirstParagraph"/>
      </w:pPr>
      <w:r>
        <w:t xml:space="preserve">System:</w:t>
      </w:r>
      <w:r>
        <w:t xml:space="preserve"> </w:t>
      </w:r>
      <w:r>
        <w:rPr>
          <w:iCs/>
          <w:i/>
        </w:rPr>
        <w:t xml:space="preserve">“</w:t>
      </w:r>
      <w:r>
        <w:rPr>
          <w:iCs/>
          <w:i/>
        </w:rPr>
        <w:t xml:space="preserve">You are a question answering assistant. Answer the question using the passages provided. If the passages do not contain the answer, give your best short answer anyway. Reply with the answer only, as a short phrase of a few words, with no explanation.</w:t>
      </w:r>
      <w:r>
        <w:rPr>
          <w:iCs/>
          <w:i/>
        </w:rPr>
        <w:t xml:space="preserve">”</w:t>
      </w:r>
    </w:p>
    <w:bookmarkEnd w:id="140"/>
    <w:bookmarkStart w:id="141" w:name="a2-closed-book"/>
    <w:p>
      <w:pPr>
        <w:pStyle w:val="Heading4"/>
      </w:pPr>
      <w:r>
        <w:t xml:space="preserve">A2 (closed book)</w:t>
      </w:r>
    </w:p>
    <w:p>
      <w:pPr>
        <w:pStyle w:val="FirstParagraph"/>
      </w:pPr>
      <w:r>
        <w:t xml:space="preserve">System:</w:t>
      </w:r>
      <w:r>
        <w:t xml:space="preserve"> </w:t>
      </w:r>
      <w:r>
        <w:rPr>
          <w:iCs/>
          <w:i/>
        </w:rPr>
        <w:t xml:space="preserve">“</w:t>
      </w:r>
      <w:r>
        <w:rPr>
          <w:iCs/>
          <w:i/>
        </w:rPr>
        <w:t xml:space="preserve">You are a question answering assistant. Reply with the answer only, as a short phrase of a few words, with no explanation.</w:t>
      </w:r>
      <w:r>
        <w:rPr>
          <w:iCs/>
          <w:i/>
        </w:rPr>
        <w:t xml:space="preserve">”</w:t>
      </w:r>
      <w:r>
        <w:t xml:space="preserve"> </w:t>
      </w:r>
      <w:r>
        <w:t xml:space="preserve">User:</w:t>
      </w:r>
      <w:r>
        <w:t xml:space="preserve"> </w:t>
      </w:r>
      <w:r>
        <w:rPr>
          <w:rStyle w:val="VerbatimChar"/>
        </w:rPr>
        <w:t xml:space="preserve">Question: {question}</w:t>
      </w:r>
      <w:r>
        <w:t xml:space="preserve"> </w:t>
      </w:r>
      <w:r>
        <w:t xml:space="preserve">followed by a line break and</w:t>
      </w:r>
      <w:r>
        <w:t xml:space="preserve"> </w:t>
      </w:r>
      <w:r>
        <w:rPr>
          <w:rStyle w:val="VerbatimChar"/>
        </w:rPr>
        <w:t xml:space="preserve">Answer:</w:t>
      </w:r>
      <w:r>
        <w:t xml:space="preserve">.</w:t>
      </w:r>
    </w:p>
    <w:bookmarkEnd w:id="141"/>
    <w:bookmarkStart w:id="142" w:name="a3-abstention-check-phase-1-only"/>
    <w:p>
      <w:pPr>
        <w:pStyle w:val="Heading4"/>
      </w:pPr>
      <w:r>
        <w:t xml:space="preserve">A3 (abstention check, Phase 1 only)</w:t>
      </w:r>
    </w:p>
    <w:p>
      <w:pPr>
        <w:pStyle w:val="FirstParagraph"/>
      </w:pPr>
      <w:r>
        <w:t xml:space="preserve">System:</w:t>
      </w:r>
      <w:r>
        <w:t xml:space="preserve"> </w:t>
      </w:r>
      <w:r>
        <w:rPr>
          <w:iCs/>
          <w:i/>
        </w:rPr>
        <w:t xml:space="preserve">“</w:t>
      </w:r>
      <w:r>
        <w:rPr>
          <w:iCs/>
          <w:i/>
        </w:rPr>
        <w:t xml:space="preserve">You are a question answering assistant. Answer the question using only the passages provided. If the passages do not contain the answer, reply exactly: I don’t know. Otherwise reply with the answer only, as a short phrase of a few words, with no explanation.</w:t>
      </w:r>
      <w:r>
        <w:rPr>
          <w:iCs/>
          <w:i/>
        </w:rPr>
        <w:t xml:space="preserve">”</w:t>
      </w:r>
      <w:r>
        <w:t xml:space="preserve"> </w:t>
      </w:r>
      <w:r>
        <w:t xml:space="preserve">User message as for A1.</w:t>
      </w:r>
    </w:p>
    <w:p>
      <w:pPr>
        <w:pStyle w:val="BodyText"/>
      </w:pPr>
      <w:r>
        <w:t xml:space="preserve">The gold-passage condition uses A1 with the gold passages only.</w:t>
      </w:r>
    </w:p>
    <w:bookmarkEnd w:id="142"/>
    <w:bookmarkEnd w:id="143"/>
    <w:bookmarkStart w:id="144" w:name="app:judge"/>
    <w:p>
      <w:pPr>
        <w:pStyle w:val="Heading1"/>
      </w:pPr>
      <w:r>
        <w:t xml:space="preserve">Judge prompt and annotation instructions</w:t>
      </w:r>
    </w:p>
    <w:p>
      <w:pPr>
        <w:pStyle w:val="FirstParagraph"/>
      </w:pPr>
      <w:r>
        <w:t xml:space="preserve">The LLM judge (Mistral-7B-Instruct-v0.3, greedy decoding, at most 8 new tokens) received one user message:</w:t>
      </w:r>
    </w:p>
    <w:p>
      <w:pPr>
        <w:pStyle w:val="BlockText"/>
      </w:pPr>
      <w:r>
        <w:rPr>
          <w:iCs/>
          <w:i/>
        </w:rPr>
        <w:t xml:space="preserve">You will be given PASSAGES, a QUESTION, and an ANSWER. Decide whether the ANSWER is fully supported by the PASSAGES. An answer is SUPPORTED only if the passages state it or directly imply it. Do not use outside knowledge. Do not judge whether the answer is true in the real world.</w:t>
      </w:r>
      <w:r>
        <w:br/>
      </w:r>
      <w:r>
        <w:rPr>
          <w:iCs/>
          <w:i/>
        </w:rPr>
        <w:t xml:space="preserve">PASSAGES:</w:t>
      </w:r>
      <w:r>
        <w:t xml:space="preserve"> </w:t>
      </w:r>
      <w:r>
        <w:t xml:space="preserve">[the same five passages the reader saw, formatted as in Appendix </w:t>
      </w:r>
      <w:hyperlink w:anchor="app:prompts">
        <w:r>
          <w:rPr>
            <w:rStyle w:val="Hyperlink"/>
          </w:rPr>
          <w:t xml:space="preserve">9</w:t>
        </w:r>
      </w:hyperlink>
      <w:r>
        <w:t xml:space="preserve">]</w:t>
      </w:r>
      <w:r>
        <w:br/>
      </w:r>
      <w:r>
        <w:rPr>
          <w:iCs/>
          <w:i/>
        </w:rPr>
        <w:t xml:space="preserve">QUESTION:</w:t>
      </w:r>
      <w:r>
        <w:t xml:space="preserve"> </w:t>
      </w:r>
      <w:r>
        <w:t xml:space="preserve">{question}</w:t>
      </w:r>
      <w:r>
        <w:t xml:space="preserve"> </w:t>
      </w:r>
      <w:r>
        <w:rPr>
          <w:iCs/>
          <w:i/>
        </w:rPr>
        <w:t xml:space="preserve">ANSWER:</w:t>
      </w:r>
      <w:r>
        <w:t xml:space="preserve"> </w:t>
      </w:r>
      <w:r>
        <w:t xml:space="preserve">{answer}</w:t>
      </w:r>
      <w:r>
        <w:br/>
      </w:r>
      <w:r>
        <w:rPr>
          <w:iCs/>
          <w:i/>
        </w:rPr>
        <w:t xml:space="preserve">Reply with exactly one word: SUPPORTED or NOT_SUPPORTED.</w:t>
      </w:r>
    </w:p>
    <w:p>
      <w:pPr>
        <w:pStyle w:val="FirstParagraph"/>
      </w:pPr>
      <w:r>
        <w:t xml:space="preserve">The verdict was the label SUPPORTED or NOT_SUPPORTED found at the start of the output; there were no parse failures. The human annotator saw the same text, without the judge’s verdict, plus the instruction:</w:t>
      </w:r>
      <w:r>
        <w:t xml:space="preserve"> </w:t>
      </w:r>
      <w:r>
        <w:rPr>
          <w:iCs/>
          <w:i/>
        </w:rPr>
        <w:t xml:space="preserve">“</w:t>
      </w:r>
      <w:r>
        <w:rPr>
          <w:iCs/>
          <w:i/>
        </w:rPr>
        <w:t xml:space="preserve">Label each item SUPPORTED or NOT_SUPPORTED. If unsure, choose NOT_SUPPORTED and add a note.</w:t>
      </w:r>
      <w:r>
        <w:rPr>
          <w:iCs/>
          <w:i/>
        </w:rPr>
        <w:t xml:space="preserve">”</w:t>
      </w:r>
      <w:r>
        <w:t xml:space="preserve"> </w:t>
      </w:r>
      <w:r>
        <w:t xml:space="preserve">The 200 items were drawn by a seeded, stratified sampler that over-represents NOT_SUPPORTED verdicts; population-weighted statistics use the inverse inclusion probabilities.</w:t>
      </w:r>
    </w:p>
    <w:bookmarkEnd w:id="144"/>
    <w:bookmarkStart w:id="147" w:name="app:repro"/>
    <w:p>
      <w:pPr>
        <w:pStyle w:val="Heading1"/>
      </w:pPr>
      <w:r>
        <w:t xml:space="preserve">Models, data and software</w:t>
      </w:r>
    </w:p>
    <w:bookmarkStart w:id="145" w:name="tab:revisions"/>
    <w:p>
      <w:pPr>
        <w:pStyle w:val="TableCaption"/>
      </w:pPr>
      <w:r>
        <w:t xml:space="preserve">Pinned revisions (leading eight characters of the Hugging Face commit).</w:t>
      </w:r>
    </w:p>
    <w:tbl>
      <w:tblPr>
        <w:tblStyle w:val="Table"/>
        <w:tblW w:type="auto" w:w="0"/>
        <w:tblLook w:firstRow="1" w:lastRow="0" w:firstColumn="0" w:lastColumn="0" w:noHBand="0" w:noVBand="0" w:val="0020"/>
        <w:jc w:val="start"/>
        <w:tblCaption w:val="Pinned revisions (leading eight characters of the Hugging Face commit)."/>
      </w:tblPr>
      <w:tblGrid>
        <w:gridCol w:w="3960"/>
        <w:gridCol w:w="3960"/>
      </w:tblGrid>
      <w:tr>
        <w:trPr>
          <w:tblHeader w:val="true"/>
        </w:trPr>
        <w:tc>
          <w:tcPr/>
          <w:p>
            <w:pPr>
              <w:pStyle w:val="Compact"/>
              <w:jc w:val="left"/>
            </w:pPr>
            <w:r>
              <w:t xml:space="preserve">Resource</w:t>
            </w:r>
          </w:p>
        </w:tc>
        <w:tc>
          <w:tcPr/>
          <w:p>
            <w:pPr>
              <w:pStyle w:val="Compact"/>
              <w:jc w:val="left"/>
            </w:pPr>
            <w:r>
              <w:t xml:space="preserve">Revision</w:t>
            </w:r>
          </w:p>
        </w:tc>
      </w:tr>
      <w:tr>
        <w:tc>
          <w:tcPr/>
          <w:p>
            <w:pPr>
              <w:pStyle w:val="Compact"/>
              <w:jc w:val="left"/>
            </w:pPr>
            <w:r>
              <w:t xml:space="preserve">sentence-transformers/all-MiniLM-L6-v2</w:t>
            </w:r>
          </w:p>
        </w:tc>
        <w:tc>
          <w:tcPr/>
          <w:p>
            <w:pPr>
              <w:pStyle w:val="Compact"/>
              <w:jc w:val="left"/>
            </w:pPr>
            <w:r>
              <w:t xml:space="preserve">1110a243</w:t>
            </w:r>
          </w:p>
        </w:tc>
      </w:tr>
      <w:tr>
        <w:tc>
          <w:tcPr/>
          <w:p>
            <w:pPr>
              <w:pStyle w:val="Compact"/>
              <w:jc w:val="left"/>
            </w:pPr>
            <w:r>
              <w:t xml:space="preserve">BAAI/bge-small-en-v1.5</w:t>
            </w:r>
          </w:p>
        </w:tc>
        <w:tc>
          <w:tcPr/>
          <w:p>
            <w:pPr>
              <w:pStyle w:val="Compact"/>
              <w:jc w:val="left"/>
            </w:pPr>
            <w:r>
              <w:t xml:space="preserve">5c38ec7c</w:t>
            </w:r>
          </w:p>
        </w:tc>
      </w:tr>
      <w:tr>
        <w:tc>
          <w:tcPr/>
          <w:p>
            <w:pPr>
              <w:pStyle w:val="Compact"/>
              <w:jc w:val="left"/>
            </w:pPr>
            <w:r>
              <w:t xml:space="preserve">BAAI/bge-base-en-v1.5</w:t>
            </w:r>
          </w:p>
        </w:tc>
        <w:tc>
          <w:tcPr/>
          <w:p>
            <w:pPr>
              <w:pStyle w:val="Compact"/>
              <w:jc w:val="left"/>
            </w:pPr>
            <w:r>
              <w:t xml:space="preserve">a5beb1e3</w:t>
            </w:r>
          </w:p>
        </w:tc>
      </w:tr>
      <w:tr>
        <w:tc>
          <w:tcPr/>
          <w:p>
            <w:pPr>
              <w:pStyle w:val="Compact"/>
              <w:jc w:val="left"/>
            </w:pPr>
            <w:r>
              <w:t xml:space="preserve">BAAI/bge-large-en-v1.5</w:t>
            </w:r>
          </w:p>
        </w:tc>
        <w:tc>
          <w:tcPr/>
          <w:p>
            <w:pPr>
              <w:pStyle w:val="Compact"/>
              <w:jc w:val="left"/>
            </w:pPr>
            <w:r>
              <w:t xml:space="preserve">d4aa6901</w:t>
            </w:r>
          </w:p>
        </w:tc>
      </w:tr>
      <w:tr>
        <w:tc>
          <w:tcPr/>
          <w:p>
            <w:pPr>
              <w:pStyle w:val="Compact"/>
              <w:jc w:val="left"/>
            </w:pPr>
            <w:r>
              <w:t xml:space="preserve">intfloat/e5-base-v2</w:t>
            </w:r>
          </w:p>
        </w:tc>
        <w:tc>
          <w:tcPr/>
          <w:p>
            <w:pPr>
              <w:pStyle w:val="Compact"/>
              <w:jc w:val="left"/>
            </w:pPr>
            <w:r>
              <w:t xml:space="preserve">f52bf8ec</w:t>
            </w:r>
          </w:p>
        </w:tc>
      </w:tr>
      <w:tr>
        <w:tc>
          <w:tcPr/>
          <w:p>
            <w:pPr>
              <w:pStyle w:val="Compact"/>
              <w:jc w:val="left"/>
            </w:pPr>
            <w:r>
              <w:t xml:space="preserve">Qwen/Qwen3-Embedding-0.6B</w:t>
            </w:r>
          </w:p>
        </w:tc>
        <w:tc>
          <w:tcPr/>
          <w:p>
            <w:pPr>
              <w:pStyle w:val="Compact"/>
              <w:jc w:val="left"/>
            </w:pPr>
            <w:r>
              <w:t xml:space="preserve">97b0c614</w:t>
            </w:r>
          </w:p>
        </w:tc>
      </w:tr>
      <w:tr>
        <w:tc>
          <w:tcPr/>
          <w:p>
            <w:pPr>
              <w:pStyle w:val="Compact"/>
              <w:jc w:val="left"/>
            </w:pPr>
            <w:r>
              <w:t xml:space="preserve">Qwen/Qwen2.5-7B-Instruct-AWQ</w:t>
            </w:r>
          </w:p>
        </w:tc>
        <w:tc>
          <w:tcPr/>
          <w:p>
            <w:pPr>
              <w:pStyle w:val="Compact"/>
              <w:jc w:val="left"/>
            </w:pPr>
            <w:r>
              <w:t xml:space="preserve">b2503754</w:t>
            </w:r>
          </w:p>
        </w:tc>
      </w:tr>
      <w:tr>
        <w:tc>
          <w:tcPr/>
          <w:p>
            <w:pPr>
              <w:pStyle w:val="Compact"/>
              <w:jc w:val="left"/>
            </w:pPr>
            <w:r>
              <w:t xml:space="preserve">hugging-quants/Meta-Llama-3.1-8B-Instruct-AWQ-INT4</w:t>
            </w:r>
          </w:p>
        </w:tc>
        <w:tc>
          <w:tcPr/>
          <w:p>
            <w:pPr>
              <w:pStyle w:val="Compact"/>
              <w:jc w:val="left"/>
            </w:pPr>
            <w:r>
              <w:t xml:space="preserve">db1f81ad</w:t>
            </w:r>
          </w:p>
        </w:tc>
      </w:tr>
      <w:tr>
        <w:tc>
          <w:tcPr/>
          <w:p>
            <w:pPr>
              <w:pStyle w:val="Compact"/>
              <w:jc w:val="left"/>
            </w:pPr>
            <w:r>
              <w:t xml:space="preserve">BAAI/bge-reranker-base</w:t>
            </w:r>
          </w:p>
        </w:tc>
        <w:tc>
          <w:tcPr/>
          <w:p>
            <w:pPr>
              <w:pStyle w:val="Compact"/>
              <w:jc w:val="left"/>
            </w:pPr>
            <w:r>
              <w:t xml:space="preserve">2cfc18c9</w:t>
            </w:r>
          </w:p>
        </w:tc>
      </w:tr>
      <w:tr>
        <w:tc>
          <w:tcPr/>
          <w:p>
            <w:pPr>
              <w:pStyle w:val="Compact"/>
              <w:jc w:val="left"/>
            </w:pPr>
            <w:r>
              <w:t xml:space="preserve">mistralai/Mistral-7B-Instruct-v0.3 (judge)</w:t>
            </w:r>
          </w:p>
        </w:tc>
        <w:tc>
          <w:tcPr/>
          <w:p>
            <w:pPr>
              <w:pStyle w:val="Compact"/>
              <w:jc w:val="left"/>
            </w:pPr>
            <w:r>
              <w:t xml:space="preserve">c170c708</w:t>
            </w:r>
          </w:p>
        </w:tc>
      </w:tr>
      <w:tr>
        <w:tc>
          <w:tcPr/>
          <w:p>
            <w:pPr>
              <w:pStyle w:val="Compact"/>
              <w:jc w:val="left"/>
            </w:pPr>
            <w:r>
              <w:t xml:space="preserve">BeIR/nq</w:t>
            </w:r>
          </w:p>
        </w:tc>
        <w:tc>
          <w:tcPr/>
          <w:p>
            <w:pPr>
              <w:pStyle w:val="Compact"/>
              <w:jc w:val="left"/>
            </w:pPr>
            <w:r>
              <w:t xml:space="preserve">b7253e6c</w:t>
            </w:r>
          </w:p>
        </w:tc>
      </w:tr>
      <w:tr>
        <w:tc>
          <w:tcPr/>
          <w:p>
            <w:pPr>
              <w:pStyle w:val="Compact"/>
              <w:jc w:val="left"/>
            </w:pPr>
            <w:r>
              <w:t xml:space="preserve">BeIR/nq-qrels</w:t>
            </w:r>
          </w:p>
        </w:tc>
        <w:tc>
          <w:tcPr/>
          <w:p>
            <w:pPr>
              <w:pStyle w:val="Compact"/>
              <w:jc w:val="left"/>
            </w:pPr>
            <w:r>
              <w:t xml:space="preserve">519acd4e</w:t>
            </w:r>
          </w:p>
        </w:tc>
      </w:tr>
      <w:tr>
        <w:tc>
          <w:tcPr/>
          <w:p>
            <w:pPr>
              <w:pStyle w:val="Compact"/>
              <w:jc w:val="left"/>
            </w:pPr>
            <w:r>
              <w:t xml:space="preserve">google-research-datasets/nq_open</w:t>
            </w:r>
          </w:p>
        </w:tc>
        <w:tc>
          <w:tcPr/>
          <w:p>
            <w:pPr>
              <w:pStyle w:val="Compact"/>
              <w:jc w:val="left"/>
            </w:pPr>
            <w:r>
              <w:t xml:space="preserve">5dd9790a</w:t>
            </w:r>
          </w:p>
        </w:tc>
      </w:tr>
      <w:tr>
        <w:tc>
          <w:tcPr/>
          <w:p>
            <w:pPr>
              <w:pStyle w:val="Compact"/>
              <w:jc w:val="left"/>
            </w:pPr>
            <w:r>
              <w:t xml:space="preserve">BeIR/hotpotqa</w:t>
            </w:r>
          </w:p>
        </w:tc>
        <w:tc>
          <w:tcPr/>
          <w:p>
            <w:pPr>
              <w:pStyle w:val="Compact"/>
              <w:jc w:val="left"/>
            </w:pPr>
            <w:r>
              <w:t xml:space="preserve">a7e8bab2</w:t>
            </w:r>
          </w:p>
        </w:tc>
      </w:tr>
      <w:tr>
        <w:tc>
          <w:tcPr/>
          <w:p>
            <w:pPr>
              <w:pStyle w:val="Compact"/>
              <w:jc w:val="left"/>
            </w:pPr>
            <w:r>
              <w:t xml:space="preserve">BeIR/hotpotqa-qrels</w:t>
            </w:r>
          </w:p>
        </w:tc>
        <w:tc>
          <w:tcPr/>
          <w:p>
            <w:pPr>
              <w:pStyle w:val="Compact"/>
              <w:jc w:val="left"/>
            </w:pPr>
            <w:r>
              <w:t xml:space="preserve">b15429e9</w:t>
            </w:r>
          </w:p>
        </w:tc>
      </w:tr>
      <w:tr>
        <w:tc>
          <w:tcPr/>
          <w:p>
            <w:pPr>
              <w:pStyle w:val="Compact"/>
              <w:jc w:val="left"/>
            </w:pPr>
            <w:r>
              <w:t xml:space="preserve">hotpotqa/hotpot_qa</w:t>
            </w:r>
          </w:p>
        </w:tc>
        <w:tc>
          <w:tcPr/>
          <w:p>
            <w:pPr>
              <w:pStyle w:val="Compact"/>
              <w:jc w:val="left"/>
            </w:pPr>
            <w:r>
              <w:t xml:space="preserve">1908d6af</w:t>
            </w:r>
          </w:p>
        </w:tc>
      </w:tr>
    </w:tbl>
    <w:bookmarkEnd w:id="145"/>
    <w:p>
      <w:pPr>
        <w:pStyle w:val="BodyText"/>
      </w:pPr>
      <w:r>
        <w:t xml:space="preserve">Retrieval used bm25s 0.3.11 and faiss-cpu 1.15.1; readers used vLLM 0.30.0 with PyTorch 2.13.0 (CUDA 13.0) and Transformers 5.17.0, in half precision with a maximum model length of 4,096 tokens. Table </w:t>
      </w:r>
      <w:hyperlink w:anchor="tab:env">
        <w:r>
          <w:rPr>
            <w:rStyle w:val="Hyperlink"/>
          </w:rPr>
          <w:t xml:space="preserve">[tab:env]</w:t>
        </w:r>
      </w:hyperlink>
      <w:r>
        <w:t xml:space="preserve"> </w:t>
      </w:r>
      <w:r>
        <w:t xml:space="preserve">lists the software of every session.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Session</w:t>
            </w:r>
          </w:p>
        </w:tc>
        <w:tc>
          <w:tcPr/>
          <w:p>
            <w:pPr>
              <w:pStyle w:val="Compact"/>
              <w:jc w:val="left"/>
            </w:pPr>
            <w:r>
              <w:t xml:space="preserve">Python</w:t>
            </w:r>
          </w:p>
        </w:tc>
        <w:tc>
          <w:tcPr/>
          <w:p>
            <w:pPr>
              <w:pStyle w:val="Compact"/>
              <w:jc w:val="left"/>
            </w:pPr>
            <w:r>
              <w:t xml:space="preserve">PyTorch</w:t>
            </w:r>
          </w:p>
        </w:tc>
        <w:tc>
          <w:tcPr/>
          <w:p>
            <w:pPr>
              <w:pStyle w:val="Compact"/>
              <w:jc w:val="left"/>
            </w:pPr>
            <w:r>
              <w:t xml:space="preserve">CUDA</w:t>
            </w:r>
          </w:p>
        </w:tc>
        <w:tc>
          <w:tcPr/>
          <w:p>
            <w:pPr>
              <w:pStyle w:val="Compact"/>
              <w:jc w:val="left"/>
            </w:pPr>
            <w:r>
              <w:t xml:space="preserve">Transformers</w:t>
            </w:r>
          </w:p>
        </w:tc>
        <w:tc>
          <w:tcPr/>
          <w:p>
            <w:pPr>
              <w:pStyle w:val="Compact"/>
              <w:jc w:val="left"/>
            </w:pPr>
            <w:r>
              <w:t xml:space="preserve">vLLM</w:t>
            </w:r>
          </w:p>
        </w:tc>
        <w:tc>
          <w:tcPr/>
          <w:p>
            <w:pPr>
              <w:pStyle w:val="Compact"/>
              <w:jc w:val="left"/>
            </w:pPr>
            <w:r>
              <w:t xml:space="preserve">NumPy</w:t>
            </w:r>
          </w:p>
        </w:tc>
      </w:tr>
      <w:tr>
        <w:tc>
          <w:tcPr/>
          <w:p>
            <w:pPr>
              <w:pStyle w:val="Compact"/>
              <w:jc w:val="left"/>
            </w:pPr>
            <w:r>
              <w:t xml:space="preserve">Phase 1, NQ retrieval and encoding</w:t>
            </w:r>
          </w:p>
        </w:tc>
        <w:tc>
          <w:tcPr/>
          <w:p>
            <w:pPr>
              <w:pStyle w:val="Compact"/>
              <w:jc w:val="left"/>
            </w:pPr>
            <w:r>
              <w:t xml:space="preserve">3.12.13</w:t>
            </w:r>
          </w:p>
        </w:tc>
        <w:tc>
          <w:tcPr/>
          <w:p>
            <w:pPr>
              <w:pStyle w:val="Compact"/>
              <w:jc w:val="left"/>
            </w:pPr>
            <w:r>
              <w:t xml:space="preserve">2.10.0</w:t>
            </w:r>
          </w:p>
        </w:tc>
        <w:tc>
          <w:tcPr/>
          <w:p>
            <w:pPr>
              <w:pStyle w:val="Compact"/>
              <w:jc w:val="left"/>
            </w:pPr>
            <w:r>
              <w:t xml:space="preserve">12.8</w:t>
            </w:r>
          </w:p>
        </w:tc>
        <w:tc>
          <w:tcPr/>
          <w:p>
            <w:pPr>
              <w:pStyle w:val="Compact"/>
              <w:jc w:val="left"/>
            </w:pPr>
            <w:r>
              <w:t xml:space="preserve">5.0.0</w:t>
            </w:r>
          </w:p>
        </w:tc>
        <w:tc>
          <w:tcPr/>
          <w:p>
            <w:pPr>
              <w:pStyle w:val="Compact"/>
              <w:jc w:val="left"/>
            </w:pPr>
            <w:r>
              <w:t xml:space="preserve">–</w:t>
            </w:r>
          </w:p>
        </w:tc>
        <w:tc>
          <w:tcPr/>
          <w:p>
            <w:pPr>
              <w:pStyle w:val="Compact"/>
              <w:jc w:val="left"/>
            </w:pPr>
            <w:r>
              <w:t xml:space="preserve">2.0.2</w:t>
            </w:r>
          </w:p>
        </w:tc>
      </w:tr>
      <w:tr>
        <w:tc>
          <w:tcPr/>
          <w:p>
            <w:pPr>
              <w:pStyle w:val="Compact"/>
              <w:jc w:val="left"/>
            </w:pPr>
            <w:r>
              <w:t xml:space="preserve">Phase 1, Qwen reader (NQ)</w:t>
            </w:r>
          </w:p>
        </w:tc>
        <w:tc>
          <w:tcPr/>
          <w:p>
            <w:pPr>
              <w:pStyle w:val="Compact"/>
              <w:jc w:val="left"/>
            </w:pPr>
            <w:r>
              <w:t xml:space="preserve">3.12.13</w:t>
            </w:r>
          </w:p>
        </w:tc>
        <w:tc>
          <w:tcPr/>
          <w:p>
            <w:pPr>
              <w:pStyle w:val="Compact"/>
              <w:jc w:val="left"/>
            </w:pPr>
            <w:r>
              <w:t xml:space="preserve">2.13.0</w:t>
            </w:r>
          </w:p>
        </w:tc>
        <w:tc>
          <w:tcPr/>
          <w:p>
            <w:pPr>
              <w:pStyle w:val="Compact"/>
              <w:jc w:val="left"/>
            </w:pPr>
            <w:r>
              <w:t xml:space="preserve">13.0</w:t>
            </w:r>
          </w:p>
        </w:tc>
        <w:tc>
          <w:tcPr/>
          <w:p>
            <w:pPr>
              <w:pStyle w:val="Compact"/>
              <w:jc w:val="left"/>
            </w:pPr>
            <w:r>
              <w:t xml:space="preserve">5.17.0</w:t>
            </w:r>
          </w:p>
        </w:tc>
        <w:tc>
          <w:tcPr/>
          <w:p>
            <w:pPr>
              <w:pStyle w:val="Compact"/>
              <w:jc w:val="left"/>
            </w:pPr>
            <w:r>
              <w:t xml:space="preserve">0.30.0</w:t>
            </w:r>
          </w:p>
        </w:tc>
        <w:tc>
          <w:tcPr/>
          <w:p>
            <w:pPr>
              <w:pStyle w:val="Compact"/>
              <w:jc w:val="left"/>
            </w:pPr>
            <w:r>
              <w:t xml:space="preserve">2.0.2</w:t>
            </w:r>
          </w:p>
        </w:tc>
      </w:tr>
      <w:tr>
        <w:tc>
          <w:tcPr/>
          <w:p>
            <w:pPr>
              <w:pStyle w:val="Compact"/>
              <w:jc w:val="left"/>
            </w:pPr>
            <w:r>
              <w:t xml:space="preserve">Phase 1, judge and CPU cost</w:t>
            </w:r>
          </w:p>
        </w:tc>
        <w:tc>
          <w:tcPr/>
          <w:p>
            <w:pPr>
              <w:pStyle w:val="Compact"/>
              <w:jc w:val="left"/>
            </w:pPr>
            <w:r>
              <w:t xml:space="preserve">3.12.13</w:t>
            </w:r>
          </w:p>
        </w:tc>
        <w:tc>
          <w:tcPr/>
          <w:p>
            <w:pPr>
              <w:pStyle w:val="Compact"/>
              <w:jc w:val="left"/>
            </w:pPr>
            <w:r>
              <w:t xml:space="preserve">2.13.0</w:t>
            </w:r>
          </w:p>
        </w:tc>
        <w:tc>
          <w:tcPr/>
          <w:p>
            <w:pPr>
              <w:pStyle w:val="Compact"/>
              <w:jc w:val="left"/>
            </w:pPr>
            <w:r>
              <w:t xml:space="preserve">13.0</w:t>
            </w:r>
          </w:p>
        </w:tc>
        <w:tc>
          <w:tcPr/>
          <w:p>
            <w:pPr>
              <w:pStyle w:val="Compact"/>
              <w:jc w:val="left"/>
            </w:pPr>
            <w:r>
              <w:t xml:space="preserve">5.17.0</w:t>
            </w:r>
          </w:p>
        </w:tc>
        <w:tc>
          <w:tcPr/>
          <w:p>
            <w:pPr>
              <w:pStyle w:val="Compact"/>
              <w:jc w:val="left"/>
            </w:pPr>
            <w:r>
              <w:t xml:space="preserve">0.30.0</w:t>
            </w:r>
          </w:p>
        </w:tc>
        <w:tc>
          <w:tcPr/>
          <w:p>
            <w:pPr>
              <w:pStyle w:val="Compact"/>
              <w:jc w:val="left"/>
            </w:pPr>
            <w:r>
              <w:t xml:space="preserve">2.0.2</w:t>
            </w:r>
          </w:p>
        </w:tc>
      </w:tr>
      <w:tr>
        <w:tc>
          <w:tcPr/>
          <w:p>
            <w:pPr>
              <w:pStyle w:val="Compact"/>
              <w:jc w:val="left"/>
            </w:pPr>
            <w:r>
              <w:t xml:space="preserve">Phase 2, HotpotQA retrieval</w:t>
            </w:r>
          </w:p>
        </w:tc>
        <w:tc>
          <w:tcPr/>
          <w:p>
            <w:pPr>
              <w:pStyle w:val="Compact"/>
              <w:jc w:val="left"/>
            </w:pPr>
            <w:r>
              <w:t xml:space="preserve">3.13.15</w:t>
            </w:r>
          </w:p>
        </w:tc>
        <w:tc>
          <w:tcPr/>
          <w:p>
            <w:pPr>
              <w:pStyle w:val="Compact"/>
              <w:jc w:val="left"/>
            </w:pPr>
            <w:r>
              <w:t xml:space="preserve">2.11.0</w:t>
            </w:r>
          </w:p>
        </w:tc>
        <w:tc>
          <w:tcPr/>
          <w:p>
            <w:pPr>
              <w:pStyle w:val="Compact"/>
              <w:jc w:val="left"/>
            </w:pPr>
            <w:r>
              <w:t xml:space="preserve">12.8</w:t>
            </w:r>
          </w:p>
        </w:tc>
        <w:tc>
          <w:tcPr/>
          <w:p>
            <w:pPr>
              <w:pStyle w:val="Compact"/>
              <w:jc w:val="left"/>
            </w:pPr>
            <w:r>
              <w:t xml:space="preserve">5.0.0</w:t>
            </w:r>
          </w:p>
        </w:tc>
        <w:tc>
          <w:tcPr/>
          <w:p>
            <w:pPr>
              <w:pStyle w:val="Compact"/>
              <w:jc w:val="left"/>
            </w:pPr>
            <w:r>
              <w:t xml:space="preserve">–</w:t>
            </w:r>
          </w:p>
        </w:tc>
        <w:tc>
          <w:tcPr/>
          <w:p>
            <w:pPr>
              <w:pStyle w:val="Compact"/>
              <w:jc w:val="left"/>
            </w:pPr>
            <w:r>
              <w:t xml:space="preserve">2.1.3</w:t>
            </w:r>
          </w:p>
        </w:tc>
      </w:tr>
      <w:tr>
        <w:tc>
          <w:tcPr/>
          <w:p>
            <w:pPr>
              <w:pStyle w:val="Compact"/>
              <w:jc w:val="left"/>
            </w:pPr>
            <w:r>
              <w:t xml:space="preserve">Phase 2, HotpotQA readers</w:t>
            </w:r>
          </w:p>
        </w:tc>
        <w:tc>
          <w:tcPr/>
          <w:p>
            <w:pPr>
              <w:pStyle w:val="Compact"/>
              <w:jc w:val="left"/>
            </w:pPr>
            <w:r>
              <w:t xml:space="preserve">3.13.15</w:t>
            </w:r>
          </w:p>
        </w:tc>
        <w:tc>
          <w:tcPr/>
          <w:p>
            <w:pPr>
              <w:pStyle w:val="Compact"/>
              <w:jc w:val="left"/>
            </w:pPr>
            <w:r>
              <w:t xml:space="preserve">2.13.0</w:t>
            </w:r>
          </w:p>
        </w:tc>
        <w:tc>
          <w:tcPr/>
          <w:p>
            <w:pPr>
              <w:pStyle w:val="Compact"/>
              <w:jc w:val="left"/>
            </w:pPr>
            <w:r>
              <w:t xml:space="preserve">13.0</w:t>
            </w:r>
          </w:p>
        </w:tc>
        <w:tc>
          <w:tcPr/>
          <w:p>
            <w:pPr>
              <w:pStyle w:val="Compact"/>
              <w:jc w:val="left"/>
            </w:pPr>
            <w:r>
              <w:t xml:space="preserve">5.17.0</w:t>
            </w:r>
          </w:p>
        </w:tc>
        <w:tc>
          <w:tcPr/>
          <w:p>
            <w:pPr>
              <w:pStyle w:val="Compact"/>
              <w:jc w:val="left"/>
            </w:pPr>
            <w:r>
              <w:t xml:space="preserve">0.30.0</w:t>
            </w:r>
          </w:p>
        </w:tc>
        <w:tc>
          <w:tcPr/>
          <w:p>
            <w:pPr>
              <w:pStyle w:val="Compact"/>
              <w:jc w:val="left"/>
            </w:pPr>
            <w:r>
              <w:t xml:space="preserve">2.1.3</w:t>
            </w:r>
          </w:p>
        </w:tc>
      </w:tr>
      <w:tr>
        <w:tc>
          <w:tcPr/>
          <w:p>
            <w:pPr>
              <w:pStyle w:val="Compact"/>
              <w:jc w:val="left"/>
            </w:pPr>
            <w:r>
              <w:t xml:space="preserve">Phase 2, Llama reader (NQ), top-</w:t>
            </w:r>
            <m:oMath>
              <m:r>
                <m:t>k</m:t>
              </m:r>
            </m:oMath>
          </w:p>
        </w:tc>
        <w:tc>
          <w:tcPr/>
          <w:p>
            <w:pPr>
              <w:pStyle w:val="Compact"/>
              <w:jc w:val="left"/>
            </w:pPr>
            <w:r>
              <w:t xml:space="preserve">3.13.15</w:t>
            </w:r>
          </w:p>
        </w:tc>
        <w:tc>
          <w:tcPr/>
          <w:p>
            <w:pPr>
              <w:pStyle w:val="Compact"/>
              <w:jc w:val="left"/>
            </w:pPr>
            <w:r>
              <w:t xml:space="preserve">2.13.0</w:t>
            </w:r>
          </w:p>
        </w:tc>
        <w:tc>
          <w:tcPr/>
          <w:p>
            <w:pPr>
              <w:pStyle w:val="Compact"/>
              <w:jc w:val="left"/>
            </w:pPr>
            <w:r>
              <w:t xml:space="preserve">13.0</w:t>
            </w:r>
          </w:p>
        </w:tc>
        <w:tc>
          <w:tcPr/>
          <w:p>
            <w:pPr>
              <w:pStyle w:val="Compact"/>
              <w:jc w:val="left"/>
            </w:pPr>
            <w:r>
              <w:t xml:space="preserve">5.17.0</w:t>
            </w:r>
          </w:p>
        </w:tc>
        <w:tc>
          <w:tcPr/>
          <w:p>
            <w:pPr>
              <w:pStyle w:val="Compact"/>
              <w:jc w:val="left"/>
            </w:pPr>
            <w:r>
              <w:t xml:space="preserve">0.30.0</w:t>
            </w:r>
          </w:p>
        </w:tc>
        <w:tc>
          <w:tcPr/>
          <w:p>
            <w:pPr>
              <w:pStyle w:val="Compact"/>
              <w:jc w:val="left"/>
            </w:pPr>
            <w:r>
              <w:t xml:space="preserve">2.1.3</w:t>
            </w:r>
          </w:p>
        </w:tc>
      </w:tr>
      <w:tr>
        <w:tc>
          <w:tcPr/>
          <w:p>
            <w:pPr>
              <w:pStyle w:val="Compact"/>
              <w:jc w:val="left"/>
            </w:pPr>
            <w:r>
              <w:t xml:space="preserve">Phase 2, E5, E6, E7, E9, E12</w:t>
            </w:r>
          </w:p>
        </w:tc>
        <w:tc>
          <w:tcPr/>
          <w:p>
            <w:pPr>
              <w:pStyle w:val="Compact"/>
              <w:jc w:val="left"/>
            </w:pPr>
            <w:r>
              <w:t xml:space="preserve">3.13.15</w:t>
            </w:r>
          </w:p>
        </w:tc>
        <w:tc>
          <w:tcPr/>
          <w:p>
            <w:pPr>
              <w:pStyle w:val="Compact"/>
              <w:jc w:val="left"/>
            </w:pPr>
            <w:r>
              <w:t xml:space="preserve">2.13.0</w:t>
            </w:r>
          </w:p>
        </w:tc>
        <w:tc>
          <w:tcPr/>
          <w:p>
            <w:pPr>
              <w:pStyle w:val="Compact"/>
              <w:jc w:val="left"/>
            </w:pPr>
            <w:r>
              <w:t xml:space="preserve">13.0</w:t>
            </w:r>
          </w:p>
        </w:tc>
        <w:tc>
          <w:tcPr/>
          <w:p>
            <w:pPr>
              <w:pStyle w:val="Compact"/>
              <w:jc w:val="left"/>
            </w:pPr>
            <w:r>
              <w:t xml:space="preserve">5.17.0</w:t>
            </w:r>
          </w:p>
        </w:tc>
        <w:tc>
          <w:tcPr/>
          <w:p>
            <w:pPr>
              <w:pStyle w:val="Compact"/>
              <w:jc w:val="left"/>
            </w:pPr>
            <w:r>
              <w:t xml:space="preserve">0.30.0</w:t>
            </w:r>
          </w:p>
        </w:tc>
        <w:tc>
          <w:tcPr/>
          <w:p>
            <w:pPr>
              <w:pStyle w:val="Compact"/>
              <w:jc w:val="left"/>
            </w:pPr>
            <w:r>
              <w:t xml:space="preserve">2.1.3</w:t>
            </w:r>
          </w:p>
        </w:tc>
      </w:tr>
      <w:tr>
        <w:tc>
          <w:tcPr/>
          <w:p>
            <w:pPr>
              <w:pStyle w:val="Compact"/>
              <w:jc w:val="left"/>
            </w:pPr>
            <w:r>
              <w:t xml:space="preserve">Phase 3, full-corpus NQ readers (S5)</w:t>
            </w:r>
          </w:p>
        </w:tc>
        <w:tc>
          <w:tcPr/>
          <w:p>
            <w:pPr>
              <w:pStyle w:val="Compact"/>
              <w:jc w:val="left"/>
            </w:pPr>
            <w:r>
              <w:t xml:space="preserve">3.13.15</w:t>
            </w:r>
          </w:p>
        </w:tc>
        <w:tc>
          <w:tcPr/>
          <w:p>
            <w:pPr>
              <w:pStyle w:val="Compact"/>
              <w:jc w:val="left"/>
            </w:pPr>
            <w:r>
              <w:t xml:space="preserve">2.13.0</w:t>
            </w:r>
          </w:p>
        </w:tc>
        <w:tc>
          <w:tcPr/>
          <w:p>
            <w:pPr>
              <w:pStyle w:val="Compact"/>
              <w:jc w:val="left"/>
            </w:pPr>
            <w:r>
              <w:t xml:space="preserve">13.0</w:t>
            </w:r>
          </w:p>
        </w:tc>
        <w:tc>
          <w:tcPr/>
          <w:p>
            <w:pPr>
              <w:pStyle w:val="Compact"/>
              <w:jc w:val="left"/>
            </w:pPr>
            <w:r>
              <w:t xml:space="preserve">5.17.0</w:t>
            </w:r>
          </w:p>
        </w:tc>
        <w:tc>
          <w:tcPr/>
          <w:p>
            <w:pPr>
              <w:pStyle w:val="Compact"/>
              <w:jc w:val="left"/>
            </w:pPr>
            <w:r>
              <w:t xml:space="preserve">0.30.0</w:t>
            </w:r>
          </w:p>
        </w:tc>
        <w:tc>
          <w:tcPr/>
          <w:p>
            <w:pPr>
              <w:pStyle w:val="Compact"/>
              <w:jc w:val="left"/>
            </w:pPr>
            <w:r>
              <w:t xml:space="preserve">2.1.3</w:t>
            </w:r>
          </w:p>
        </w:tc>
      </w:tr>
    </w:tbl>
    <w:p>
      <w:pPr>
        <w:pStyle w:val="BodyText"/>
      </w:pPr>
      <w:r>
        <w:rPr>
          <w:iCs/>
          <w:i/>
        </w:rPr>
        <w:t xml:space="preserve">All sessions: bm25s 0.3.11, faiss 1.15.1, sentence-transformers 5.4.1, 4 vCPUs, 31.3 GiB memory, 2 Tesla T4 (14,911 MiB each).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Retriever</w:t>
            </w:r>
          </w:p>
        </w:tc>
        <w:tc>
          <w:tcPr/>
          <w:p>
            <w:pPr>
              <w:pStyle w:val="Compact"/>
              <w:jc w:val="left"/>
            </w:pPr>
            <w:r>
              <w:t xml:space="preserve">Model</w:t>
            </w:r>
          </w:p>
        </w:tc>
        <w:tc>
          <w:tcPr/>
          <w:p>
            <w:pPr>
              <w:pStyle w:val="Compact"/>
              <w:jc w:val="left"/>
            </w:pPr>
            <w:r>
              <w:t xml:space="preserve">Revision</w:t>
            </w:r>
          </w:p>
        </w:tc>
        <w:tc>
          <w:tcPr/>
          <w:p>
            <w:pPr>
              <w:pStyle w:val="Compact"/>
              <w:jc w:val="right"/>
            </w:pPr>
            <w:r>
              <w:t xml:space="preserve">Params (M)</w:t>
            </w:r>
          </w:p>
        </w:tc>
        <w:tc>
          <w:tcPr/>
          <w:p>
            <w:pPr>
              <w:pStyle w:val="Compact"/>
              <w:jc w:val="right"/>
            </w:pPr>
            <w:r>
              <w:t xml:space="preserve">Dim</w:t>
            </w:r>
          </w:p>
        </w:tc>
        <w:tc>
          <w:tcPr/>
          <w:p>
            <w:pPr>
              <w:pStyle w:val="Compact"/>
              <w:jc w:val="left"/>
            </w:pPr>
            <w:r>
              <w:t xml:space="preserve">Query prefix</w:t>
            </w:r>
          </w:p>
        </w:tc>
      </w:tr>
      <w:tr>
        <w:tc>
          <w:tcPr/>
          <w:p>
            <w:pPr>
              <w:pStyle w:val="Compact"/>
              <w:jc w:val="left"/>
            </w:pPr>
            <w:r>
              <w:t xml:space="preserve">BM25</w:t>
            </w:r>
          </w:p>
        </w:tc>
        <w:tc>
          <w:tcPr/>
          <w:p>
            <w:pPr>
              <w:pStyle w:val="Compact"/>
              <w:jc w:val="left"/>
            </w:pPr>
            <w:r>
              <w:t xml:space="preserve">bm25s 0.3.11, Lucene variant,</w:t>
            </w:r>
            <w:r>
              <w:t xml:space="preserve"> </w:t>
            </w:r>
            <m:oMath>
              <m:sSub>
                <m:e>
                  <m:r>
                    <m:t>k</m:t>
                  </m:r>
                </m:e>
                <m:sub>
                  <m:r>
                    <m:t>1</m:t>
                  </m:r>
                </m:sub>
              </m:sSub>
              <m:r>
                <m:rPr>
                  <m:sty m:val="p"/>
                </m:rPr>
                <m:t>=</m:t>
              </m:r>
              <m:r>
                <m:t>1.2</m:t>
              </m:r>
            </m:oMath>
            <w:r>
              <w:t xml:space="preserve">,</w:t>
            </w:r>
            <w:r>
              <w:t xml:space="preserve"> </w:t>
            </w:r>
            <m:oMath>
              <m:r>
                <m:t>b</m:t>
              </m:r>
              <m:r>
                <m:rPr>
                  <m:sty m:val="p"/>
                </m:rPr>
                <m:t>=</m:t>
              </m:r>
              <m:r>
                <m:t>0.75</m:t>
              </m:r>
            </m:oMath>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MiniLM-L6</w:t>
            </w:r>
          </w:p>
        </w:tc>
        <w:tc>
          <w:tcPr/>
          <w:p>
            <w:pPr>
              <w:pStyle w:val="Compact"/>
              <w:jc w:val="left"/>
            </w:pPr>
            <w:r>
              <w:t xml:space="preserve">sentence-transformers/all-MiniLM-L6-v2</w:t>
            </w:r>
          </w:p>
        </w:tc>
        <w:tc>
          <w:tcPr/>
          <w:p>
            <w:pPr>
              <w:pStyle w:val="Compact"/>
              <w:jc w:val="left"/>
            </w:pPr>
            <w:r>
              <w:t xml:space="preserve">1110a243</w:t>
            </w:r>
          </w:p>
        </w:tc>
        <w:tc>
          <w:tcPr/>
          <w:p>
            <w:pPr>
              <w:pStyle w:val="Compact"/>
              <w:jc w:val="right"/>
            </w:pPr>
            <w:r>
              <w:t xml:space="preserve">23</w:t>
            </w:r>
          </w:p>
        </w:tc>
        <w:tc>
          <w:tcPr/>
          <w:p>
            <w:pPr>
              <w:pStyle w:val="Compact"/>
              <w:jc w:val="right"/>
            </w:pPr>
            <w:r>
              <w:t xml:space="preserve">384</w:t>
            </w:r>
          </w:p>
        </w:tc>
        <w:tc>
          <w:tcPr/>
          <w:p>
            <w:pPr>
              <w:pStyle w:val="Compact"/>
              <w:jc w:val="left"/>
            </w:pPr>
            <w:r>
              <w:t xml:space="preserve">none</w:t>
            </w:r>
          </w:p>
        </w:tc>
      </w:tr>
      <w:tr>
        <w:tc>
          <w:tcPr/>
          <w:p>
            <w:pPr>
              <w:pStyle w:val="Compact"/>
              <w:jc w:val="left"/>
            </w:pPr>
            <w:r>
              <w:t xml:space="preserve">bge-small</w:t>
            </w:r>
          </w:p>
        </w:tc>
        <w:tc>
          <w:tcPr/>
          <w:p>
            <w:pPr>
              <w:pStyle w:val="Compact"/>
              <w:jc w:val="left"/>
            </w:pPr>
            <w:r>
              <w:t xml:space="preserve">BAAI/bge-small-en-v1.5</w:t>
            </w:r>
          </w:p>
        </w:tc>
        <w:tc>
          <w:tcPr/>
          <w:p>
            <w:pPr>
              <w:pStyle w:val="Compact"/>
              <w:jc w:val="left"/>
            </w:pPr>
            <w:r>
              <w:t xml:space="preserve">5c38ec7c</w:t>
            </w:r>
          </w:p>
        </w:tc>
        <w:tc>
          <w:tcPr/>
          <w:p>
            <w:pPr>
              <w:pStyle w:val="Compact"/>
              <w:jc w:val="right"/>
            </w:pPr>
            <w:r>
              <w:t xml:space="preserve">33</w:t>
            </w:r>
          </w:p>
        </w:tc>
        <w:tc>
          <w:tcPr/>
          <w:p>
            <w:pPr>
              <w:pStyle w:val="Compact"/>
              <w:jc w:val="right"/>
            </w:pPr>
            <w:r>
              <w:t xml:space="preserve">384</w:t>
            </w:r>
          </w:p>
        </w:tc>
        <w:tc>
          <w:tcPr/>
          <w:p>
            <w:pPr>
              <w:pStyle w:val="Compact"/>
              <w:jc w:val="left"/>
            </w:pPr>
            <w:r>
              <w:t xml:space="preserve">BGE instruction</w:t>
            </w:r>
          </w:p>
        </w:tc>
      </w:tr>
      <w:tr>
        <w:tc>
          <w:tcPr/>
          <w:p>
            <w:pPr>
              <w:pStyle w:val="Compact"/>
              <w:jc w:val="left"/>
            </w:pPr>
            <w:r>
              <w:t xml:space="preserve">bge-base</w:t>
            </w:r>
          </w:p>
        </w:tc>
        <w:tc>
          <w:tcPr/>
          <w:p>
            <w:pPr>
              <w:pStyle w:val="Compact"/>
              <w:jc w:val="left"/>
            </w:pPr>
            <w:r>
              <w:t xml:space="preserve">BAAI/bge-base-en-v1.5</w:t>
            </w:r>
          </w:p>
        </w:tc>
        <w:tc>
          <w:tcPr/>
          <w:p>
            <w:pPr>
              <w:pStyle w:val="Compact"/>
              <w:jc w:val="left"/>
            </w:pPr>
            <w:r>
              <w:t xml:space="preserve">a5beb1e3</w:t>
            </w:r>
          </w:p>
        </w:tc>
        <w:tc>
          <w:tcPr/>
          <w:p>
            <w:pPr>
              <w:pStyle w:val="Compact"/>
              <w:jc w:val="right"/>
            </w:pPr>
            <w:r>
              <w:t xml:space="preserve">109</w:t>
            </w:r>
          </w:p>
        </w:tc>
        <w:tc>
          <w:tcPr/>
          <w:p>
            <w:pPr>
              <w:pStyle w:val="Compact"/>
              <w:jc w:val="right"/>
            </w:pPr>
            <w:r>
              <w:t xml:space="preserve">768</w:t>
            </w:r>
          </w:p>
        </w:tc>
        <w:tc>
          <w:tcPr/>
          <w:p>
            <w:pPr>
              <w:pStyle w:val="Compact"/>
              <w:jc w:val="left"/>
            </w:pPr>
            <w:r>
              <w:t xml:space="preserve">BGE instruction</w:t>
            </w:r>
          </w:p>
        </w:tc>
      </w:tr>
      <w:tr>
        <w:tc>
          <w:tcPr/>
          <w:p>
            <w:pPr>
              <w:pStyle w:val="Compact"/>
              <w:jc w:val="left"/>
            </w:pPr>
            <w:r>
              <w:t xml:space="preserve">bge-large</w:t>
            </w:r>
          </w:p>
        </w:tc>
        <w:tc>
          <w:tcPr/>
          <w:p>
            <w:pPr>
              <w:pStyle w:val="Compact"/>
              <w:jc w:val="left"/>
            </w:pPr>
            <w:r>
              <w:t xml:space="preserve">BAAI/bge-large-en-v1.5</w:t>
            </w:r>
          </w:p>
        </w:tc>
        <w:tc>
          <w:tcPr/>
          <w:p>
            <w:pPr>
              <w:pStyle w:val="Compact"/>
              <w:jc w:val="left"/>
            </w:pPr>
            <w:r>
              <w:t xml:space="preserve">d4aa6901</w:t>
            </w:r>
          </w:p>
        </w:tc>
        <w:tc>
          <w:tcPr/>
          <w:p>
            <w:pPr>
              <w:pStyle w:val="Compact"/>
              <w:jc w:val="right"/>
            </w:pPr>
            <w:r>
              <w:t xml:space="preserve">335</w:t>
            </w:r>
          </w:p>
        </w:tc>
        <w:tc>
          <w:tcPr/>
          <w:p>
            <w:pPr>
              <w:pStyle w:val="Compact"/>
              <w:jc w:val="right"/>
            </w:pPr>
            <w:r>
              <w:t xml:space="preserve">1024</w:t>
            </w:r>
          </w:p>
        </w:tc>
        <w:tc>
          <w:tcPr/>
          <w:p>
            <w:pPr>
              <w:pStyle w:val="Compact"/>
              <w:jc w:val="left"/>
            </w:pPr>
            <w:r>
              <w:t xml:space="preserve">BGE instruction</w:t>
            </w:r>
          </w:p>
        </w:tc>
      </w:tr>
      <w:tr>
        <w:tc>
          <w:tcPr/>
          <w:p>
            <w:pPr>
              <w:pStyle w:val="Compact"/>
              <w:jc w:val="left"/>
            </w:pPr>
            <w:r>
              <w:t xml:space="preserve">e5-base-v2</w:t>
            </w:r>
          </w:p>
        </w:tc>
        <w:tc>
          <w:tcPr/>
          <w:p>
            <w:pPr>
              <w:pStyle w:val="Compact"/>
              <w:jc w:val="left"/>
            </w:pPr>
            <w:r>
              <w:t xml:space="preserve">intfloat/e5-base-v2</w:t>
            </w:r>
          </w:p>
        </w:tc>
        <w:tc>
          <w:tcPr/>
          <w:p>
            <w:pPr>
              <w:pStyle w:val="Compact"/>
              <w:jc w:val="left"/>
            </w:pPr>
            <w:r>
              <w:t xml:space="preserve">f52bf8ec</w:t>
            </w:r>
          </w:p>
        </w:tc>
        <w:tc>
          <w:tcPr/>
          <w:p>
            <w:pPr>
              <w:pStyle w:val="Compact"/>
              <w:jc w:val="right"/>
            </w:pPr>
            <w:r>
              <w:t xml:space="preserve">109</w:t>
            </w:r>
          </w:p>
        </w:tc>
        <w:tc>
          <w:tcPr/>
          <w:p>
            <w:pPr>
              <w:pStyle w:val="Compact"/>
              <w:jc w:val="right"/>
            </w:pPr>
            <w:r>
              <w:t xml:space="preserve">768</w:t>
            </w:r>
          </w:p>
        </w:tc>
        <w:tc>
          <w:tcPr/>
          <w:p>
            <w:pPr>
              <w:pStyle w:val="Compact"/>
              <w:jc w:val="left"/>
            </w:pPr>
            <w:r>
              <w:t xml:space="preserve">“</w:t>
            </w:r>
            <w:r>
              <w:t xml:space="preserve">query:</w:t>
            </w:r>
            <w:r>
              <w:t xml:space="preserve"> </w:t>
            </w:r>
            <w:r>
              <w:t xml:space="preserve">”</w:t>
            </w:r>
          </w:p>
        </w:tc>
      </w:tr>
      <w:tr>
        <w:tc>
          <w:tcPr/>
          <w:p>
            <w:pPr>
              <w:pStyle w:val="Compact"/>
              <w:jc w:val="left"/>
            </w:pPr>
            <w:r>
              <w:t xml:space="preserve">Qwen3-Emb-0.6B</w:t>
            </w:r>
          </w:p>
        </w:tc>
        <w:tc>
          <w:tcPr/>
          <w:p>
            <w:pPr>
              <w:pStyle w:val="Compact"/>
              <w:jc w:val="left"/>
            </w:pPr>
            <w:r>
              <w:t xml:space="preserve">Qwen/Qwen3-Embedding-0.6B</w:t>
            </w:r>
          </w:p>
        </w:tc>
        <w:tc>
          <w:tcPr/>
          <w:p>
            <w:pPr>
              <w:pStyle w:val="Compact"/>
              <w:jc w:val="left"/>
            </w:pPr>
            <w:r>
              <w:t xml:space="preserve">97b0c614</w:t>
            </w:r>
          </w:p>
        </w:tc>
        <w:tc>
          <w:tcPr/>
          <w:p>
            <w:pPr>
              <w:pStyle w:val="Compact"/>
              <w:jc w:val="right"/>
            </w:pPr>
            <w:r>
              <w:t xml:space="preserve">596</w:t>
            </w:r>
          </w:p>
        </w:tc>
        <w:tc>
          <w:tcPr/>
          <w:p>
            <w:pPr>
              <w:pStyle w:val="Compact"/>
              <w:jc w:val="right"/>
            </w:pPr>
            <w:r>
              <w:t xml:space="preserve">1024</w:t>
            </w:r>
          </w:p>
        </w:tc>
        <w:tc>
          <w:tcPr/>
          <w:p>
            <w:pPr>
              <w:pStyle w:val="Compact"/>
              <w:jc w:val="left"/>
            </w:pPr>
            <w:r>
              <w:t xml:space="preserve">task instruction</w:t>
            </w:r>
          </w:p>
        </w:tc>
      </w:tr>
    </w:tbl>
    <w:p>
      <w:pPr>
        <w:pStyle w:val="BodyText"/>
      </w:pPr>
      <w:r>
        <w:rPr>
          <w:iCs/>
          <w:i/>
        </w:rPr>
        <w:t xml:space="preserve">BGE instruction:</w:t>
      </w:r>
      <w:r>
        <w:rPr>
          <w:iCs/>
          <w:i/>
        </w:rPr>
        <w:t xml:space="preserve"> </w:t>
      </w:r>
      <w:r>
        <w:rPr>
          <w:iCs/>
          <w:i/>
          <w:iCs/>
          <w:i/>
        </w:rPr>
        <w:t xml:space="preserve">Represent this sentence for searching relevant passages:</w:t>
      </w:r>
      <w:r>
        <w:rPr>
          <w:iCs/>
          <w:i/>
        </w:rPr>
        <w:t xml:space="preserve">. e5-base-v2 also prefixes passages with</w:t>
      </w:r>
      <w:r>
        <w:rPr>
          <w:iCs/>
          <w:i/>
        </w:rPr>
        <w:t xml:space="preserve"> </w:t>
      </w:r>
      <w:r>
        <w:rPr>
          <w:iCs/>
          <w:i/>
        </w:rPr>
        <w:t xml:space="preserve">“</w:t>
      </w:r>
      <w:r>
        <w:rPr>
          <w:iCs/>
          <w:i/>
        </w:rPr>
        <w:t xml:space="preserve">passage:</w:t>
      </w:r>
      <w:r>
        <w:rPr>
          <w:iCs/>
          <w:i/>
        </w:rPr>
        <w:t xml:space="preserve"> </w:t>
      </w:r>
      <w:r>
        <w:rPr>
          <w:iCs/>
          <w:i/>
        </w:rPr>
        <w:t xml:space="preserve">”</w:t>
      </w:r>
      <w:r>
        <w:rPr>
          <w:iCs/>
          <w:i/>
        </w:rPr>
        <w:t xml:space="preserve">. Qwen3-Embedding uses a task instruction per dataset.</w:t>
      </w:r>
    </w:p>
    <w:bookmarkStart w:id="146" w:name="tab:data"/>
    <w:p>
      <w:pPr>
        <w:pStyle w:val="TableCaption"/>
      </w:pPr>
      <w:r>
        <w:t xml:space="preserve">Data and sub-corpora.</w:t>
      </w:r>
    </w:p>
    <w:tbl>
      <w:tblPr>
        <w:tblStyle w:val="Table"/>
        <w:tblW w:type="auto" w:w="0"/>
        <w:tblLook w:firstRow="1" w:lastRow="0" w:firstColumn="0" w:lastColumn="0" w:noHBand="0" w:noVBand="0" w:val="0020"/>
        <w:jc w:val="start"/>
        <w:tblCaption w:val="Data and sub-corpora."/>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NQ</w:t>
            </w:r>
          </w:p>
        </w:tc>
        <w:tc>
          <w:tcPr/>
          <w:p>
            <w:pPr>
              <w:pStyle w:val="Compact"/>
              <w:jc w:val="left"/>
            </w:pPr>
            <w:r>
              <w:t xml:space="preserve">HotpotQA</w:t>
            </w:r>
          </w:p>
        </w:tc>
      </w:tr>
      <w:tr>
        <w:tc>
          <w:tcPr/>
          <w:p>
            <w:pPr>
              <w:pStyle w:val="Compact"/>
              <w:jc w:val="left"/>
            </w:pPr>
            <w:r>
              <w:t xml:space="preserve">Full corpus (passages)</w:t>
            </w:r>
          </w:p>
        </w:tc>
        <w:tc>
          <w:tcPr/>
          <w:p>
            <w:pPr>
              <w:pStyle w:val="Compact"/>
              <w:jc w:val="left"/>
            </w:pPr>
            <w:r>
              <w:t xml:space="preserve">2,681,468</w:t>
            </w:r>
          </w:p>
        </w:tc>
        <w:tc>
          <w:tcPr/>
          <w:p>
            <w:pPr>
              <w:pStyle w:val="Compact"/>
              <w:jc w:val="left"/>
            </w:pPr>
            <w:r>
              <w:t xml:space="preserve">5,233,329</w:t>
            </w:r>
          </w:p>
        </w:tc>
      </w:tr>
      <w:tr>
        <w:tc>
          <w:tcPr/>
          <w:p>
            <w:pPr>
              <w:pStyle w:val="Compact"/>
              <w:jc w:val="left"/>
            </w:pPr>
            <w:r>
              <w:t xml:space="preserve">Judged test queries</w:t>
            </w:r>
          </w:p>
        </w:tc>
        <w:tc>
          <w:tcPr/>
          <w:p>
            <w:pPr>
              <w:pStyle w:val="Compact"/>
              <w:jc w:val="left"/>
            </w:pPr>
            <w:r>
              <w:t xml:space="preserve">3,452</w:t>
            </w:r>
          </w:p>
        </w:tc>
        <w:tc>
          <w:tcPr/>
          <w:p>
            <w:pPr>
              <w:pStyle w:val="Compact"/>
              <w:jc w:val="left"/>
            </w:pPr>
            <w:r>
              <w:t xml:space="preserve">7,405</w:t>
            </w:r>
          </w:p>
        </w:tc>
      </w:tr>
      <w:tr>
        <w:tc>
          <w:tcPr/>
          <w:p>
            <w:pPr>
              <w:pStyle w:val="Compact"/>
              <w:jc w:val="left"/>
            </w:pPr>
            <w:r>
              <w:t xml:space="preserve">Queries joined to reference answers</w:t>
            </w:r>
          </w:p>
        </w:tc>
        <w:tc>
          <w:tcPr/>
          <w:p>
            <w:pPr>
              <w:pStyle w:val="Compact"/>
              <w:jc w:val="left"/>
            </w:pPr>
            <w:r>
              <w:t xml:space="preserve">2,255</w:t>
            </w:r>
          </w:p>
        </w:tc>
        <w:tc>
          <w:tcPr/>
          <w:p>
            <w:pPr>
              <w:pStyle w:val="Compact"/>
              <w:jc w:val="left"/>
            </w:pPr>
            <w:r>
              <w:t xml:space="preserve">7,405</w:t>
            </w:r>
          </w:p>
        </w:tc>
      </w:tr>
      <w:tr>
        <w:tc>
          <w:tcPr/>
          <w:p>
            <w:pPr>
              <w:pStyle w:val="Compact"/>
              <w:jc w:val="left"/>
            </w:pPr>
            <w:r>
              <w:t xml:space="preserve">Generation queries</w:t>
            </w:r>
          </w:p>
        </w:tc>
        <w:tc>
          <w:tcPr/>
          <w:p>
            <w:pPr>
              <w:pStyle w:val="Compact"/>
              <w:jc w:val="left"/>
            </w:pPr>
            <w:r>
              <w:t xml:space="preserve">2,255</w:t>
            </w:r>
          </w:p>
        </w:tc>
        <w:tc>
          <w:tcPr/>
          <w:p>
            <w:pPr>
              <w:pStyle w:val="Compact"/>
              <w:jc w:val="left"/>
            </w:pPr>
            <w:r>
              <w:t xml:space="preserve">2,000 (1,616 bridge, 384 comparison)</w:t>
            </w:r>
          </w:p>
        </w:tc>
      </w:tr>
      <w:tr>
        <w:tc>
          <w:tcPr/>
          <w:p>
            <w:pPr>
              <w:pStyle w:val="Compact"/>
              <w:jc w:val="left"/>
            </w:pPr>
            <w:r>
              <w:t xml:space="preserve">Gold passages per judged query</w:t>
            </w:r>
          </w:p>
        </w:tc>
        <w:tc>
          <w:tcPr/>
          <w:p>
            <w:pPr>
              <w:pStyle w:val="Compact"/>
              <w:jc w:val="left"/>
            </w:pPr>
            <w:r>
              <w:t xml:space="preserve">1.22 (range 1–4)</w:t>
            </w:r>
          </w:p>
        </w:tc>
        <w:tc>
          <w:tcPr/>
          <w:p>
            <w:pPr>
              <w:pStyle w:val="Compact"/>
              <w:jc w:val="left"/>
            </w:pPr>
            <w:r>
              <w:t xml:space="preserve">2 (every query)</w:t>
            </w:r>
          </w:p>
        </w:tc>
      </w:tr>
      <w:tr>
        <w:tc>
          <w:tcPr/>
          <w:p>
            <w:pPr>
              <w:pStyle w:val="Compact"/>
              <w:jc w:val="left"/>
            </w:pPr>
            <w:r>
              <w:t xml:space="preserve">Distinct gold passages in the corpus</w:t>
            </w:r>
          </w:p>
        </w:tc>
        <w:tc>
          <w:tcPr/>
          <w:p>
            <w:pPr>
              <w:pStyle w:val="Compact"/>
              <w:jc w:val="left"/>
            </w:pPr>
            <w:r>
              <w:t xml:space="preserve">4,201</w:t>
            </w:r>
          </w:p>
        </w:tc>
        <w:tc>
          <w:tcPr/>
          <w:p>
            <w:pPr>
              <w:pStyle w:val="Compact"/>
              <w:jc w:val="left"/>
            </w:pPr>
            <w:r>
              <w:t xml:space="preserve">13,783 (shared across queries)</w:t>
            </w:r>
          </w:p>
        </w:tc>
      </w:tr>
      <w:tr>
        <w:tc>
          <w:tcPr/>
          <w:p>
            <w:pPr>
              <w:pStyle w:val="Compact"/>
              <w:jc w:val="left"/>
            </w:pPr>
            <w:r>
              <w:t xml:space="preserve">Sub-corpus size</w:t>
            </w:r>
          </w:p>
        </w:tc>
        <w:tc>
          <w:tcPr/>
          <w:p>
            <w:pPr>
              <w:pStyle w:val="Compact"/>
              <w:jc w:val="left"/>
            </w:pPr>
            <w:r>
              <w:t xml:space="preserve">300,000</w:t>
            </w:r>
          </w:p>
        </w:tc>
        <w:tc>
          <w:tcPr/>
          <w:p>
            <w:pPr>
              <w:pStyle w:val="Compact"/>
              <w:jc w:val="left"/>
            </w:pPr>
            <w:r>
              <w:t xml:space="preserve">300,000</w:t>
            </w:r>
          </w:p>
        </w:tc>
      </w:tr>
      <w:tr>
        <w:tc>
          <w:tcPr/>
          <w:p>
            <w:pPr>
              <w:pStyle w:val="Compact"/>
              <w:jc w:val="left"/>
            </w:pPr>
            <w:r>
              <w:t xml:space="preserve">gold passages</w:t>
            </w:r>
          </w:p>
        </w:tc>
        <w:tc>
          <w:tcPr/>
          <w:p>
            <w:pPr>
              <w:pStyle w:val="Compact"/>
              <w:jc w:val="left"/>
            </w:pPr>
            <w:r>
              <w:t xml:space="preserve">4,201</w:t>
            </w:r>
          </w:p>
        </w:tc>
        <w:tc>
          <w:tcPr/>
          <w:p>
            <w:pPr>
              <w:pStyle w:val="Compact"/>
              <w:jc w:val="left"/>
            </w:pPr>
            <w:r>
              <w:t xml:space="preserve">13,783</w:t>
            </w:r>
          </w:p>
        </w:tc>
      </w:tr>
      <w:tr>
        <w:tc>
          <w:tcPr/>
          <w:p>
            <w:pPr>
              <w:pStyle w:val="Compact"/>
              <w:jc w:val="left"/>
            </w:pPr>
            <w:r>
              <w:t xml:space="preserve">top-</w:t>
            </w:r>
            <m:oMath>
              <m:r>
                <m:t>d</m:t>
              </m:r>
            </m:oMath>
            <w:r>
              <w:t xml:space="preserve"> </w:t>
            </w:r>
            <w:r>
              <w:t xml:space="preserve">BM25 passages, non-gold (depth</w:t>
            </w:r>
            <w:r>
              <w:t xml:space="preserve"> </w:t>
            </w:r>
            <m:oMath>
              <m:r>
                <m:t>d</m:t>
              </m:r>
            </m:oMath>
            <w:r>
              <w:t xml:space="preserve">)</w:t>
            </w:r>
          </w:p>
        </w:tc>
        <w:tc>
          <w:tcPr/>
          <w:p>
            <w:pPr>
              <w:pStyle w:val="Compact"/>
              <w:jc w:val="left"/>
            </w:pPr>
            <w:r>
              <w:t xml:space="preserve">127,791 (</w:t>
            </w:r>
            <m:oMath>
              <m:r>
                <m:t>d</m:t>
              </m:r>
            </m:oMath>
            <w:r>
              <w:t xml:space="preserve"> </w:t>
            </w:r>
            <w:r>
              <w:t xml:space="preserve">= 42)</w:t>
            </w:r>
          </w:p>
        </w:tc>
        <w:tc>
          <w:tcPr/>
          <w:p>
            <w:pPr>
              <w:pStyle w:val="Compact"/>
              <w:jc w:val="left"/>
            </w:pPr>
            <w:r>
              <w:t xml:space="preserve">118,726 (</w:t>
            </w:r>
            <m:oMath>
              <m:r>
                <m:t>d</m:t>
              </m:r>
            </m:oMath>
            <w:r>
              <w:t xml:space="preserve"> </w:t>
            </w:r>
            <w:r>
              <w:t xml:space="preserve">= 19)</w:t>
            </w:r>
          </w:p>
        </w:tc>
      </w:tr>
      <w:tr>
        <w:tc>
          <w:tcPr/>
          <w:p>
            <w:pPr>
              <w:pStyle w:val="Compact"/>
              <w:jc w:val="left"/>
            </w:pPr>
            <w:r>
              <w:t xml:space="preserve">random passages</w:t>
            </w:r>
          </w:p>
        </w:tc>
        <w:tc>
          <w:tcPr/>
          <w:p>
            <w:pPr>
              <w:pStyle w:val="Compact"/>
              <w:jc w:val="left"/>
            </w:pPr>
            <w:r>
              <w:t xml:space="preserve">168,008</w:t>
            </w:r>
          </w:p>
        </w:tc>
        <w:tc>
          <w:tcPr/>
          <w:p>
            <w:pPr>
              <w:pStyle w:val="Compact"/>
              <w:jc w:val="left"/>
            </w:pPr>
            <w:r>
              <w:t xml:space="preserve">167,491</w:t>
            </w:r>
          </w:p>
        </w:tc>
      </w:tr>
      <w:tr>
        <w:tc>
          <w:tcPr/>
          <w:p>
            <w:pPr>
              <w:pStyle w:val="Compact"/>
              <w:jc w:val="left"/>
            </w:pPr>
            <w:r>
              <w:t xml:space="preserve">Reference answers</w:t>
            </w:r>
          </w:p>
        </w:tc>
        <w:tc>
          <w:tcPr/>
          <w:p>
            <w:pPr>
              <w:pStyle w:val="Compact"/>
              <w:jc w:val="left"/>
            </w:pPr>
            <w:r>
              <w:t xml:space="preserve">NQ-open (validation)</w:t>
            </w:r>
          </w:p>
        </w:tc>
        <w:tc>
          <w:tcPr/>
          <w:p>
            <w:pPr>
              <w:pStyle w:val="Compact"/>
              <w:jc w:val="left"/>
            </w:pPr>
            <w:r>
              <w:t xml:space="preserve">HotpotQA fullwiki (validation)</w:t>
            </w:r>
          </w:p>
        </w:tc>
      </w:tr>
    </w:tbl>
    <w:bookmarkEnd w:id="146"/>
    <w:p>
      <w:pPr>
        <w:pStyle w:val="BodyText"/>
      </w:pPr>
      <w:r>
        <w:rPr>
          <w:iCs/>
          <w:i/>
        </w:rPr>
        <w:t xml:space="preserve">Corpus sizes as distributed by BEIR. Joins: NQ by normalised question text, HotpotQA by question id. Each HotpotQA query has exactly two distinct gold passages; 14,810 gold references point to 13,783 distinct passages because some passages support several questions. Both@5 requires both gold passages of the query in the top five.</w:t>
      </w:r>
    </w:p>
    <w:bookmarkEnd w:id="147"/>
    <w:bookmarkStart w:id="148" w:name="app:prereg"/>
    <w:p>
      <w:pPr>
        <w:pStyle w:val="Heading1"/>
      </w:pPr>
      <w:r>
        <w:t xml:space="preserve">Design documents</w:t>
      </w:r>
    </w:p>
    <w:p>
      <w:pPr>
        <w:pStyle w:val="FirstParagraph"/>
      </w:pPr>
      <w:r>
        <w:t xml:space="preserve">The design document and its addenda are dated and versioned in the study repository. Each was written before the stage it governs.</w:t>
      </w:r>
    </w:p>
    <w:p>
      <w:pPr>
        <w:numPr>
          <w:ilvl w:val="0"/>
          <w:numId w:val="1003"/>
        </w:numPr>
      </w:pPr>
      <w:r>
        <w:rPr>
          <w:bCs/>
          <w:b/>
        </w:rPr>
        <w:t xml:space="preserve">v0.2 (26 September 2026).</w:t>
      </w:r>
      <w:r>
        <w:t xml:space="preserve"> </w:t>
      </w:r>
      <w:r>
        <w:t xml:space="preserve">Research questions, retrievers, reader, judge, metrics, statistical tests, the transfer-ratio reporting rule and the pilot plan.</w:t>
      </w:r>
    </w:p>
    <w:p>
      <w:pPr>
        <w:numPr>
          <w:ilvl w:val="0"/>
          <w:numId w:val="1003"/>
        </w:numPr>
      </w:pPr>
      <w:r>
        <w:rPr>
          <w:bCs/>
          <w:b/>
        </w:rPr>
        <w:t xml:space="preserve">v0.2.1–v0.2.2 (26 September 2026).</w:t>
      </w:r>
      <w:r>
        <w:t xml:space="preserve"> </w:t>
      </w:r>
      <w:r>
        <w:t xml:space="preserve">Follow-up rules (abstention-prompt check, judge fallback, GPU stopping rules) and the change of the NQ join gate (deviation 1).</w:t>
      </w:r>
    </w:p>
    <w:p>
      <w:pPr>
        <w:numPr>
          <w:ilvl w:val="0"/>
          <w:numId w:val="1003"/>
        </w:numPr>
      </w:pPr>
      <w:r>
        <w:rPr>
          <w:bCs/>
          <w:b/>
        </w:rPr>
        <w:t xml:space="preserve">v0.2.3 (27 September 2026).</w:t>
      </w:r>
      <w:r>
        <w:t xml:space="preserve"> </w:t>
      </w:r>
      <w:r>
        <w:t xml:space="preserve">Pilot verification; the sub-corpus membership rule for all judged queries; dropping the RAGAS cross-check.</w:t>
      </w:r>
    </w:p>
    <w:p>
      <w:pPr>
        <w:numPr>
          <w:ilvl w:val="0"/>
          <w:numId w:val="1003"/>
        </w:numPr>
      </w:pPr>
      <w:r>
        <w:rPr>
          <w:bCs/>
          <w:b/>
        </w:rPr>
        <w:t xml:space="preserve">v0.2.4 (27–29 September 2026).</w:t>
      </w:r>
      <w:r>
        <w:t xml:space="preserve"> </w:t>
      </w:r>
      <w:r>
        <w:t xml:space="preserve">Execution records of Phase 1, the failed initial reading session, the cost-estimate error and the cut dimension ablation.</w:t>
      </w:r>
    </w:p>
    <w:p>
      <w:pPr>
        <w:numPr>
          <w:ilvl w:val="0"/>
          <w:numId w:val="1003"/>
        </w:numPr>
      </w:pPr>
      <w:r>
        <w:rPr>
          <w:bCs/>
          <w:b/>
        </w:rPr>
        <w:t xml:space="preserve">v0.3 (12 October 2026).</w:t>
      </w:r>
      <w:r>
        <w:t xml:space="preserve"> </w:t>
      </w:r>
      <w:r>
        <w:t xml:space="preserve">Phase 2 experiments E1–E12 and predictions P1–P6, written before any Phase 2 run.</w:t>
      </w:r>
    </w:p>
    <w:p>
      <w:pPr>
        <w:numPr>
          <w:ilvl w:val="0"/>
          <w:numId w:val="1003"/>
        </w:numPr>
      </w:pPr>
      <w:r>
        <w:rPr>
          <w:bCs/>
          <w:b/>
        </w:rPr>
        <w:t xml:space="preserve">v0.3.1 (12 and 14 October 2026).</w:t>
      </w:r>
      <w:r>
        <w:t xml:space="preserve"> </w:t>
      </w:r>
      <w:r>
        <w:t xml:space="preserve">The Python 3.13 image change and the torchaudio fix.</w:t>
      </w:r>
    </w:p>
    <w:p>
      <w:pPr>
        <w:numPr>
          <w:ilvl w:val="0"/>
          <w:numId w:val="1003"/>
        </w:numPr>
      </w:pPr>
      <w:r>
        <w:rPr>
          <w:bCs/>
          <w:b/>
        </w:rPr>
        <w:t xml:space="preserve">v0.3.2 (15 October 2026).</w:t>
      </w:r>
      <w:r>
        <w:t xml:space="preserve"> </w:t>
      </w:r>
      <w:r>
        <w:t xml:space="preserve">Implementation of E5, E6, E7, E9 and E12 before the session that ran them, including the reduced scope of E6.</w:t>
      </w:r>
    </w:p>
    <w:p>
      <w:pPr>
        <w:numPr>
          <w:ilvl w:val="0"/>
          <w:numId w:val="1003"/>
        </w:numPr>
      </w:pPr>
      <w:r>
        <w:rPr>
          <w:bCs/>
          <w:b/>
        </w:rPr>
        <w:t xml:space="preserve">v0.4 (17 October 2026).</w:t>
      </w:r>
      <w:r>
        <w:t xml:space="preserve"> </w:t>
      </w:r>
      <w:r>
        <w:t xml:space="preserve">Phase 3: readers on full-corpus NQ retrieval, predictions P7 and P8, the answer-string checks and the human audit of misses, written and committed before the Phase 3 session.</w:t>
      </w:r>
    </w:p>
    <w:p>
      <w:pPr>
        <w:pStyle w:val="FirstParagraph"/>
      </w:pPr>
      <w:r>
        <w:t xml:space="preserve">Pilot numbers were used only for planning and are not reported as results.</w:t>
      </w:r>
    </w:p>
    <w:bookmarkEnd w:id="148"/>
    <w:bookmarkStart w:id="152" w:name="app:deploy"/>
    <w:p>
      <w:pPr>
        <w:pStyle w:val="Heading1"/>
      </w:pPr>
      <w:r>
        <w:t xml:space="preserve">Retrieval-stage cost on a CPU</w:t>
      </w:r>
    </w:p>
    <w:p>
      <w:pPr>
        <w:pStyle w:val="FirstParagraph"/>
      </w:pPr>
      <w:r>
        <w:t xml:space="preserve">Phase 1 also measured the cost of serving queries without a GPU (Table </w:t>
      </w:r>
      <w:hyperlink w:anchor="tab:deploy">
        <w:r>
          <w:rPr>
            <w:rStyle w:val="Hyperlink"/>
          </w:rPr>
          <w:t xml:space="preserve">[tab:deploy]</w:t>
        </w:r>
      </w:hyperlink>
      <w:r>
        <w:t xml:space="preserve">; single measurements). Encoding the 300,000-passage sub-corpus on the T4 took 158 s with MiniLM-L6, 592 s with e5-base-v2, 1,753 s with bge-large and 4,431 s with Qwen3-Embedding-0.6B. On the CPU alone, one query (encoding plus exact search) took 21.9 ms with BM25, 53.7 ms with MiniLM-L6, 149.3 ms with e5-base-v2, 402.5 ms with bge-large and 861.7 ms with Qwen3-Embedding-0.6B. The flat index took 439, 879 and 1,172 MB at 384, 768 and 1,024 dimensions. Fig. </w:t>
      </w:r>
      <w:hyperlink w:anchor="fig:pareto">
        <w:r>
          <w:rPr>
            <w:rStyle w:val="Hyperlink"/>
          </w:rPr>
          <w:t xml:space="preserve">12</w:t>
        </w:r>
      </w:hyperlink>
      <w:r>
        <w:t xml:space="preserve"> </w:t>
      </w:r>
      <w:r>
        <w:t xml:space="preserve">places each retriever by CPU latency and EM in every cell. bge-large and Qwen3-Embedding-0.6B were dominated on NQ for both readers: a cheaper retriever gave at least the same EM. On HotpotQA, bge-large was on the frontier with both readers, and its step over the next retriever was significant only with Qwen. Fig. </w:t>
      </w:r>
      <w:hyperlink w:anchor="fig:latency">
        <w:r>
          <w:rPr>
            <w:rStyle w:val="Hyperlink"/>
          </w:rPr>
          <w:t xml:space="preserve">13</w:t>
        </w:r>
      </w:hyperlink>
      <w:r>
        <w:t xml:space="preserve"> </w:t>
      </w:r>
      <w:r>
        <w:t xml:space="preserve">in the appendix gives the same view for NQ nDCG@10. In an exploratory check that treats costs within 5% as equal, only one frontier changed, on both cost axes: with Qwen on NQ, bge-base left the frontier, because its cost is within 5% of e5-base-v2 and its EM is lower.</w:t>
      </w:r>
    </w:p>
    <w:p>
      <w:pPr>
        <w:pStyle w:val="CaptionedFigure"/>
      </w:pPr>
      <w:r>
        <w:drawing>
          <wp:inline>
            <wp:extent cx="5334000" cy="3514470"/>
            <wp:effectExtent b="0" l="0" r="0" t="0"/>
            <wp:docPr descr="" title="" id="150" name="Picture"/>
            <a:graphic>
              <a:graphicData uri="http://schemas.openxmlformats.org/drawingml/2006/picture">
                <pic:pic>
                  <pic:nvPicPr>
                    <pic:cNvPr descr="/home/claude/rag-embed-transfer/paper_figures/out/fig11_pareto.png" id="151" name="Picture"/>
                    <pic:cNvPicPr>
                      <a:picLocks noChangeArrowheads="1" noChangeAspect="1"/>
                    </pic:cNvPicPr>
                  </pic:nvPicPr>
                  <pic:blipFill>
                    <a:blip r:embed="rId149"/>
                    <a:stretch>
                      <a:fillRect/>
                    </a:stretch>
                  </pic:blipFill>
                  <pic:spPr bwMode="auto">
                    <a:xfrm>
                      <a:off x="0" y="0"/>
                      <a:ext cx="5334000" cy="3514470"/>
                    </a:xfrm>
                    <a:prstGeom prst="rect">
                      <a:avLst/>
                    </a:prstGeom>
                    <a:noFill/>
                    <a:ln w="9525">
                      <a:noFill/>
                      <a:headEnd/>
                      <a:tailEnd/>
                    </a:ln>
                  </pic:spPr>
                </pic:pic>
              </a:graphicData>
            </a:graphic>
          </wp:inline>
        </w:drawing>
      </w:r>
    </w:p>
    <w:p>
      <w:pPr>
        <w:pStyle w:val="ImageCaption"/>
      </w:pPr>
      <w:r>
        <w:t xml:space="preserve">Exact match against per-query latency with query encoding and exact search on the CPU (Phase 1 cost measurements, log scale). The line joins retrievers that no other retriever beats on both axes; open markers are dominated. Step labels:</w:t>
      </w:r>
      <w:r>
        <w:t xml:space="preserve"> </w:t>
      </w:r>
      <m:oMath>
        <m:sSup>
          <m:e>
            <m:r>
              <m:t>​</m:t>
            </m:r>
          </m:e>
          <m:sup>
            <m:r>
              <m:rPr>
                <m:sty m:val="p"/>
              </m:rPr>
              <m:t>*</m:t>
            </m:r>
          </m:sup>
        </m:sSup>
      </m:oMath>
      <w:r>
        <w:t xml:space="preserve"> </w:t>
      </w:r>
      <w:r>
        <w:t xml:space="preserve">EM difference significant after Holm correction over the 21 pairs of the cell; n.s. not significant.</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Retriever</w:t>
            </w:r>
          </w:p>
        </w:tc>
        <w:tc>
          <w:tcPr/>
          <w:p>
            <w:pPr>
              <w:pStyle w:val="Compact"/>
              <w:jc w:val="right"/>
            </w:pPr>
            <w:r>
              <w:t xml:space="preserve">Enc. 300k (s)</w:t>
            </w:r>
          </w:p>
        </w:tc>
        <w:tc>
          <w:tcPr/>
          <w:p>
            <w:pPr>
              <w:pStyle w:val="Compact"/>
              <w:jc w:val="right"/>
            </w:pPr>
            <w:r>
              <w:t xml:space="preserve">GPU MiB</w:t>
            </w:r>
          </w:p>
        </w:tc>
        <w:tc>
          <w:tcPr/>
          <w:p>
            <w:pPr>
              <w:pStyle w:val="Compact"/>
              <w:jc w:val="right"/>
            </w:pPr>
            <w:r>
              <w:t xml:space="preserve">CPU pass./s</w:t>
            </w:r>
          </w:p>
        </w:tc>
        <w:tc>
          <w:tcPr/>
          <w:p>
            <w:pPr>
              <w:pStyle w:val="Compact"/>
              <w:jc w:val="right"/>
            </w:pPr>
            <w:r>
              <w:t xml:space="preserve">Q-enc GPU</w:t>
            </w:r>
          </w:p>
        </w:tc>
        <w:tc>
          <w:tcPr/>
          <w:p>
            <w:pPr>
              <w:pStyle w:val="Compact"/>
              <w:jc w:val="right"/>
            </w:pPr>
            <w:r>
              <w:t xml:space="preserve">Q-enc CPU</w:t>
            </w:r>
          </w:p>
        </w:tc>
        <w:tc>
          <w:tcPr/>
          <w:p>
            <w:pPr>
              <w:pStyle w:val="Compact"/>
              <w:jc w:val="right"/>
            </w:pPr>
            <w:r>
              <w:t xml:space="preserve">Search</w:t>
            </w:r>
          </w:p>
        </w:tc>
        <w:tc>
          <w:tcPr/>
          <w:p>
            <w:pPr>
              <w:pStyle w:val="Compact"/>
              <w:jc w:val="right"/>
            </w:pPr>
            <w:r>
              <w:t xml:space="preserve">Query CPU</w:t>
            </w:r>
          </w:p>
        </w:tc>
        <w:tc>
          <w:tcPr/>
          <w:p>
            <w:pPr>
              <w:pStyle w:val="Compact"/>
              <w:jc w:val="right"/>
            </w:pPr>
            <w:r>
              <w:t xml:space="preserve">Index MB</w:t>
            </w:r>
          </w:p>
        </w:tc>
      </w:tr>
      <w:tr>
        <w:tc>
          <w:tcPr/>
          <w:p>
            <w:pPr>
              <w:pStyle w:val="Compact"/>
              <w:jc w:val="left"/>
            </w:pPr>
            <w:r>
              <w:t xml:space="preserve">BM25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21.9</w:t>
            </w:r>
          </w:p>
        </w:tc>
        <w:tc>
          <w:tcPr/>
          <w:p>
            <w:pPr>
              <w:pStyle w:val="Compact"/>
              <w:jc w:val="right"/>
            </w:pPr>
            <w:r>
              <w:t xml:space="preserve">21.9</w:t>
            </w:r>
          </w:p>
        </w:tc>
        <w:tc>
          <w:tcPr/>
          <w:p>
            <w:pPr>
              <w:pStyle w:val="Compact"/>
              <w:jc w:val="right"/>
            </w:pPr>
            <w:r>
              <w:t xml:space="preserve">–</w:t>
            </w:r>
          </w:p>
        </w:tc>
      </w:tr>
      <w:tr>
        <w:tc>
          <w:tcPr/>
          <w:p>
            <w:pPr>
              <w:pStyle w:val="Compact"/>
              <w:jc w:val="left"/>
            </w:pPr>
            <w:r>
              <w:t xml:space="preserve">MiniLM-L6</w:t>
            </w:r>
          </w:p>
        </w:tc>
        <w:tc>
          <w:tcPr/>
          <w:p>
            <w:pPr>
              <w:pStyle w:val="Compact"/>
              <w:jc w:val="right"/>
            </w:pPr>
            <w:r>
              <w:t xml:space="preserve">158</w:t>
            </w:r>
          </w:p>
        </w:tc>
        <w:tc>
          <w:tcPr/>
          <w:p>
            <w:pPr>
              <w:pStyle w:val="Compact"/>
              <w:jc w:val="right"/>
            </w:pPr>
            <w:r>
              <w:t xml:space="preserve">352</w:t>
            </w:r>
          </w:p>
        </w:tc>
        <w:tc>
          <w:tcPr/>
          <w:p>
            <w:pPr>
              <w:pStyle w:val="Compact"/>
              <w:jc w:val="right"/>
            </w:pPr>
            <w:r>
              <w:t xml:space="preserve">38.7</w:t>
            </w:r>
          </w:p>
        </w:tc>
        <w:tc>
          <w:tcPr/>
          <w:p>
            <w:pPr>
              <w:pStyle w:val="Compact"/>
              <w:jc w:val="right"/>
            </w:pPr>
            <w:r>
              <w:t xml:space="preserve">5.6</w:t>
            </w:r>
          </w:p>
        </w:tc>
        <w:tc>
          <w:tcPr/>
          <w:p>
            <w:pPr>
              <w:pStyle w:val="Compact"/>
              <w:jc w:val="right"/>
            </w:pPr>
            <w:r>
              <w:t xml:space="preserve">14.3</w:t>
            </w:r>
          </w:p>
        </w:tc>
        <w:tc>
          <w:tcPr/>
          <w:p>
            <w:pPr>
              <w:pStyle w:val="Compact"/>
              <w:jc w:val="right"/>
            </w:pPr>
            <w:r>
              <w:t xml:space="preserve">39.3</w:t>
            </w:r>
          </w:p>
        </w:tc>
        <w:tc>
          <w:tcPr/>
          <w:p>
            <w:pPr>
              <w:pStyle w:val="Compact"/>
              <w:jc w:val="right"/>
            </w:pPr>
            <w:r>
              <w:t xml:space="preserve">53.7</w:t>
            </w:r>
          </w:p>
        </w:tc>
        <w:tc>
          <w:tcPr/>
          <w:p>
            <w:pPr>
              <w:pStyle w:val="Compact"/>
              <w:jc w:val="right"/>
            </w:pPr>
            <w:r>
              <w:t xml:space="preserve">439</w:t>
            </w:r>
          </w:p>
        </w:tc>
      </w:tr>
      <w:tr>
        <w:tc>
          <w:tcPr/>
          <w:p>
            <w:pPr>
              <w:pStyle w:val="Compact"/>
              <w:jc w:val="left"/>
            </w:pPr>
            <w:r>
              <w:t xml:space="preserve">bge-small</w:t>
            </w:r>
          </w:p>
        </w:tc>
        <w:tc>
          <w:tcPr/>
          <w:p>
            <w:pPr>
              <w:pStyle w:val="Compact"/>
              <w:jc w:val="right"/>
            </w:pPr>
            <w:r>
              <w:t xml:space="preserve">250</w:t>
            </w:r>
          </w:p>
        </w:tc>
        <w:tc>
          <w:tcPr/>
          <w:p>
            <w:pPr>
              <w:pStyle w:val="Compact"/>
              <w:jc w:val="right"/>
            </w:pPr>
            <w:r>
              <w:t xml:space="preserve">374</w:t>
            </w:r>
          </w:p>
        </w:tc>
        <w:tc>
          <w:tcPr/>
          <w:p>
            <w:pPr>
              <w:pStyle w:val="Compact"/>
              <w:jc w:val="right"/>
            </w:pPr>
            <w:r>
              <w:t xml:space="preserve">20.0</w:t>
            </w:r>
          </w:p>
        </w:tc>
        <w:tc>
          <w:tcPr/>
          <w:p>
            <w:pPr>
              <w:pStyle w:val="Compact"/>
              <w:jc w:val="right"/>
            </w:pPr>
            <w:r>
              <w:t xml:space="preserve">9.7</w:t>
            </w:r>
          </w:p>
        </w:tc>
        <w:tc>
          <w:tcPr/>
          <w:p>
            <w:pPr>
              <w:pStyle w:val="Compact"/>
              <w:jc w:val="right"/>
            </w:pPr>
            <w:r>
              <w:t xml:space="preserve">35.3</w:t>
            </w:r>
          </w:p>
        </w:tc>
        <w:tc>
          <w:tcPr/>
          <w:p>
            <w:pPr>
              <w:pStyle w:val="Compact"/>
              <w:jc w:val="right"/>
            </w:pPr>
            <w:r>
              <w:t xml:space="preserve">38.8</w:t>
            </w:r>
          </w:p>
        </w:tc>
        <w:tc>
          <w:tcPr/>
          <w:p>
            <w:pPr>
              <w:pStyle w:val="Compact"/>
              <w:jc w:val="right"/>
            </w:pPr>
            <w:r>
              <w:t xml:space="preserve">74.1</w:t>
            </w:r>
          </w:p>
        </w:tc>
        <w:tc>
          <w:tcPr/>
          <w:p>
            <w:pPr>
              <w:pStyle w:val="Compact"/>
              <w:jc w:val="right"/>
            </w:pPr>
            <w:r>
              <w:t xml:space="preserve">439</w:t>
            </w:r>
          </w:p>
        </w:tc>
      </w:tr>
      <w:tr>
        <w:tc>
          <w:tcPr/>
          <w:p>
            <w:pPr>
              <w:pStyle w:val="Compact"/>
              <w:jc w:val="left"/>
            </w:pPr>
            <w:r>
              <w:t xml:space="preserve">bge-base</w:t>
            </w:r>
          </w:p>
        </w:tc>
        <w:tc>
          <w:tcPr/>
          <w:p>
            <w:pPr>
              <w:pStyle w:val="Compact"/>
              <w:jc w:val="right"/>
            </w:pPr>
            <w:r>
              <w:t xml:space="preserve">584</w:t>
            </w:r>
          </w:p>
        </w:tc>
        <w:tc>
          <w:tcPr/>
          <w:p>
            <w:pPr>
              <w:pStyle w:val="Compact"/>
              <w:jc w:val="right"/>
            </w:pPr>
            <w:r>
              <w:t xml:space="preserve">818</w:t>
            </w:r>
          </w:p>
        </w:tc>
        <w:tc>
          <w:tcPr/>
          <w:p>
            <w:pPr>
              <w:pStyle w:val="Compact"/>
              <w:jc w:val="right"/>
            </w:pPr>
            <w:r>
              <w:t xml:space="preserve">6.4</w:t>
            </w:r>
          </w:p>
        </w:tc>
        <w:tc>
          <w:tcPr/>
          <w:p>
            <w:pPr>
              <w:pStyle w:val="Compact"/>
              <w:jc w:val="right"/>
            </w:pPr>
            <w:r>
              <w:t xml:space="preserve">9.6</w:t>
            </w:r>
          </w:p>
        </w:tc>
        <w:tc>
          <w:tcPr/>
          <w:p>
            <w:pPr>
              <w:pStyle w:val="Compact"/>
              <w:jc w:val="right"/>
            </w:pPr>
            <w:r>
              <w:t xml:space="preserve">66.5</w:t>
            </w:r>
          </w:p>
        </w:tc>
        <w:tc>
          <w:tcPr/>
          <w:p>
            <w:pPr>
              <w:pStyle w:val="Compact"/>
              <w:jc w:val="right"/>
            </w:pPr>
            <w:r>
              <w:t xml:space="preserve">81.2</w:t>
            </w:r>
          </w:p>
        </w:tc>
        <w:tc>
          <w:tcPr/>
          <w:p>
            <w:pPr>
              <w:pStyle w:val="Compact"/>
              <w:jc w:val="right"/>
            </w:pPr>
            <w:r>
              <w:t xml:space="preserve">147.7</w:t>
            </w:r>
          </w:p>
        </w:tc>
        <w:tc>
          <w:tcPr/>
          <w:p>
            <w:pPr>
              <w:pStyle w:val="Compact"/>
              <w:jc w:val="right"/>
            </w:pPr>
            <w:r>
              <w:t xml:space="preserve">879</w:t>
            </w:r>
          </w:p>
        </w:tc>
      </w:tr>
      <w:tr>
        <w:tc>
          <w:tcPr/>
          <w:p>
            <w:pPr>
              <w:pStyle w:val="Compact"/>
              <w:jc w:val="left"/>
            </w:pPr>
            <w:r>
              <w:t xml:space="preserve">bge-large</w:t>
            </w:r>
          </w:p>
        </w:tc>
        <w:tc>
          <w:tcPr/>
          <w:p>
            <w:pPr>
              <w:pStyle w:val="Compact"/>
              <w:jc w:val="right"/>
            </w:pPr>
            <w:r>
              <w:t xml:space="preserve">1,753</w:t>
            </w:r>
          </w:p>
        </w:tc>
        <w:tc>
          <w:tcPr/>
          <w:p>
            <w:pPr>
              <w:pStyle w:val="Compact"/>
              <w:jc w:val="right"/>
            </w:pPr>
            <w:r>
              <w:t xml:space="preserve">1,427</w:t>
            </w:r>
          </w:p>
        </w:tc>
        <w:tc>
          <w:tcPr/>
          <w:p>
            <w:pPr>
              <w:pStyle w:val="Compact"/>
              <w:jc w:val="right"/>
            </w:pPr>
            <w:r>
              <w:t xml:space="preserve">1.9</w:t>
            </w:r>
          </w:p>
        </w:tc>
        <w:tc>
          <w:tcPr/>
          <w:p>
            <w:pPr>
              <w:pStyle w:val="Compact"/>
              <w:jc w:val="right"/>
            </w:pPr>
            <w:r>
              <w:t xml:space="preserve">17.4</w:t>
            </w:r>
          </w:p>
        </w:tc>
        <w:tc>
          <w:tcPr/>
          <w:p>
            <w:pPr>
              <w:pStyle w:val="Compact"/>
              <w:jc w:val="right"/>
            </w:pPr>
            <w:r>
              <w:t xml:space="preserve">259.4</w:t>
            </w:r>
          </w:p>
        </w:tc>
        <w:tc>
          <w:tcPr/>
          <w:p>
            <w:pPr>
              <w:pStyle w:val="Compact"/>
              <w:jc w:val="right"/>
            </w:pPr>
            <w:r>
              <w:t xml:space="preserve">143.1</w:t>
            </w:r>
          </w:p>
        </w:tc>
        <w:tc>
          <w:tcPr/>
          <w:p>
            <w:pPr>
              <w:pStyle w:val="Compact"/>
              <w:jc w:val="right"/>
            </w:pPr>
            <w:r>
              <w:t xml:space="preserve">402.5</w:t>
            </w:r>
          </w:p>
        </w:tc>
        <w:tc>
          <w:tcPr/>
          <w:p>
            <w:pPr>
              <w:pStyle w:val="Compact"/>
              <w:jc w:val="right"/>
            </w:pPr>
            <w:r>
              <w:t xml:space="preserve">1,172</w:t>
            </w:r>
          </w:p>
        </w:tc>
      </w:tr>
      <w:tr>
        <w:tc>
          <w:tcPr/>
          <w:p>
            <w:pPr>
              <w:pStyle w:val="Compact"/>
              <w:jc w:val="left"/>
            </w:pPr>
            <w:r>
              <w:t xml:space="preserve">e5-base-v2</w:t>
            </w:r>
          </w:p>
        </w:tc>
        <w:tc>
          <w:tcPr/>
          <w:p>
            <w:pPr>
              <w:pStyle w:val="Compact"/>
              <w:jc w:val="right"/>
            </w:pPr>
            <w:r>
              <w:t xml:space="preserve">592</w:t>
            </w:r>
          </w:p>
        </w:tc>
        <w:tc>
          <w:tcPr/>
          <w:p>
            <w:pPr>
              <w:pStyle w:val="Compact"/>
              <w:jc w:val="right"/>
            </w:pPr>
            <w:r>
              <w:t xml:space="preserve">818</w:t>
            </w:r>
          </w:p>
        </w:tc>
        <w:tc>
          <w:tcPr/>
          <w:p>
            <w:pPr>
              <w:pStyle w:val="Compact"/>
              <w:jc w:val="right"/>
            </w:pPr>
            <w:r>
              <w:t xml:space="preserve">6.2</w:t>
            </w:r>
          </w:p>
        </w:tc>
        <w:tc>
          <w:tcPr/>
          <w:p>
            <w:pPr>
              <w:pStyle w:val="Compact"/>
              <w:jc w:val="right"/>
            </w:pPr>
            <w:r>
              <w:t xml:space="preserve">9.6</w:t>
            </w:r>
          </w:p>
        </w:tc>
        <w:tc>
          <w:tcPr/>
          <w:p>
            <w:pPr>
              <w:pStyle w:val="Compact"/>
              <w:jc w:val="right"/>
            </w:pPr>
            <w:r>
              <w:t xml:space="preserve">67.8</w:t>
            </w:r>
          </w:p>
        </w:tc>
        <w:tc>
          <w:tcPr/>
          <w:p>
            <w:pPr>
              <w:pStyle w:val="Compact"/>
              <w:jc w:val="right"/>
            </w:pPr>
            <w:r>
              <w:t xml:space="preserve">81.5</w:t>
            </w:r>
          </w:p>
        </w:tc>
        <w:tc>
          <w:tcPr/>
          <w:p>
            <w:pPr>
              <w:pStyle w:val="Compact"/>
              <w:jc w:val="right"/>
            </w:pPr>
            <w:r>
              <w:t xml:space="preserve">149.3</w:t>
            </w:r>
          </w:p>
        </w:tc>
        <w:tc>
          <w:tcPr/>
          <w:p>
            <w:pPr>
              <w:pStyle w:val="Compact"/>
              <w:jc w:val="right"/>
            </w:pPr>
            <w:r>
              <w:t xml:space="preserve">879</w:t>
            </w:r>
          </w:p>
        </w:tc>
      </w:tr>
      <w:tr>
        <w:tc>
          <w:tcPr/>
          <w:p>
            <w:pPr>
              <w:pStyle w:val="Compact"/>
              <w:jc w:val="left"/>
            </w:pPr>
            <w:r>
              <w:t xml:space="preserve">Qwen3-Emb-0.6B</w:t>
            </w:r>
          </w:p>
        </w:tc>
        <w:tc>
          <w:tcPr/>
          <w:p>
            <w:pPr>
              <w:pStyle w:val="Compact"/>
              <w:jc w:val="right"/>
            </w:pPr>
            <w:r>
              <w:t xml:space="preserve">4,431</w:t>
            </w:r>
          </w:p>
        </w:tc>
        <w:tc>
          <w:tcPr/>
          <w:p>
            <w:pPr>
              <w:pStyle w:val="Compact"/>
              <w:jc w:val="right"/>
            </w:pPr>
            <w:r>
              <w:t xml:space="preserve">7,548</w:t>
            </w:r>
          </w:p>
        </w:tc>
        <w:tc>
          <w:tcPr/>
          <w:p>
            <w:pPr>
              <w:pStyle w:val="Compact"/>
              <w:jc w:val="right"/>
            </w:pPr>
            <w:r>
              <w:t xml:space="preserve">0.3</w:t>
            </w:r>
          </w:p>
        </w:tc>
        <w:tc>
          <w:tcPr/>
          <w:p>
            <w:pPr>
              <w:pStyle w:val="Compact"/>
              <w:jc w:val="right"/>
            </w:pPr>
            <w:r>
              <w:t xml:space="preserve">46.9</w:t>
            </w:r>
          </w:p>
        </w:tc>
        <w:tc>
          <w:tcPr/>
          <w:p>
            <w:pPr>
              <w:pStyle w:val="Compact"/>
              <w:jc w:val="right"/>
            </w:pPr>
            <w:r>
              <w:t xml:space="preserve">719.7</w:t>
            </w:r>
          </w:p>
        </w:tc>
        <w:tc>
          <w:tcPr/>
          <w:p>
            <w:pPr>
              <w:pStyle w:val="Compact"/>
              <w:jc w:val="right"/>
            </w:pPr>
            <w:r>
              <w:t xml:space="preserve">142.0</w:t>
            </w:r>
          </w:p>
        </w:tc>
        <w:tc>
          <w:tcPr/>
          <w:p>
            <w:pPr>
              <w:pStyle w:val="Compact"/>
              <w:jc w:val="right"/>
            </w:pPr>
            <w:r>
              <w:t xml:space="preserve">861.7</w:t>
            </w:r>
          </w:p>
        </w:tc>
        <w:tc>
          <w:tcPr/>
          <w:p>
            <w:pPr>
              <w:pStyle w:val="Compact"/>
              <w:jc w:val="right"/>
            </w:pPr>
            <w:r>
              <w:t xml:space="preserve">1,172</w:t>
            </w:r>
          </w:p>
        </w:tc>
      </w:tr>
    </w:tbl>
    <w:p>
      <w:pPr>
        <w:pStyle w:val="BodyText"/>
      </w:pPr>
      <w:r>
        <w:rPr>
          <w:iCs/>
          <w:i/>
        </w:rPr>
        <w:t xml:space="preserve">Enc. 300k: T4 wall time to encode the 300,000-passage sub-corpus. Q-enc: batch-1 query encoding (ms, median). Search: batch-1 exact inner-product search on the CPU (ms, median). Query CPU: query encoding plus search, all on the CPU. Index: flat float32 FAISS index. Encoding throughput repeated five times in Phase 2 is in Table </w:t>
      </w:r>
      <w:hyperlink w:anchor="tab:cost">
        <w:r>
          <w:rPr>
            <w:rStyle w:val="Hyperlink"/>
            <w:iCs/>
            <w:i/>
          </w:rPr>
          <w:t xml:space="preserve">6</w:t>
        </w:r>
      </w:hyperlink>
      <w:r>
        <w:rPr>
          <w:iCs/>
          <w:i/>
        </w:rPr>
        <w:t xml:space="preserve">.</w:t>
      </w:r>
    </w:p>
    <w:bookmarkEnd w:id="152"/>
    <w:bookmarkStart w:id="258" w:name="app:tables"/>
    <w:p>
      <w:pPr>
        <w:pStyle w:val="Heading1"/>
      </w:pPr>
      <w:r>
        <w:t xml:space="preserve">Additional tables</w:t>
      </w:r>
    </w:p>
    <w:p>
      <w:pPr>
        <w:pStyle w:val="FirstParagraph"/>
      </w:pPr>
      <w:r>
        <w:t xml:space="preserve">Table </w:t>
      </w:r>
      <w:hyperlink w:anchor="tab:ci">
        <w:r>
          <w:rPr>
            <w:rStyle w:val="Hyperlink"/>
          </w:rPr>
          <w:t xml:space="preserve">[tab:ci]</w:t>
        </w:r>
      </w:hyperlink>
      <w:r>
        <w:t xml:space="preserve"> </w:t>
      </w:r>
      <w:r>
        <w:t xml:space="preserve">gives the bootstrap intervals for Table </w:t>
      </w:r>
      <w:hyperlink w:anchor="tab:main">
        <w:r>
          <w:rPr>
            <w:rStyle w:val="Hyperlink"/>
          </w:rPr>
          <w:t xml:space="preserve">[tab:main]</w:t>
        </w:r>
      </w:hyperlink>
      <w:r>
        <w:t xml:space="preserve">. Table </w:t>
      </w:r>
      <w:hyperlink w:anchor="tab:transferalt">
        <w:r>
          <w:rPr>
            <w:rStyle w:val="Hyperlink"/>
          </w:rPr>
          <w:t xml:space="preserve">[tab:transferalt]</w:t>
        </w:r>
      </w:hyperlink>
      <w:r>
        <w:t xml:space="preserve"> </w:t>
      </w:r>
      <w:r>
        <w:t xml:space="preserve">repeats the transfer ratios with token F1 and answer containment. Table </w:t>
      </w:r>
      <w:hyperlink w:anchor="tab:decomp">
        <w:r>
          <w:rPr>
            <w:rStyle w:val="Hyperlink"/>
          </w:rPr>
          <w:t xml:space="preserve">[tab:decomp]</w:t>
        </w:r>
      </w:hyperlink>
      <w:r>
        <w:t xml:space="preserve"> </w:t>
      </w:r>
      <w:r>
        <w:t xml:space="preserve">gives EM given a hit and given a miss, which enter Eq. </w:t>
      </w:r>
      <w:hyperlink w:anchor="eq:decomp">
        <w:r>
          <w:rPr>
            <w:rStyle w:val="Hyperlink"/>
          </w:rPr>
          <w:t xml:space="preserve">[eq:decomp]</w:t>
        </w:r>
      </w:hyperlink>
      <w:r>
        <w:t xml:space="preserve">. Table </w:t>
      </w:r>
      <w:hyperlink w:anchor="tab:idk">
        <w:r>
          <w:rPr>
            <w:rStyle w:val="Hyperlink"/>
          </w:rPr>
          <w:t xml:space="preserve">12</w:t>
        </w:r>
      </w:hyperlink>
      <w:r>
        <w:t xml:space="preserve"> </w:t>
      </w:r>
      <w:r>
        <w:t xml:space="preserve">gives the abstention-prompt check, Table </w:t>
      </w:r>
      <w:hyperlink w:anchor="tab:transferk">
        <w:r>
          <w:rPr>
            <w:rStyle w:val="Hyperlink"/>
          </w:rPr>
          <w:t xml:space="preserve">[tab:transferk]</w:t>
        </w:r>
      </w:hyperlink>
      <w:r>
        <w:t xml:space="preserve"> </w:t>
      </w:r>
      <w:r>
        <w:t xml:space="preserve">the exploratory transfer ratios at each</w:t>
      </w:r>
      <w:r>
        <w:t xml:space="preserve"> </w:t>
      </w:r>
      <m:oMath>
        <m:r>
          <m:t>k</m:t>
        </m:r>
      </m:oMath>
      <w:r>
        <w:t xml:space="preserve">, Table </w:t>
      </w:r>
      <w:hyperlink w:anchor="tab:pairwise">
        <w:r>
          <w:rPr>
            <w:rStyle w:val="Hyperlink"/>
          </w:rPr>
          <w:t xml:space="preserve">[tab:pairwise]</w:t>
        </w:r>
      </w:hyperlink>
      <w:r>
        <w:t xml:space="preserve"> </w:t>
      </w:r>
      <w:r>
        <w:t xml:space="preserve">all pairwise EM tests, and Table </w:t>
      </w:r>
      <w:hyperlink w:anchor="tab:judgerates">
        <w:r>
          <w:rPr>
            <w:rStyle w:val="Hyperlink"/>
          </w:rPr>
          <w:t xml:space="preserve">13</w:t>
        </w:r>
      </w:hyperlink>
      <w:r>
        <w:t xml:space="preserve"> </w:t>
      </w:r>
      <w:r>
        <w:t xml:space="preserve">the excluded judge labels. Table </w:t>
      </w:r>
      <w:hyperlink w:anchor="tab:components">
        <w:r>
          <w:rPr>
            <w:rStyle w:val="Hyperlink"/>
          </w:rPr>
          <w:t xml:space="preserve">[tab:components]</w:t>
        </w:r>
      </w:hyperlink>
      <w:r>
        <w:t xml:space="preserve"> </w:t>
      </w:r>
      <w:r>
        <w:t xml:space="preserve">gives the three decomposition terms with intervals, Table </w:t>
      </w:r>
      <w:hyperlink w:anchor="tab:transdetail">
        <w:r>
          <w:rPr>
            <w:rStyle w:val="Hyperlink"/>
          </w:rPr>
          <w:t xml:space="preserve">[tab:transdetail]</w:t>
        </w:r>
      </w:hyperlink>
      <w:r>
        <w:t xml:space="preserve"> </w:t>
      </w:r>
      <w:r>
        <w:t xml:space="preserve">the query-level transitions for two encoders, Table </w:t>
      </w:r>
      <w:hyperlink w:anchor="tab:share">
        <w:r>
          <w:rPr>
            <w:rStyle w:val="Hyperlink"/>
          </w:rPr>
          <w:t xml:space="preserve">11</w:t>
        </w:r>
      </w:hyperlink>
      <w:r>
        <w:t xml:space="preserve"> </w:t>
      </w:r>
      <w:r>
        <w:t xml:space="preserve">the HotpotQA shares under both orderings, and Table </w:t>
      </w:r>
      <w:hyperlink w:anchor="tab:altbase">
        <w:r>
          <w:rPr>
            <w:rStyle w:val="Hyperlink"/>
          </w:rPr>
          <w:t xml:space="preserve">[tab:altbase]</w:t>
        </w:r>
      </w:hyperlink>
      <w:r>
        <w:t xml:space="preserve"> </w:t>
      </w:r>
      <w:r>
        <w:t xml:space="preserve">the ratios against BM25 and with Both@5.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p>
            <w:pPr>
              <w:pStyle w:val="Compact"/>
              <w:jc w:val="left"/>
            </w:pPr>
            <w:r>
              <w:t xml:space="preserve">BM25</w:t>
            </w:r>
          </w:p>
        </w:tc>
        <w:tc>
          <w:tcPr/>
          <w:p>
            <w:pPr>
              <w:pStyle w:val="Compact"/>
              <w:jc w:val="center"/>
            </w:pPr>
            <w:r>
              <w:t xml:space="preserve">[0.340, 0.380]</w:t>
            </w:r>
          </w:p>
        </w:tc>
        <w:tc>
          <w:tcPr/>
          <w:p>
            <w:pPr>
              <w:pStyle w:val="Compact"/>
              <w:jc w:val="center"/>
            </w:pPr>
            <w:r>
              <w:t xml:space="preserve">[0.321, 0.360]</w:t>
            </w:r>
          </w:p>
        </w:tc>
        <w:tc>
          <w:tcPr/>
          <w:p>
            <w:pPr>
              <w:pStyle w:val="Compact"/>
              <w:jc w:val="center"/>
            </w:pPr>
            <w:r>
              <w:t xml:space="preserve">[0.318, 0.359]</w:t>
            </w:r>
          </w:p>
        </w:tc>
        <w:tc>
          <w:tcPr/>
          <w:p>
            <w:pPr>
              <w:pStyle w:val="Compact"/>
              <w:jc w:val="center"/>
            </w:pPr>
            <w:r>
              <w:t xml:space="preserve">[0.315, 0.356]</w:t>
            </w:r>
          </w:p>
        </w:tc>
      </w:tr>
      <w:tr>
        <w:tc>
          <w:tcPr/>
          <w:p>
            <w:pPr>
              <w:pStyle w:val="Compact"/>
              <w:jc w:val="left"/>
            </w:pPr>
            <w:r>
              <w:t xml:space="preserve">MiniLM-L6</w:t>
            </w:r>
          </w:p>
        </w:tc>
        <w:tc>
          <w:tcPr/>
          <w:p>
            <w:pPr>
              <w:pStyle w:val="Compact"/>
              <w:jc w:val="center"/>
            </w:pPr>
            <w:r>
              <w:t xml:space="preserve">[0.451, 0.492]</w:t>
            </w:r>
          </w:p>
        </w:tc>
        <w:tc>
          <w:tcPr/>
          <w:p>
            <w:pPr>
              <w:pStyle w:val="Compact"/>
              <w:jc w:val="center"/>
            </w:pPr>
            <w:r>
              <w:t xml:space="preserve">[0.427, 0.469]</w:t>
            </w:r>
          </w:p>
        </w:tc>
        <w:tc>
          <w:tcPr/>
          <w:p>
            <w:pPr>
              <w:pStyle w:val="Compact"/>
              <w:jc w:val="center"/>
            </w:pPr>
            <w:r>
              <w:t xml:space="preserve">[0.284, 0.325]</w:t>
            </w:r>
          </w:p>
        </w:tc>
        <w:tc>
          <w:tcPr/>
          <w:p>
            <w:pPr>
              <w:pStyle w:val="Compact"/>
              <w:jc w:val="center"/>
            </w:pPr>
            <w:r>
              <w:t xml:space="preserve">[0.278, 0.318]</w:t>
            </w:r>
          </w:p>
        </w:tc>
      </w:tr>
      <w:tr>
        <w:tc>
          <w:tcPr/>
          <w:p>
            <w:pPr>
              <w:pStyle w:val="Compact"/>
              <w:jc w:val="left"/>
            </w:pPr>
            <w:r>
              <w:t xml:space="preserve">bge-small</w:t>
            </w:r>
          </w:p>
        </w:tc>
        <w:tc>
          <w:tcPr/>
          <w:p>
            <w:pPr>
              <w:pStyle w:val="Compact"/>
              <w:jc w:val="center"/>
            </w:pPr>
            <w:r>
              <w:t xml:space="preserve">[0.463, 0.505]</w:t>
            </w:r>
          </w:p>
        </w:tc>
        <w:tc>
          <w:tcPr/>
          <w:p>
            <w:pPr>
              <w:pStyle w:val="Compact"/>
              <w:jc w:val="center"/>
            </w:pPr>
            <w:r>
              <w:t xml:space="preserve">[0.439, 0.481]</w:t>
            </w:r>
          </w:p>
        </w:tc>
        <w:tc>
          <w:tcPr/>
          <w:p>
            <w:pPr>
              <w:pStyle w:val="Compact"/>
              <w:jc w:val="center"/>
            </w:pPr>
            <w:r>
              <w:t xml:space="preserve">[0.372, 0.415]</w:t>
            </w:r>
          </w:p>
        </w:tc>
        <w:tc>
          <w:tcPr/>
          <w:p>
            <w:pPr>
              <w:pStyle w:val="Compact"/>
              <w:jc w:val="center"/>
            </w:pPr>
            <w:r>
              <w:t xml:space="preserve">[0.370, 0.413]</w:t>
            </w:r>
          </w:p>
        </w:tc>
      </w:tr>
      <w:tr>
        <w:tc>
          <w:tcPr/>
          <w:p>
            <w:pPr>
              <w:pStyle w:val="Compact"/>
              <w:jc w:val="left"/>
            </w:pPr>
            <w:r>
              <w:t xml:space="preserve">bge-base</w:t>
            </w:r>
          </w:p>
        </w:tc>
        <w:tc>
          <w:tcPr/>
          <w:p>
            <w:pPr>
              <w:pStyle w:val="Compact"/>
              <w:jc w:val="center"/>
            </w:pPr>
            <w:r>
              <w:t xml:space="preserve">[0.473, 0.513]</w:t>
            </w:r>
          </w:p>
        </w:tc>
        <w:tc>
          <w:tcPr/>
          <w:p>
            <w:pPr>
              <w:pStyle w:val="Compact"/>
              <w:jc w:val="center"/>
            </w:pPr>
            <w:r>
              <w:t xml:space="preserve">[0.456, 0.497]</w:t>
            </w:r>
          </w:p>
        </w:tc>
        <w:tc>
          <w:tcPr/>
          <w:p>
            <w:pPr>
              <w:pStyle w:val="Compact"/>
              <w:jc w:val="center"/>
            </w:pPr>
            <w:r>
              <w:t xml:space="preserve">[0.383, 0.426]</w:t>
            </w:r>
          </w:p>
        </w:tc>
        <w:tc>
          <w:tcPr/>
          <w:p>
            <w:pPr>
              <w:pStyle w:val="Compact"/>
              <w:jc w:val="center"/>
            </w:pPr>
            <w:r>
              <w:t xml:space="preserve">[0.394, 0.438]</w:t>
            </w:r>
          </w:p>
        </w:tc>
      </w:tr>
      <w:tr>
        <w:tc>
          <w:tcPr/>
          <w:p>
            <w:pPr>
              <w:pStyle w:val="Compact"/>
              <w:jc w:val="left"/>
            </w:pPr>
            <w:r>
              <w:t xml:space="preserve">bge-large</w:t>
            </w:r>
          </w:p>
        </w:tc>
        <w:tc>
          <w:tcPr/>
          <w:p>
            <w:pPr>
              <w:pStyle w:val="Compact"/>
              <w:jc w:val="center"/>
            </w:pPr>
            <w:r>
              <w:t xml:space="preserve">[0.482, 0.524]</w:t>
            </w:r>
          </w:p>
        </w:tc>
        <w:tc>
          <w:tcPr/>
          <w:p>
            <w:pPr>
              <w:pStyle w:val="Compact"/>
              <w:jc w:val="center"/>
            </w:pPr>
            <w:r>
              <w:t xml:space="preserve">[0.448, 0.489]</w:t>
            </w:r>
          </w:p>
        </w:tc>
        <w:tc>
          <w:tcPr/>
          <w:p>
            <w:pPr>
              <w:pStyle w:val="Compact"/>
              <w:jc w:val="center"/>
            </w:pPr>
            <w:r>
              <w:t xml:space="preserve">[0.402, 0.446]</w:t>
            </w:r>
          </w:p>
        </w:tc>
        <w:tc>
          <w:tcPr/>
          <w:p>
            <w:pPr>
              <w:pStyle w:val="Compact"/>
              <w:jc w:val="center"/>
            </w:pPr>
            <w:r>
              <w:t xml:space="preserve">[0.408, 0.453]</w:t>
            </w:r>
          </w:p>
        </w:tc>
      </w:tr>
      <w:tr>
        <w:tc>
          <w:tcPr/>
          <w:p>
            <w:pPr>
              <w:pStyle w:val="Compact"/>
              <w:jc w:val="left"/>
            </w:pPr>
            <w:r>
              <w:t xml:space="preserve">e5-base-v2</w:t>
            </w:r>
          </w:p>
        </w:tc>
        <w:tc>
          <w:tcPr/>
          <w:p>
            <w:pPr>
              <w:pStyle w:val="Compact"/>
              <w:jc w:val="center"/>
            </w:pPr>
            <w:r>
              <w:t xml:space="preserve">[0.489, 0.530]</w:t>
            </w:r>
          </w:p>
        </w:tc>
        <w:tc>
          <w:tcPr/>
          <w:p>
            <w:pPr>
              <w:pStyle w:val="Compact"/>
              <w:jc w:val="center"/>
            </w:pPr>
            <w:r>
              <w:t xml:space="preserve">[0.452, 0.493]</w:t>
            </w:r>
          </w:p>
        </w:tc>
        <w:tc>
          <w:tcPr/>
          <w:p>
            <w:pPr>
              <w:pStyle w:val="Compact"/>
              <w:jc w:val="center"/>
            </w:pPr>
            <w:r>
              <w:t xml:space="preserve">[0.374, 0.417]</w:t>
            </w:r>
          </w:p>
        </w:tc>
        <w:tc>
          <w:tcPr/>
          <w:p>
            <w:pPr>
              <w:pStyle w:val="Compact"/>
              <w:jc w:val="center"/>
            </w:pPr>
            <w:r>
              <w:t xml:space="preserve">[0.387, 0.430]</w:t>
            </w:r>
          </w:p>
        </w:tc>
      </w:tr>
      <w:tr>
        <w:tc>
          <w:tcPr/>
          <w:p>
            <w:pPr>
              <w:pStyle w:val="Compact"/>
              <w:jc w:val="left"/>
            </w:pPr>
            <w:r>
              <w:t xml:space="preserve">Qwen3-Emb-0.6B</w:t>
            </w:r>
          </w:p>
        </w:tc>
        <w:tc>
          <w:tcPr/>
          <w:p>
            <w:pPr>
              <w:pStyle w:val="Compact"/>
              <w:jc w:val="center"/>
            </w:pPr>
            <w:r>
              <w:t xml:space="preserve">[0.471, 0.512]</w:t>
            </w:r>
          </w:p>
        </w:tc>
        <w:tc>
          <w:tcPr/>
          <w:p>
            <w:pPr>
              <w:pStyle w:val="Compact"/>
              <w:jc w:val="center"/>
            </w:pPr>
            <w:r>
              <w:t xml:space="preserve">[0.445, 0.487]</w:t>
            </w:r>
          </w:p>
        </w:tc>
        <w:tc>
          <w:tcPr/>
          <w:p>
            <w:pPr>
              <w:pStyle w:val="Compact"/>
              <w:jc w:val="center"/>
            </w:pPr>
            <w:r>
              <w:t xml:space="preserve">[0.345, 0.388]</w:t>
            </w:r>
          </w:p>
        </w:tc>
        <w:tc>
          <w:tcPr/>
          <w:p>
            <w:pPr>
              <w:pStyle w:val="Compact"/>
              <w:jc w:val="center"/>
            </w:pPr>
            <w:r>
              <w:t xml:space="preserve">[0.345, 0.388]</w:t>
            </w:r>
          </w:p>
        </w:tc>
      </w:tr>
      <w:tr>
        <w:tc>
          <w:tcPr/>
          <w:p>
            <w:pPr>
              <w:pStyle w:val="Compact"/>
              <w:jc w:val="left"/>
            </w:pPr>
            <w:r>
              <w:t xml:space="preserve">Closed book</w:t>
            </w:r>
          </w:p>
        </w:tc>
        <w:tc>
          <w:tcPr/>
          <w:p>
            <w:pPr>
              <w:pStyle w:val="Compact"/>
              <w:jc w:val="center"/>
            </w:pPr>
            <w:r>
              <w:t xml:space="preserve">[0.135, 0.164]</w:t>
            </w:r>
          </w:p>
        </w:tc>
        <w:tc>
          <w:tcPr/>
          <w:p>
            <w:pPr>
              <w:pStyle w:val="Compact"/>
              <w:jc w:val="center"/>
            </w:pPr>
            <w:r>
              <w:t xml:space="preserve">[0.180, 0.213]</w:t>
            </w:r>
          </w:p>
        </w:tc>
        <w:tc>
          <w:tcPr/>
          <w:p>
            <w:pPr>
              <w:pStyle w:val="Compact"/>
              <w:jc w:val="center"/>
            </w:pPr>
            <w:r>
              <w:t xml:space="preserve">[0.143, 0.174]</w:t>
            </w:r>
          </w:p>
        </w:tc>
        <w:tc>
          <w:tcPr/>
          <w:p>
            <w:pPr>
              <w:pStyle w:val="Compact"/>
              <w:jc w:val="center"/>
            </w:pPr>
            <w:r>
              <w:t xml:space="preserve">[0.133, 0.165]</w:t>
            </w:r>
          </w:p>
        </w:tc>
      </w:tr>
      <w:tr>
        <w:tc>
          <w:tcPr/>
          <w:p>
            <w:pPr>
              <w:pStyle w:val="Compact"/>
              <w:jc w:val="left"/>
            </w:pPr>
            <w:r>
              <w:t xml:space="preserve">Gold passages</w:t>
            </w:r>
          </w:p>
        </w:tc>
        <w:tc>
          <w:tcPr/>
          <w:p>
            <w:pPr>
              <w:pStyle w:val="Compact"/>
              <w:jc w:val="center"/>
            </w:pPr>
            <w:r>
              <w:t xml:space="preserve">[0.633, 0.673]</w:t>
            </w:r>
          </w:p>
        </w:tc>
        <w:tc>
          <w:tcPr/>
          <w:p>
            <w:pPr>
              <w:pStyle w:val="Compact"/>
              <w:jc w:val="center"/>
            </w:pPr>
            <w:r>
              <w:t xml:space="preserve">[0.593, 0.633]</w:t>
            </w:r>
          </w:p>
        </w:tc>
        <w:tc>
          <w:tcPr/>
          <w:p>
            <w:pPr>
              <w:pStyle w:val="Compact"/>
              <w:jc w:val="center"/>
            </w:pPr>
            <w:r>
              <w:t xml:space="preserve">[0.607, 0.649]</w:t>
            </w:r>
          </w:p>
        </w:tc>
        <w:tc>
          <w:tcPr/>
          <w:p>
            <w:pPr>
              <w:pStyle w:val="Compact"/>
              <w:jc w:val="center"/>
            </w:pPr>
            <w:r>
              <w:t xml:space="preserve">[0.602, 0.645]</w:t>
            </w:r>
          </w:p>
        </w:tc>
      </w:tr>
      <w:tr>
        <w:tc>
          <w:tcPr/>
          <w:p>
            <w:pPr>
              <w:pStyle w:val="Compact"/>
              <w:jc w:val="left"/>
            </w:pPr>
            <w:r>
              <w:t xml:space="preserve">Retrieval</w:t>
            </w:r>
          </w:p>
        </w:tc>
        <w:tc>
          <w:tcPr/>
          <w:p>
            <w:pPr>
              <w:pStyle w:val="Compact"/>
              <w:jc w:val="center"/>
            </w:pPr>
            <w:r>
              <w:t xml:space="preserve">NQ Hit@5</w:t>
            </w:r>
          </w:p>
        </w:tc>
        <w:tc>
          <w:tcPr/>
          <w:p>
            <w:pPr>
              <w:pStyle w:val="Compact"/>
            </w:pPr>
          </w:p>
        </w:tc>
        <w:tc>
          <w:tcPr/>
          <w:p>
            <w:pPr>
              <w:pStyle w:val="Compact"/>
              <w:jc w:val="center"/>
            </w:pPr>
            <w:r>
              <w:t xml:space="preserve">HotpotQA Hit@5</w:t>
            </w:r>
          </w:p>
        </w:tc>
        <w:tc>
          <w:tcPr/>
          <w:p>
            <w:pPr>
              <w:pStyle w:val="Compact"/>
              <w:jc w:val="center"/>
            </w:pPr>
            <w:r>
              <w:t xml:space="preserve">HotpotQA Both@5</w:t>
            </w:r>
          </w:p>
        </w:tc>
      </w:tr>
      <w:tr>
        <w:tc>
          <w:tcPr/>
          <w:p>
            <w:pPr>
              <w:pStyle w:val="Compact"/>
              <w:jc w:val="left"/>
            </w:pPr>
            <w:r>
              <w:t xml:space="preserve">BM25</w:t>
            </w:r>
          </w:p>
        </w:tc>
        <w:tc>
          <w:tcPr/>
          <w:p>
            <w:pPr>
              <w:pStyle w:val="Compact"/>
              <w:jc w:val="center"/>
            </w:pPr>
            <w:r>
              <w:t xml:space="preserve">[0.343, 0.383]</w:t>
            </w:r>
          </w:p>
        </w:tc>
        <w:tc>
          <w:tcPr/>
          <w:p>
            <w:pPr>
              <w:pStyle w:val="Compact"/>
            </w:pPr>
          </w:p>
        </w:tc>
        <w:tc>
          <w:tcPr/>
          <w:p>
            <w:pPr>
              <w:pStyle w:val="Compact"/>
              <w:jc w:val="center"/>
            </w:pPr>
            <w:r>
              <w:t xml:space="preserve">[0.816, 0.849]</w:t>
            </w:r>
          </w:p>
        </w:tc>
        <w:tc>
          <w:tcPr/>
          <w:p>
            <w:pPr>
              <w:pStyle w:val="Compact"/>
              <w:jc w:val="center"/>
            </w:pPr>
            <w:r>
              <w:t xml:space="preserve">[0.244, 0.283]</w:t>
            </w:r>
          </w:p>
        </w:tc>
      </w:tr>
      <w:tr>
        <w:tc>
          <w:tcPr/>
          <w:p>
            <w:pPr>
              <w:pStyle w:val="Compact"/>
              <w:jc w:val="left"/>
            </w:pPr>
            <w:r>
              <w:t xml:space="preserve">MiniLM-L6</w:t>
            </w:r>
          </w:p>
        </w:tc>
        <w:tc>
          <w:tcPr/>
          <w:p>
            <w:pPr>
              <w:pStyle w:val="Compact"/>
              <w:jc w:val="center"/>
            </w:pPr>
            <w:r>
              <w:t xml:space="preserve">[0.645, 0.683]</w:t>
            </w:r>
          </w:p>
        </w:tc>
        <w:tc>
          <w:tcPr/>
          <w:p>
            <w:pPr>
              <w:pStyle w:val="Compact"/>
            </w:pPr>
          </w:p>
        </w:tc>
        <w:tc>
          <w:tcPr/>
          <w:p>
            <w:pPr>
              <w:pStyle w:val="Compact"/>
              <w:jc w:val="center"/>
            </w:pPr>
            <w:r>
              <w:t xml:space="preserve">[0.799, 0.834]</w:t>
            </w:r>
          </w:p>
        </w:tc>
        <w:tc>
          <w:tcPr/>
          <w:p>
            <w:pPr>
              <w:pStyle w:val="Compact"/>
              <w:jc w:val="center"/>
            </w:pPr>
            <w:r>
              <w:t xml:space="preserve">[0.212, 0.248]</w:t>
            </w:r>
          </w:p>
        </w:tc>
      </w:tr>
      <w:tr>
        <w:tc>
          <w:tcPr/>
          <w:p>
            <w:pPr>
              <w:pStyle w:val="Compact"/>
              <w:jc w:val="left"/>
            </w:pPr>
            <w:r>
              <w:t xml:space="preserve">bge-small</w:t>
            </w:r>
          </w:p>
        </w:tc>
        <w:tc>
          <w:tcPr/>
          <w:p>
            <w:pPr>
              <w:pStyle w:val="Compact"/>
              <w:jc w:val="center"/>
            </w:pPr>
            <w:r>
              <w:t xml:space="preserve">[0.710, 0.747]</w:t>
            </w:r>
          </w:p>
        </w:tc>
        <w:tc>
          <w:tcPr/>
          <w:p>
            <w:pPr>
              <w:pStyle w:val="Compact"/>
            </w:pPr>
          </w:p>
        </w:tc>
        <w:tc>
          <w:tcPr/>
          <w:p>
            <w:pPr>
              <w:pStyle w:val="Compact"/>
              <w:jc w:val="center"/>
            </w:pPr>
            <w:r>
              <w:t xml:space="preserve">[0.944, 0.963]</w:t>
            </w:r>
          </w:p>
        </w:tc>
        <w:tc>
          <w:tcPr/>
          <w:p>
            <w:pPr>
              <w:pStyle w:val="Compact"/>
              <w:jc w:val="center"/>
            </w:pPr>
            <w:r>
              <w:t xml:space="preserve">[0.519, 0.563]</w:t>
            </w:r>
          </w:p>
        </w:tc>
      </w:tr>
      <w:tr>
        <w:tc>
          <w:tcPr/>
          <w:p>
            <w:pPr>
              <w:pStyle w:val="Compact"/>
              <w:jc w:val="left"/>
            </w:pPr>
            <w:r>
              <w:t xml:space="preserve">bge-base</w:t>
            </w:r>
          </w:p>
        </w:tc>
        <w:tc>
          <w:tcPr/>
          <w:p>
            <w:pPr>
              <w:pStyle w:val="Compact"/>
              <w:jc w:val="center"/>
            </w:pPr>
            <w:r>
              <w:t xml:space="preserve">[0.753, 0.788]</w:t>
            </w:r>
          </w:p>
        </w:tc>
        <w:tc>
          <w:tcPr/>
          <w:p>
            <w:pPr>
              <w:pStyle w:val="Compact"/>
            </w:pPr>
          </w:p>
        </w:tc>
        <w:tc>
          <w:tcPr/>
          <w:p>
            <w:pPr>
              <w:pStyle w:val="Compact"/>
              <w:jc w:val="center"/>
            </w:pPr>
            <w:r>
              <w:t xml:space="preserve">[0.949, 0.967]</w:t>
            </w:r>
          </w:p>
        </w:tc>
        <w:tc>
          <w:tcPr/>
          <w:p>
            <w:pPr>
              <w:pStyle w:val="Compact"/>
              <w:jc w:val="center"/>
            </w:pPr>
            <w:r>
              <w:t xml:space="preserve">[0.550, 0.594]</w:t>
            </w:r>
          </w:p>
        </w:tc>
      </w:tr>
      <w:tr>
        <w:tc>
          <w:tcPr/>
          <w:p>
            <w:pPr>
              <w:pStyle w:val="Compact"/>
              <w:jc w:val="left"/>
            </w:pPr>
            <w:r>
              <w:t xml:space="preserve">bge-large</w:t>
            </w:r>
          </w:p>
        </w:tc>
        <w:tc>
          <w:tcPr/>
          <w:p>
            <w:pPr>
              <w:pStyle w:val="Compact"/>
              <w:jc w:val="center"/>
            </w:pPr>
            <w:r>
              <w:t xml:space="preserve">[0.779, 0.812]</w:t>
            </w:r>
          </w:p>
        </w:tc>
        <w:tc>
          <w:tcPr/>
          <w:p>
            <w:pPr>
              <w:pStyle w:val="Compact"/>
            </w:pPr>
          </w:p>
        </w:tc>
        <w:tc>
          <w:tcPr/>
          <w:p>
            <w:pPr>
              <w:pStyle w:val="Compact"/>
              <w:jc w:val="center"/>
            </w:pPr>
            <w:r>
              <w:t xml:space="preserve">[0.952, 0.969]</w:t>
            </w:r>
          </w:p>
        </w:tc>
        <w:tc>
          <w:tcPr/>
          <w:p>
            <w:pPr>
              <w:pStyle w:val="Compact"/>
              <w:jc w:val="center"/>
            </w:pPr>
            <w:r>
              <w:t xml:space="preserve">[0.599, 0.642]</w:t>
            </w:r>
          </w:p>
        </w:tc>
      </w:tr>
      <w:tr>
        <w:tc>
          <w:tcPr/>
          <w:p>
            <w:pPr>
              <w:pStyle w:val="Compact"/>
              <w:jc w:val="left"/>
            </w:pPr>
            <w:r>
              <w:t xml:space="preserve">e5-base-v2</w:t>
            </w:r>
          </w:p>
        </w:tc>
        <w:tc>
          <w:tcPr/>
          <w:p>
            <w:pPr>
              <w:pStyle w:val="Compact"/>
              <w:jc w:val="center"/>
            </w:pPr>
            <w:r>
              <w:t xml:space="preserve">[0.800, 0.832]</w:t>
            </w:r>
          </w:p>
        </w:tc>
        <w:tc>
          <w:tcPr/>
          <w:p>
            <w:pPr>
              <w:pStyle w:val="Compact"/>
            </w:pPr>
          </w:p>
        </w:tc>
        <w:tc>
          <w:tcPr/>
          <w:p>
            <w:pPr>
              <w:pStyle w:val="Compact"/>
              <w:jc w:val="center"/>
            </w:pPr>
            <w:r>
              <w:t xml:space="preserve">[0.941, 0.960]</w:t>
            </w:r>
          </w:p>
        </w:tc>
        <w:tc>
          <w:tcPr/>
          <w:p>
            <w:pPr>
              <w:pStyle w:val="Compact"/>
              <w:jc w:val="center"/>
            </w:pPr>
            <w:r>
              <w:t xml:space="preserve">[0.522, 0.567]</w:t>
            </w:r>
          </w:p>
        </w:tc>
      </w:tr>
      <w:tr>
        <w:tc>
          <w:tcPr/>
          <w:p>
            <w:pPr>
              <w:pStyle w:val="Compact"/>
              <w:jc w:val="left"/>
            </w:pPr>
            <w:r>
              <w:t xml:space="preserve">Qwen3-Emb-0.6B</w:t>
            </w:r>
          </w:p>
        </w:tc>
        <w:tc>
          <w:tcPr/>
          <w:p>
            <w:pPr>
              <w:pStyle w:val="Compact"/>
              <w:jc w:val="center"/>
            </w:pPr>
            <w:r>
              <w:t xml:space="preserve">[0.726, 0.762]</w:t>
            </w:r>
          </w:p>
        </w:tc>
        <w:tc>
          <w:tcPr/>
          <w:p>
            <w:pPr>
              <w:pStyle w:val="Compact"/>
            </w:pPr>
          </w:p>
        </w:tc>
        <w:tc>
          <w:tcPr/>
          <w:p>
            <w:pPr>
              <w:pStyle w:val="Compact"/>
              <w:jc w:val="center"/>
            </w:pPr>
            <w:r>
              <w:t xml:space="preserve">[0.934, 0.955]</w:t>
            </w:r>
          </w:p>
        </w:tc>
        <w:tc>
          <w:tcPr/>
          <w:p>
            <w:pPr>
              <w:pStyle w:val="Compact"/>
              <w:jc w:val="center"/>
            </w:pPr>
            <w:r>
              <w:t xml:space="preserve">[0.422, 0.467]</w:t>
            </w:r>
          </w:p>
        </w:tc>
      </w:tr>
    </w:tbl>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Encoder</w:t>
            </w:r>
          </w:p>
        </w:tc>
        <w:tc>
          <w:tcPr/>
          <w:p>
            <w:pPr>
              <w:pStyle w:val="Compact"/>
              <w:jc w:val="center"/>
            </w:pPr>
            <m:oMath>
              <m:r>
                <m:t>Δ</m:t>
              </m:r>
            </m:oMath>
            <w:r>
              <w:t xml:space="preserve">EM</w:t>
            </w:r>
          </w:p>
        </w:tc>
        <w:tc>
          <w:tcPr/>
          <w:p>
            <w:pPr>
              <w:pStyle w:val="Compact"/>
              <w:jc w:val="center"/>
            </w:pPr>
            <w:r>
              <w:t xml:space="preserve">Hit prevalence</w:t>
            </w:r>
          </w:p>
        </w:tc>
        <w:tc>
          <w:tcPr/>
          <w:p>
            <w:pPr>
              <w:pStyle w:val="Compact"/>
              <w:jc w:val="center"/>
            </w:pPr>
            <w:r>
              <w:t xml:space="preserve">EM among hits</w:t>
            </w:r>
          </w:p>
        </w:tc>
        <w:tc>
          <w:tcPr/>
          <w:p>
            <w:pPr>
              <w:pStyle w:val="Compact"/>
              <w:jc w:val="center"/>
            </w:pPr>
            <w:r>
              <w:t xml:space="preserve">EM among misses</w:t>
            </w:r>
          </w:p>
        </w:tc>
      </w:tr>
      <w:tr>
        <w:tc>
          <w:tcPr>
            <w:gridSpan w:val="5"/>
          </w:tcPr>
          <w:p>
            <w:pPr>
              <w:pStyle w:val="Compact"/>
              <w:jc w:val="left"/>
            </w:pPr>
            <w:r>
              <w:rPr>
                <w:iCs/>
                <w:i/>
              </w:rPr>
              <w:t xml:space="preserve">NQ Qwen</w:t>
            </w:r>
          </w:p>
        </w:tc>
      </w:tr>
      <w:tr>
        <w:tc>
          <w:tcPr/>
          <w:p>
            <w:pPr>
              <w:pStyle w:val="Compact"/>
              <w:jc w:val="left"/>
            </w:pPr>
            <w:r>
              <w:t xml:space="preserve">bge-small</w:t>
            </w:r>
          </w:p>
        </w:tc>
        <w:tc>
          <w:tcPr/>
          <w:p>
            <w:pPr>
              <w:pStyle w:val="Compact"/>
              <w:jc w:val="center"/>
            </w:pPr>
            <w:r>
              <w:t xml:space="preserve">+0.012</w:t>
            </w:r>
          </w:p>
        </w:tc>
        <w:tc>
          <w:tcPr/>
          <w:p>
            <w:pPr>
              <w:pStyle w:val="Compact"/>
              <w:jc w:val="center"/>
            </w:pPr>
            <w:r>
              <w:t xml:space="preserve">+0.022 [0.015, 0.029]</w:t>
            </w:r>
          </w:p>
        </w:tc>
        <w:tc>
          <w:tcPr/>
          <w:p>
            <w:pPr>
              <w:pStyle w:val="Compact"/>
              <w:jc w:val="center"/>
            </w:pPr>
            <w:r>
              <w:t xml:space="preserve">−0.012 [−0.026, 0.003]</w:t>
            </w:r>
          </w:p>
        </w:tc>
        <w:tc>
          <w:tcPr/>
          <w:p>
            <w:pPr>
              <w:pStyle w:val="Compact"/>
              <w:jc w:val="center"/>
            </w:pPr>
            <w:r>
              <w:t xml:space="preserve">+0.003 [−0.007, 0.012]</w:t>
            </w:r>
          </w:p>
        </w:tc>
      </w:tr>
      <w:tr>
        <w:tc>
          <w:tcPr/>
          <w:p>
            <w:pPr>
              <w:pStyle w:val="Compact"/>
              <w:jc w:val="left"/>
            </w:pPr>
            <w:r>
              <w:t xml:space="preserve">bge-base</w:t>
            </w:r>
          </w:p>
        </w:tc>
        <w:tc>
          <w:tcPr/>
          <w:p>
            <w:pPr>
              <w:pStyle w:val="Compact"/>
              <w:jc w:val="center"/>
            </w:pPr>
            <w:r>
              <w:t xml:space="preserve">+0.022</w:t>
            </w:r>
          </w:p>
        </w:tc>
        <w:tc>
          <w:tcPr/>
          <w:p>
            <w:pPr>
              <w:pStyle w:val="Compact"/>
              <w:jc w:val="center"/>
            </w:pPr>
            <w:r>
              <w:t xml:space="preserve">+0.036 [0.028, 0.043]</w:t>
            </w:r>
          </w:p>
        </w:tc>
        <w:tc>
          <w:tcPr/>
          <w:p>
            <w:pPr>
              <w:pStyle w:val="Compact"/>
              <w:jc w:val="center"/>
            </w:pPr>
            <w:r>
              <w:t xml:space="preserve">−0.016 [−0.031, 0.000]</w:t>
            </w:r>
          </w:p>
        </w:tc>
        <w:tc>
          <w:tcPr/>
          <w:p>
            <w:pPr>
              <w:pStyle w:val="Compact"/>
              <w:jc w:val="center"/>
            </w:pPr>
            <w:r>
              <w:t xml:space="preserve">+0.002 [−0.007, 0.011]</w:t>
            </w:r>
          </w:p>
        </w:tc>
      </w:tr>
      <w:tr>
        <w:tc>
          <w:tcPr/>
          <w:p>
            <w:pPr>
              <w:pStyle w:val="Compact"/>
              <w:jc w:val="left"/>
            </w:pPr>
            <w:r>
              <w:t xml:space="preserve">bge-large</w:t>
            </w:r>
          </w:p>
        </w:tc>
        <w:tc>
          <w:tcPr/>
          <w:p>
            <w:pPr>
              <w:pStyle w:val="Compact"/>
              <w:jc w:val="center"/>
            </w:pPr>
            <w:r>
              <w:t xml:space="preserve">+0.032</w:t>
            </w:r>
          </w:p>
        </w:tc>
        <w:tc>
          <w:tcPr/>
          <w:p>
            <w:pPr>
              <w:pStyle w:val="Compact"/>
              <w:jc w:val="center"/>
            </w:pPr>
            <w:r>
              <w:t xml:space="preserve">+0.044 [0.036, 0.052]</w:t>
            </w:r>
          </w:p>
        </w:tc>
        <w:tc>
          <w:tcPr/>
          <w:p>
            <w:pPr>
              <w:pStyle w:val="Compact"/>
              <w:jc w:val="center"/>
            </w:pPr>
            <w:r>
              <w:t xml:space="preserve">−0.013 [−0.029, 0.004]</w:t>
            </w:r>
          </w:p>
        </w:tc>
        <w:tc>
          <w:tcPr/>
          <w:p>
            <w:pPr>
              <w:pStyle w:val="Compact"/>
              <w:jc w:val="center"/>
            </w:pPr>
            <w:r>
              <w:t xml:space="preserve">+0.001 [−0.008, 0.009]</w:t>
            </w:r>
          </w:p>
        </w:tc>
      </w:tr>
      <w:tr>
        <w:tc>
          <w:tcPr/>
          <w:p>
            <w:pPr>
              <w:pStyle w:val="Compact"/>
              <w:jc w:val="left"/>
            </w:pPr>
            <w:r>
              <w:t xml:space="preserve">e5-base-v2</w:t>
            </w:r>
          </w:p>
        </w:tc>
        <w:tc>
          <w:tcPr/>
          <w:p>
            <w:pPr>
              <w:pStyle w:val="Compact"/>
              <w:jc w:val="center"/>
            </w:pPr>
            <w:r>
              <w:t xml:space="preserve">+0.038</w:t>
            </w:r>
          </w:p>
        </w:tc>
        <w:tc>
          <w:tcPr/>
          <w:p>
            <w:pPr>
              <w:pStyle w:val="Compact"/>
              <w:jc w:val="center"/>
            </w:pPr>
            <w:r>
              <w:t xml:space="preserve">+0.051 [0.043, 0.060]</w:t>
            </w:r>
          </w:p>
        </w:tc>
        <w:tc>
          <w:tcPr/>
          <w:p>
            <w:pPr>
              <w:pStyle w:val="Compact"/>
              <w:jc w:val="center"/>
            </w:pPr>
            <w:r>
              <w:t xml:space="preserve">−0.012 [−0.028, 0.005]</w:t>
            </w:r>
          </w:p>
        </w:tc>
        <w:tc>
          <w:tcPr/>
          <w:p>
            <w:pPr>
              <w:pStyle w:val="Compact"/>
              <w:jc w:val="center"/>
            </w:pPr>
            <w:r>
              <w:t xml:space="preserve">−0.001 [−0.009, 0.007]</w:t>
            </w:r>
          </w:p>
        </w:tc>
      </w:tr>
      <w:tr>
        <w:tc>
          <w:tcPr/>
          <w:p>
            <w:pPr>
              <w:pStyle w:val="Compact"/>
              <w:jc w:val="left"/>
            </w:pPr>
            <w:r>
              <w:t xml:space="preserve">Qwen3-Emb-0.6B</w:t>
            </w:r>
          </w:p>
        </w:tc>
        <w:tc>
          <w:tcPr/>
          <w:p>
            <w:pPr>
              <w:pStyle w:val="Compact"/>
              <w:jc w:val="center"/>
            </w:pPr>
            <w:r>
              <w:t xml:space="preserve">+0.020</w:t>
            </w:r>
          </w:p>
        </w:tc>
        <w:tc>
          <w:tcPr/>
          <w:p>
            <w:pPr>
              <w:pStyle w:val="Compact"/>
              <w:jc w:val="center"/>
            </w:pPr>
            <w:r>
              <w:t xml:space="preserve">+0.027 [0.020, 0.034]</w:t>
            </w:r>
          </w:p>
        </w:tc>
        <w:tc>
          <w:tcPr/>
          <w:p>
            <w:pPr>
              <w:pStyle w:val="Compact"/>
              <w:jc w:val="center"/>
            </w:pPr>
            <w:r>
              <w:t xml:space="preserve">−0.009 [−0.024, 0.006]</w:t>
            </w:r>
          </w:p>
        </w:tc>
        <w:tc>
          <w:tcPr/>
          <w:p>
            <w:pPr>
              <w:pStyle w:val="Compact"/>
              <w:jc w:val="center"/>
            </w:pPr>
            <w:r>
              <w:t xml:space="preserve">+0.003 [−0.007, 0.012]</w:t>
            </w:r>
          </w:p>
        </w:tc>
      </w:tr>
      <w:tr>
        <w:tc>
          <w:tcPr>
            <w:gridSpan w:val="5"/>
          </w:tcPr>
          <w:p>
            <w:pPr>
              <w:pStyle w:val="Compact"/>
              <w:jc w:val="left"/>
            </w:pPr>
            <w:r>
              <w:rPr>
                <w:iCs/>
                <w:i/>
              </w:rPr>
              <w:t xml:space="preserve">NQ Llama</w:t>
            </w:r>
          </w:p>
        </w:tc>
      </w:tr>
      <w:tr>
        <w:tc>
          <w:tcPr/>
          <w:p>
            <w:pPr>
              <w:pStyle w:val="Compact"/>
              <w:jc w:val="left"/>
            </w:pPr>
            <w:r>
              <w:t xml:space="preserve">bge-small</w:t>
            </w:r>
          </w:p>
        </w:tc>
        <w:tc>
          <w:tcPr/>
          <w:p>
            <w:pPr>
              <w:pStyle w:val="Compact"/>
              <w:jc w:val="center"/>
            </w:pPr>
            <w:r>
              <w:t xml:space="preserve">+0.012</w:t>
            </w:r>
          </w:p>
        </w:tc>
        <w:tc>
          <w:tcPr/>
          <w:p>
            <w:pPr>
              <w:pStyle w:val="Compact"/>
              <w:jc w:val="center"/>
            </w:pPr>
            <w:r>
              <w:t xml:space="preserve">+0.021 [0.014, 0.027]</w:t>
            </w:r>
          </w:p>
        </w:tc>
        <w:tc>
          <w:tcPr/>
          <w:p>
            <w:pPr>
              <w:pStyle w:val="Compact"/>
              <w:jc w:val="center"/>
            </w:pPr>
            <w:r>
              <w:t xml:space="preserve">−0.009 [−0.024, 0.006]</w:t>
            </w:r>
          </w:p>
        </w:tc>
        <w:tc>
          <w:tcPr/>
          <w:p>
            <w:pPr>
              <w:pStyle w:val="Compact"/>
              <w:jc w:val="center"/>
            </w:pPr>
            <w:r>
              <w:t xml:space="preserve">+0.000 [−0.009, 0.009]</w:t>
            </w:r>
          </w:p>
        </w:tc>
      </w:tr>
      <w:tr>
        <w:tc>
          <w:tcPr/>
          <w:p>
            <w:pPr>
              <w:pStyle w:val="Compact"/>
              <w:jc w:val="left"/>
            </w:pPr>
            <w:r>
              <w:t xml:space="preserve">bge-base</w:t>
            </w:r>
          </w:p>
        </w:tc>
        <w:tc>
          <w:tcPr/>
          <w:p>
            <w:pPr>
              <w:pStyle w:val="Compact"/>
              <w:jc w:val="center"/>
            </w:pPr>
            <w:r>
              <w:t xml:space="preserve">+0.029</w:t>
            </w:r>
          </w:p>
        </w:tc>
        <w:tc>
          <w:tcPr/>
          <w:p>
            <w:pPr>
              <w:pStyle w:val="Compact"/>
              <w:jc w:val="center"/>
            </w:pPr>
            <w:r>
              <w:t xml:space="preserve">+0.034 [0.027, 0.041]</w:t>
            </w:r>
          </w:p>
        </w:tc>
        <w:tc>
          <w:tcPr/>
          <w:p>
            <w:pPr>
              <w:pStyle w:val="Compact"/>
              <w:jc w:val="center"/>
            </w:pPr>
            <w:r>
              <w:t xml:space="preserve">−0.012 [−0.028, 0.003]</w:t>
            </w:r>
          </w:p>
        </w:tc>
        <w:tc>
          <w:tcPr/>
          <w:p>
            <w:pPr>
              <w:pStyle w:val="Compact"/>
              <w:jc w:val="center"/>
            </w:pPr>
            <w:r>
              <w:t xml:space="preserve">+0.007 [−0.001, 0.016]</w:t>
            </w:r>
          </w:p>
        </w:tc>
      </w:tr>
      <w:tr>
        <w:tc>
          <w:tcPr/>
          <w:p>
            <w:pPr>
              <w:pStyle w:val="Compact"/>
              <w:jc w:val="left"/>
            </w:pPr>
            <w:r>
              <w:t xml:space="preserve">bge-large</w:t>
            </w:r>
          </w:p>
        </w:tc>
        <w:tc>
          <w:tcPr/>
          <w:p>
            <w:pPr>
              <w:pStyle w:val="Compact"/>
              <w:jc w:val="center"/>
            </w:pPr>
            <w:r>
              <w:t xml:space="preserve">+0.021</w:t>
            </w:r>
          </w:p>
        </w:tc>
        <w:tc>
          <w:tcPr/>
          <w:p>
            <w:pPr>
              <w:pStyle w:val="Compact"/>
              <w:jc w:val="center"/>
            </w:pPr>
            <w:r>
              <w:t xml:space="preserve">+0.042 [0.034, 0.050]</w:t>
            </w:r>
          </w:p>
        </w:tc>
        <w:tc>
          <w:tcPr/>
          <w:p>
            <w:pPr>
              <w:pStyle w:val="Compact"/>
              <w:jc w:val="center"/>
            </w:pPr>
            <w:r>
              <w:t xml:space="preserve">−0.017 [−0.034, −0.002]</w:t>
            </w:r>
          </w:p>
        </w:tc>
        <w:tc>
          <w:tcPr/>
          <w:p>
            <w:pPr>
              <w:pStyle w:val="Compact"/>
              <w:jc w:val="center"/>
            </w:pPr>
            <w:r>
              <w:t xml:space="preserve">−0.004 [−0.012, 0.004]</w:t>
            </w:r>
          </w:p>
        </w:tc>
      </w:tr>
      <w:tr>
        <w:tc>
          <w:tcPr/>
          <w:p>
            <w:pPr>
              <w:pStyle w:val="Compact"/>
              <w:jc w:val="left"/>
            </w:pPr>
            <w:r>
              <w:t xml:space="preserve">e5-base-v2</w:t>
            </w:r>
          </w:p>
        </w:tc>
        <w:tc>
          <w:tcPr/>
          <w:p>
            <w:pPr>
              <w:pStyle w:val="Compact"/>
              <w:jc w:val="center"/>
            </w:pPr>
            <w:r>
              <w:t xml:space="preserve">+0.024</w:t>
            </w:r>
          </w:p>
        </w:tc>
        <w:tc>
          <w:tcPr/>
          <w:p>
            <w:pPr>
              <w:pStyle w:val="Compact"/>
              <w:jc w:val="center"/>
            </w:pPr>
            <w:r>
              <w:t xml:space="preserve">+0.048 [0.040, 0.057]</w:t>
            </w:r>
          </w:p>
        </w:tc>
        <w:tc>
          <w:tcPr/>
          <w:p>
            <w:pPr>
              <w:pStyle w:val="Compact"/>
              <w:jc w:val="center"/>
            </w:pPr>
            <w:r>
              <w:t xml:space="preserve">−0.024 [−0.040, −0.008]</w:t>
            </w:r>
          </w:p>
        </w:tc>
        <w:tc>
          <w:tcPr/>
          <w:p>
            <w:pPr>
              <w:pStyle w:val="Compact"/>
              <w:jc w:val="center"/>
            </w:pPr>
            <w:r>
              <w:t xml:space="preserve">−0.000 [−0.008, 0.008]</w:t>
            </w:r>
          </w:p>
        </w:tc>
      </w:tr>
      <w:tr>
        <w:tc>
          <w:tcPr/>
          <w:p>
            <w:pPr>
              <w:pStyle w:val="Compact"/>
              <w:jc w:val="left"/>
            </w:pPr>
            <w:r>
              <w:t xml:space="preserve">Qwen3-Emb-0.6B</w:t>
            </w:r>
          </w:p>
        </w:tc>
        <w:tc>
          <w:tcPr/>
          <w:p>
            <w:pPr>
              <w:pStyle w:val="Compact"/>
              <w:jc w:val="center"/>
            </w:pPr>
            <w:r>
              <w:t xml:space="preserve">+0.018</w:t>
            </w:r>
          </w:p>
        </w:tc>
        <w:tc>
          <w:tcPr/>
          <w:p>
            <w:pPr>
              <w:pStyle w:val="Compact"/>
              <w:jc w:val="center"/>
            </w:pPr>
            <w:r>
              <w:t xml:space="preserve">+0.025 [0.019, 0.032]</w:t>
            </w:r>
          </w:p>
        </w:tc>
        <w:tc>
          <w:tcPr/>
          <w:p>
            <w:pPr>
              <w:pStyle w:val="Compact"/>
              <w:jc w:val="center"/>
            </w:pPr>
            <w:r>
              <w:t xml:space="preserve">−0.013 [−0.028, 0.003]</w:t>
            </w:r>
          </w:p>
        </w:tc>
        <w:tc>
          <w:tcPr/>
          <w:p>
            <w:pPr>
              <w:pStyle w:val="Compact"/>
              <w:jc w:val="center"/>
            </w:pPr>
            <w:r>
              <w:t xml:space="preserve">+0.005 [−0.004, 0.014]</w:t>
            </w:r>
          </w:p>
        </w:tc>
      </w:tr>
      <w:tr>
        <w:tc>
          <w:tcPr>
            <w:gridSpan w:val="5"/>
          </w:tcPr>
          <w:p>
            <w:pPr>
              <w:pStyle w:val="Compact"/>
              <w:jc w:val="left"/>
            </w:pPr>
            <w:r>
              <w:rPr>
                <w:iCs/>
                <w:i/>
              </w:rPr>
              <w:t xml:space="preserve">HotpotQA Qwen</w:t>
            </w:r>
          </w:p>
        </w:tc>
      </w:tr>
      <w:tr>
        <w:tc>
          <w:tcPr/>
          <w:p>
            <w:pPr>
              <w:pStyle w:val="Compact"/>
              <w:jc w:val="left"/>
            </w:pPr>
            <w:r>
              <w:t xml:space="preserve">bge-small</w:t>
            </w:r>
          </w:p>
        </w:tc>
        <w:tc>
          <w:tcPr/>
          <w:p>
            <w:pPr>
              <w:pStyle w:val="Compact"/>
              <w:jc w:val="center"/>
            </w:pPr>
            <w:r>
              <w:t xml:space="preserve">+0.090</w:t>
            </w:r>
          </w:p>
        </w:tc>
        <w:tc>
          <w:tcPr/>
          <w:p>
            <w:pPr>
              <w:pStyle w:val="Compact"/>
              <w:jc w:val="center"/>
            </w:pPr>
            <w:r>
              <w:t xml:space="preserve">+0.034 [0.028, 0.041]</w:t>
            </w:r>
          </w:p>
        </w:tc>
        <w:tc>
          <w:tcPr/>
          <w:p>
            <w:pPr>
              <w:pStyle w:val="Compact"/>
              <w:jc w:val="center"/>
            </w:pPr>
            <w:r>
              <w:t xml:space="preserve">+0.058 [0.038, 0.078]</w:t>
            </w:r>
          </w:p>
        </w:tc>
        <w:tc>
          <w:tcPr/>
          <w:p>
            <w:pPr>
              <w:pStyle w:val="Compact"/>
              <w:jc w:val="center"/>
            </w:pPr>
            <w:r>
              <w:t xml:space="preserve">−0.003 [−0.005, −0.000]</w:t>
            </w:r>
          </w:p>
        </w:tc>
      </w:tr>
      <w:tr>
        <w:tc>
          <w:tcPr/>
          <w:p>
            <w:pPr>
              <w:pStyle w:val="Compact"/>
              <w:jc w:val="left"/>
            </w:pPr>
            <w:r>
              <w:t xml:space="preserve">bge-base</w:t>
            </w:r>
          </w:p>
        </w:tc>
        <w:tc>
          <w:tcPr/>
          <w:p>
            <w:pPr>
              <w:pStyle w:val="Compact"/>
              <w:jc w:val="center"/>
            </w:pPr>
            <w:r>
              <w:t xml:space="preserve">+0.100</w:t>
            </w:r>
          </w:p>
        </w:tc>
        <w:tc>
          <w:tcPr/>
          <w:p>
            <w:pPr>
              <w:pStyle w:val="Compact"/>
              <w:jc w:val="center"/>
            </w:pPr>
            <w:r>
              <w:t xml:space="preserve">+0.035 [0.029, 0.042]</w:t>
            </w:r>
          </w:p>
        </w:tc>
        <w:tc>
          <w:tcPr/>
          <w:p>
            <w:pPr>
              <w:pStyle w:val="Compact"/>
              <w:jc w:val="center"/>
            </w:pPr>
            <w:r>
              <w:t xml:space="preserve">+0.066 [0.046, 0.087]</w:t>
            </w:r>
          </w:p>
        </w:tc>
        <w:tc>
          <w:tcPr/>
          <w:p>
            <w:pPr>
              <w:pStyle w:val="Compact"/>
              <w:jc w:val="center"/>
            </w:pPr>
            <w:r>
              <w:t xml:space="preserve">−0.002 [−0.004, 0.001]</w:t>
            </w:r>
          </w:p>
        </w:tc>
      </w:tr>
      <w:tr>
        <w:tc>
          <w:tcPr/>
          <w:p>
            <w:pPr>
              <w:pStyle w:val="Compact"/>
              <w:jc w:val="left"/>
            </w:pPr>
            <w:r>
              <w:t xml:space="preserve">bge-large</w:t>
            </w:r>
          </w:p>
        </w:tc>
        <w:tc>
          <w:tcPr/>
          <w:p>
            <w:pPr>
              <w:pStyle w:val="Compact"/>
              <w:jc w:val="center"/>
            </w:pPr>
            <w:r>
              <w:t xml:space="preserve">+0.120</w:t>
            </w:r>
          </w:p>
        </w:tc>
        <w:tc>
          <w:tcPr/>
          <w:p>
            <w:pPr>
              <w:pStyle w:val="Compact"/>
              <w:jc w:val="center"/>
            </w:pPr>
            <w:r>
              <w:t xml:space="preserve">+0.036 [0.029, 0.043]</w:t>
            </w:r>
          </w:p>
        </w:tc>
        <w:tc>
          <w:tcPr/>
          <w:p>
            <w:pPr>
              <w:pStyle w:val="Compact"/>
              <w:jc w:val="center"/>
            </w:pPr>
            <w:r>
              <w:t xml:space="preserve">+0.085 [0.065, 0.105]</w:t>
            </w:r>
          </w:p>
        </w:tc>
        <w:tc>
          <w:tcPr/>
          <w:p>
            <w:pPr>
              <w:pStyle w:val="Compact"/>
              <w:jc w:val="center"/>
            </w:pPr>
            <w:r>
              <w:t xml:space="preserve">−0.001 [−0.003, 0.001]</w:t>
            </w:r>
          </w:p>
        </w:tc>
      </w:tr>
      <w:tr>
        <w:tc>
          <w:tcPr/>
          <w:p>
            <w:pPr>
              <w:pStyle w:val="Compact"/>
              <w:jc w:val="left"/>
            </w:pPr>
            <w:r>
              <w:t xml:space="preserve">e5-base-v2</w:t>
            </w:r>
          </w:p>
        </w:tc>
        <w:tc>
          <w:tcPr/>
          <w:p>
            <w:pPr>
              <w:pStyle w:val="Compact"/>
              <w:jc w:val="center"/>
            </w:pPr>
            <w:r>
              <w:t xml:space="preserve">+0.092</w:t>
            </w:r>
          </w:p>
        </w:tc>
        <w:tc>
          <w:tcPr/>
          <w:p>
            <w:pPr>
              <w:pStyle w:val="Compact"/>
              <w:jc w:val="center"/>
            </w:pPr>
            <w:r>
              <w:t xml:space="preserve">+0.034 [0.027, 0.040]</w:t>
            </w:r>
          </w:p>
        </w:tc>
        <w:tc>
          <w:tcPr/>
          <w:p>
            <w:pPr>
              <w:pStyle w:val="Compact"/>
              <w:jc w:val="center"/>
            </w:pPr>
            <w:r>
              <w:t xml:space="preserve">+0.062 [0.042, 0.082]</w:t>
            </w:r>
          </w:p>
        </w:tc>
        <w:tc>
          <w:tcPr/>
          <w:p>
            <w:pPr>
              <w:pStyle w:val="Compact"/>
              <w:jc w:val="center"/>
            </w:pPr>
            <w:r>
              <w:t xml:space="preserve">−0.003 [−0.005, −0.001]</w:t>
            </w:r>
          </w:p>
        </w:tc>
      </w:tr>
      <w:tr>
        <w:tc>
          <w:tcPr/>
          <w:p>
            <w:pPr>
              <w:pStyle w:val="Compact"/>
              <w:jc w:val="left"/>
            </w:pPr>
            <w:r>
              <w:t xml:space="preserve">Qwen3-Emb-0.6B</w:t>
            </w:r>
          </w:p>
        </w:tc>
        <w:tc>
          <w:tcPr/>
          <w:p>
            <w:pPr>
              <w:pStyle w:val="Compact"/>
              <w:jc w:val="center"/>
            </w:pPr>
            <w:r>
              <w:t xml:space="preserve">+0.062</w:t>
            </w:r>
          </w:p>
        </w:tc>
        <w:tc>
          <w:tcPr/>
          <w:p>
            <w:pPr>
              <w:pStyle w:val="Compact"/>
              <w:jc w:val="center"/>
            </w:pPr>
            <w:r>
              <w:t xml:space="preserve">+0.032 [0.026, 0.039]</w:t>
            </w:r>
          </w:p>
        </w:tc>
        <w:tc>
          <w:tcPr/>
          <w:p>
            <w:pPr>
              <w:pStyle w:val="Compact"/>
              <w:jc w:val="center"/>
            </w:pPr>
            <w:r>
              <w:t xml:space="preserve">+0.031 [0.013, 0.050]</w:t>
            </w:r>
          </w:p>
        </w:tc>
        <w:tc>
          <w:tcPr/>
          <w:p>
            <w:pPr>
              <w:pStyle w:val="Compact"/>
              <w:jc w:val="center"/>
            </w:pPr>
            <w:r>
              <w:t xml:space="preserve">−0.001 [−0.003, 0.002]</w:t>
            </w:r>
          </w:p>
        </w:tc>
      </w:tr>
      <w:tr>
        <w:tc>
          <w:tcPr>
            <w:gridSpan w:val="5"/>
          </w:tcPr>
          <w:p>
            <w:pPr>
              <w:pStyle w:val="Compact"/>
              <w:jc w:val="left"/>
            </w:pPr>
            <w:r>
              <w:rPr>
                <w:iCs/>
                <w:i/>
              </w:rPr>
              <w:t xml:space="preserve">HotpotQA Llama</w:t>
            </w:r>
          </w:p>
        </w:tc>
      </w:tr>
      <w:tr>
        <w:tc>
          <w:tcPr/>
          <w:p>
            <w:pPr>
              <w:pStyle w:val="Compact"/>
              <w:jc w:val="left"/>
            </w:pPr>
            <w:r>
              <w:t xml:space="preserve">bge-small</w:t>
            </w:r>
          </w:p>
        </w:tc>
        <w:tc>
          <w:tcPr/>
          <w:p>
            <w:pPr>
              <w:pStyle w:val="Compact"/>
              <w:jc w:val="center"/>
            </w:pPr>
            <w:r>
              <w:t xml:space="preserve">+0.095</w:t>
            </w:r>
          </w:p>
        </w:tc>
        <w:tc>
          <w:tcPr/>
          <w:p>
            <w:pPr>
              <w:pStyle w:val="Compact"/>
              <w:jc w:val="center"/>
            </w:pPr>
            <w:r>
              <w:t xml:space="preserve">+0.038 [0.031, 0.045]</w:t>
            </w:r>
          </w:p>
        </w:tc>
        <w:tc>
          <w:tcPr/>
          <w:p>
            <w:pPr>
              <w:pStyle w:val="Compact"/>
              <w:jc w:val="center"/>
            </w:pPr>
            <w:r>
              <w:t xml:space="preserve">+0.058 [0.038, 0.078]</w:t>
            </w:r>
          </w:p>
        </w:tc>
        <w:tc>
          <w:tcPr/>
          <w:p>
            <w:pPr>
              <w:pStyle w:val="Compact"/>
              <w:jc w:val="center"/>
            </w:pPr>
            <w:r>
              <w:t xml:space="preserve">−0.001 [−0.003, 0.001]</w:t>
            </w:r>
          </w:p>
        </w:tc>
      </w:tr>
      <w:tr>
        <w:tc>
          <w:tcPr/>
          <w:p>
            <w:pPr>
              <w:pStyle w:val="Compact"/>
              <w:jc w:val="left"/>
            </w:pPr>
            <w:r>
              <w:t xml:space="preserve">bge-base</w:t>
            </w:r>
          </w:p>
        </w:tc>
        <w:tc>
          <w:tcPr/>
          <w:p>
            <w:pPr>
              <w:pStyle w:val="Compact"/>
              <w:jc w:val="center"/>
            </w:pPr>
            <w:r>
              <w:t xml:space="preserve">+0.118</w:t>
            </w:r>
          </w:p>
        </w:tc>
        <w:tc>
          <w:tcPr/>
          <w:p>
            <w:pPr>
              <w:pStyle w:val="Compact"/>
              <w:jc w:val="center"/>
            </w:pPr>
            <w:r>
              <w:t xml:space="preserve">+0.039 [0.033, 0.046]</w:t>
            </w:r>
          </w:p>
        </w:tc>
        <w:tc>
          <w:tcPr/>
          <w:p>
            <w:pPr>
              <w:pStyle w:val="Compact"/>
              <w:jc w:val="center"/>
            </w:pPr>
            <w:r>
              <w:t xml:space="preserve">+0.080 [0.059, 0.100]</w:t>
            </w:r>
          </w:p>
        </w:tc>
        <w:tc>
          <w:tcPr/>
          <w:p>
            <w:pPr>
              <w:pStyle w:val="Compact"/>
              <w:jc w:val="center"/>
            </w:pPr>
            <w:r>
              <w:t xml:space="preserve">−0.001 [−0.003, 0.001]</w:t>
            </w:r>
          </w:p>
        </w:tc>
      </w:tr>
      <w:tr>
        <w:tc>
          <w:tcPr/>
          <w:p>
            <w:pPr>
              <w:pStyle w:val="Compact"/>
              <w:jc w:val="left"/>
            </w:pPr>
            <w:r>
              <w:t xml:space="preserve">bge-large</w:t>
            </w:r>
          </w:p>
        </w:tc>
        <w:tc>
          <w:tcPr/>
          <w:p>
            <w:pPr>
              <w:pStyle w:val="Compact"/>
              <w:jc w:val="center"/>
            </w:pPr>
            <w:r>
              <w:t xml:space="preserve">+0.133</w:t>
            </w:r>
          </w:p>
        </w:tc>
        <w:tc>
          <w:tcPr/>
          <w:p>
            <w:pPr>
              <w:pStyle w:val="Compact"/>
              <w:jc w:val="center"/>
            </w:pPr>
            <w:r>
              <w:t xml:space="preserve">+0.040 [0.033, 0.047]</w:t>
            </w:r>
          </w:p>
        </w:tc>
        <w:tc>
          <w:tcPr/>
          <w:p>
            <w:pPr>
              <w:pStyle w:val="Compact"/>
              <w:jc w:val="center"/>
            </w:pPr>
            <w:r>
              <w:t xml:space="preserve">+0.093 [0.073, 0.114]</w:t>
            </w:r>
          </w:p>
        </w:tc>
        <w:tc>
          <w:tcPr/>
          <w:p>
            <w:pPr>
              <w:pStyle w:val="Compact"/>
              <w:jc w:val="center"/>
            </w:pPr>
            <w:r>
              <w:t xml:space="preserve">−0.000 [−0.002, 0.002]</w:t>
            </w:r>
          </w:p>
        </w:tc>
      </w:tr>
      <w:tr>
        <w:tc>
          <w:tcPr/>
          <w:p>
            <w:pPr>
              <w:pStyle w:val="Compact"/>
              <w:jc w:val="left"/>
            </w:pPr>
            <w:r>
              <w:t xml:space="preserve">e5-base-v2</w:t>
            </w:r>
          </w:p>
        </w:tc>
        <w:tc>
          <w:tcPr/>
          <w:p>
            <w:pPr>
              <w:pStyle w:val="Compact"/>
              <w:jc w:val="center"/>
            </w:pPr>
            <w:r>
              <w:t xml:space="preserve">+0.111</w:t>
            </w:r>
          </w:p>
        </w:tc>
        <w:tc>
          <w:tcPr/>
          <w:p>
            <w:pPr>
              <w:pStyle w:val="Compact"/>
              <w:jc w:val="center"/>
            </w:pPr>
            <w:r>
              <w:t xml:space="preserve">+0.037 [0.031, 0.044]</w:t>
            </w:r>
          </w:p>
        </w:tc>
        <w:tc>
          <w:tcPr/>
          <w:p>
            <w:pPr>
              <w:pStyle w:val="Compact"/>
              <w:jc w:val="center"/>
            </w:pPr>
            <w:r>
              <w:t xml:space="preserve">+0.075 [0.056, 0.096]</w:t>
            </w:r>
          </w:p>
        </w:tc>
        <w:tc>
          <w:tcPr/>
          <w:p>
            <w:pPr>
              <w:pStyle w:val="Compact"/>
              <w:jc w:val="center"/>
            </w:pPr>
            <w:r>
              <w:t xml:space="preserve">−0.002 [−0.004, 0.001]</w:t>
            </w:r>
          </w:p>
        </w:tc>
      </w:tr>
      <w:tr>
        <w:tc>
          <w:tcPr/>
          <w:p>
            <w:pPr>
              <w:pStyle w:val="Compact"/>
              <w:jc w:val="left"/>
            </w:pPr>
            <w:r>
              <w:t xml:space="preserve">Qwen3-Emb-0.6B</w:t>
            </w:r>
          </w:p>
        </w:tc>
        <w:tc>
          <w:tcPr/>
          <w:p>
            <w:pPr>
              <w:pStyle w:val="Compact"/>
              <w:jc w:val="center"/>
            </w:pPr>
            <w:r>
              <w:t xml:space="preserve">+0.069</w:t>
            </w:r>
          </w:p>
        </w:tc>
        <w:tc>
          <w:tcPr/>
          <w:p>
            <w:pPr>
              <w:pStyle w:val="Compact"/>
              <w:jc w:val="center"/>
            </w:pPr>
            <w:r>
              <w:t xml:space="preserve">+0.035 [0.029, 0.042]</w:t>
            </w:r>
          </w:p>
        </w:tc>
        <w:tc>
          <w:tcPr/>
          <w:p>
            <w:pPr>
              <w:pStyle w:val="Compact"/>
              <w:jc w:val="center"/>
            </w:pPr>
            <w:r>
              <w:t xml:space="preserve">+0.033 [0.015, 0.052]</w:t>
            </w:r>
          </w:p>
        </w:tc>
        <w:tc>
          <w:tcPr/>
          <w:p>
            <w:pPr>
              <w:pStyle w:val="Compact"/>
              <w:jc w:val="center"/>
            </w:pPr>
            <w:r>
              <w:t xml:space="preserve">+0.000 [−0.002, 0.003]</w:t>
            </w:r>
          </w:p>
        </w:tc>
      </w:tr>
    </w:tbl>
    <w:p>
      <w:pPr>
        <w:pStyle w:val="BodyText"/>
      </w:pPr>
      <w:r>
        <w:rPr>
          <w:iCs/>
          <w:i/>
        </w:rPr>
        <w:t xml:space="preserve">Hit prevalence:</w:t>
      </w:r>
      <w:r>
        <w:rPr>
          <w:iCs/>
          <w:i/>
        </w:rPr>
        <w:t xml:space="preserve"> </w:t>
      </w:r>
      <m:oMath>
        <m:r>
          <m:t>Δ</m:t>
        </m:r>
        <m:acc>
          <m:accPr>
            <m:chr m:val="‾"/>
          </m:accPr>
          <m:e>
            <m:r>
              <m:t>h</m:t>
            </m:r>
          </m:e>
        </m:acc>
        <m:r>
          <m:t> </m:t>
        </m:r>
        <m:d>
          <m:dPr>
            <m:begChr m:val="("/>
            <m:endChr m:val=")"/>
            <m:sepChr m:val=""/>
            <m:grow/>
          </m:dPr>
          <m:e>
            <m:sSub>
              <m:e>
                <m:r>
                  <m:t>a</m:t>
                </m:r>
              </m:e>
              <m:sub>
                <m:sSub>
                  <m:e>
                    <m:r>
                      <m:t>R</m:t>
                    </m:r>
                  </m:e>
                  <m:sub>
                    <m:r>
                      <m:t>1</m:t>
                    </m:r>
                  </m:sub>
                </m:sSub>
              </m:sub>
            </m:sSub>
            <m:r>
              <m:rPr>
                <m:sty m:val="p"/>
              </m:rPr>
              <m:t>−</m:t>
            </m:r>
            <m:sSub>
              <m:e>
                <m:r>
                  <m:t>b</m:t>
                </m:r>
              </m:e>
              <m:sub>
                <m:sSub>
                  <m:e>
                    <m:r>
                      <m:t>R</m:t>
                    </m:r>
                  </m:e>
                  <m:sub>
                    <m:r>
                      <m:t>1</m:t>
                    </m:r>
                  </m:sub>
                </m:sSub>
              </m:sub>
            </m:sSub>
          </m:e>
        </m:d>
      </m:oMath>
      <w:r>
        <w:rPr>
          <w:iCs/>
          <w:i/>
        </w:rPr>
        <w:t xml:space="preserve">; EM among hits:</w:t>
      </w:r>
      <w:r>
        <w:rPr>
          <w:iCs/>
          <w:i/>
        </w:rPr>
        <w:t xml:space="preserve"> </w:t>
      </w:r>
      <m:oMath>
        <m:sSub>
          <m:e>
            <m:acc>
              <m:accPr>
                <m:chr m:val="‾"/>
              </m:accPr>
              <m:e>
                <m:r>
                  <m:t>h</m:t>
                </m:r>
              </m:e>
            </m:acc>
          </m:e>
          <m:sub>
            <m:r>
              <m:t>R</m:t>
            </m:r>
          </m:sub>
        </m:sSub>
        <m:r>
          <m:t> </m:t>
        </m:r>
        <m:r>
          <m:t>Δ</m:t>
        </m:r>
        <m:r>
          <m:t>a</m:t>
        </m:r>
      </m:oMath>
      <w:r>
        <w:rPr>
          <w:iCs/>
          <w:i/>
        </w:rPr>
        <w:t xml:space="preserve">; EM among misses:</w:t>
      </w:r>
      <w:r>
        <w:rPr>
          <w:iCs/>
          <w:i/>
        </w:rPr>
        <w:t xml:space="preserve"> </w:t>
      </w:r>
      <m:oMath>
        <m:d>
          <m:dPr>
            <m:begChr m:val="("/>
            <m:endChr m:val=")"/>
            <m:sepChr m:val=""/>
            <m:grow/>
          </m:dPr>
          <m:e>
            <m:r>
              <m:t>1</m:t>
            </m:r>
            <m:r>
              <m:rPr>
                <m:sty m:val="p"/>
              </m:rPr>
              <m:t>−</m:t>
            </m:r>
            <m:sSub>
              <m:e>
                <m:acc>
                  <m:accPr>
                    <m:chr m:val="‾"/>
                  </m:accPr>
                  <m:e>
                    <m:r>
                      <m:t>h</m:t>
                    </m:r>
                  </m:e>
                </m:acc>
              </m:e>
              <m:sub>
                <m:r>
                  <m:t>R</m:t>
                </m:r>
              </m:sub>
            </m:sSub>
          </m:e>
        </m:d>
        <m:r>
          <m:t> </m:t>
        </m:r>
        <m:r>
          <m:t>Δ</m:t>
        </m:r>
        <m:r>
          <m:t>b</m:t>
        </m:r>
      </m:oMath>
      <w:r>
        <w:rPr>
          <w:iCs/>
          <w:i/>
        </w:rPr>
        <w:t xml:space="preserve">. The three terms add up to</w:t>
      </w:r>
      <w:r>
        <w:rPr>
          <w:iCs/>
          <w:i/>
        </w:rPr>
        <w:t xml:space="preserve"> </w:t>
      </w:r>
      <m:oMath>
        <m:r>
          <m:t>Δ</m:t>
        </m:r>
      </m:oMath>
      <w:r>
        <w:rPr>
          <w:iCs/>
          <w:i/>
        </w:rPr>
        <w:t xml:space="preserve">EM exactly. Intervals recompute every term in each resample.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Group</w:t>
            </w:r>
          </w:p>
        </w:tc>
        <w:tc>
          <w:tcPr/>
          <w:p>
            <w:pPr>
              <w:pStyle w:val="Compact"/>
              <w:jc w:val="center"/>
            </w:pPr>
            <m:oMath>
              <m:r>
                <m:t>n</m:t>
              </m:r>
            </m:oMath>
          </w:p>
        </w:tc>
        <w:tc>
          <w:tcPr/>
          <w:p>
            <w:pPr>
              <w:pStyle w:val="Compact"/>
              <w:jc w:val="center"/>
            </w:pPr>
            <w:r>
              <w:t xml:space="preserve">EM MiniLM-L6</w:t>
            </w:r>
          </w:p>
        </w:tc>
        <w:tc>
          <w:tcPr/>
          <w:p>
            <w:pPr>
              <w:pStyle w:val="Compact"/>
              <w:jc w:val="center"/>
            </w:pPr>
            <w:r>
              <w:t xml:space="preserve">EM encoder</w:t>
            </w:r>
          </w:p>
        </w:tc>
        <w:tc>
          <w:tcPr/>
          <w:p>
            <w:pPr>
              <w:pStyle w:val="Compact"/>
              <w:jc w:val="center"/>
            </w:pPr>
            <w:r>
              <w:t xml:space="preserve">wrong</w:t>
            </w:r>
            <m:oMath>
              <m:r>
                <m:rPr>
                  <m:sty m:val="p"/>
                </m:rPr>
                <m:t>→</m:t>
              </m:r>
            </m:oMath>
            <w:r>
              <w:t xml:space="preserve">right / right</w:t>
            </w:r>
            <m:oMath>
              <m:r>
                <m:rPr>
                  <m:sty m:val="p"/>
                </m:rPr>
                <m:t>→</m:t>
              </m:r>
            </m:oMath>
            <w:r>
              <w:t xml:space="preserve">wrong</w:t>
            </w:r>
          </w:p>
        </w:tc>
        <w:tc>
          <w:tcPr/>
          <w:p>
            <w:pPr>
              <w:pStyle w:val="Compact"/>
              <w:jc w:val="center"/>
            </w:pPr>
            <w:r>
              <w:t xml:space="preserve">Contribution</w:t>
            </w:r>
          </w:p>
        </w:tc>
        <w:tc>
          <w:tcPr/>
          <w:p>
            <w:pPr>
              <w:pStyle w:val="Compact"/>
              <w:jc w:val="center"/>
            </w:pPr>
            <w:r>
              <w:t xml:space="preserve">95% CI</w:t>
            </w:r>
          </w:p>
        </w:tc>
      </w:tr>
      <w:tr>
        <w:tc>
          <w:tcPr>
            <w:gridSpan w:val="7"/>
          </w:tcPr>
          <w:p>
            <w:pPr>
              <w:pStyle w:val="Compact"/>
              <w:jc w:val="left"/>
            </w:pPr>
            <w:r>
              <w:rPr>
                <w:iCs/>
                <w:i/>
              </w:rPr>
              <w:t xml:space="preserve">NQ Qwen, bge-large</w:t>
            </w:r>
          </w:p>
        </w:tc>
      </w:tr>
      <w:tr>
        <w:tc>
          <w:tcPr/>
          <w:p>
            <w:pPr>
              <w:pStyle w:val="Compact"/>
              <w:jc w:val="left"/>
            </w:pPr>
            <w:r>
              <w:t xml:space="preserve">miss</w:t>
            </w:r>
            <w:r>
              <w:t xml:space="preserve"> </w:t>
            </w:r>
            <m:oMath>
              <m:r>
                <m:rPr>
                  <m:sty m:val="p"/>
                </m:rPr>
                <m:t>→</m:t>
              </m:r>
            </m:oMath>
            <w:r>
              <w:t xml:space="preserve"> </w:t>
            </w:r>
            <w:r>
              <w:t xml:space="preserve">hit</w:t>
            </w:r>
          </w:p>
        </w:tc>
        <w:tc>
          <w:tcPr/>
          <w:p>
            <w:pPr>
              <w:pStyle w:val="Compact"/>
              <w:jc w:val="center"/>
            </w:pPr>
            <w:r>
              <w:t xml:space="preserve">406</w:t>
            </w:r>
          </w:p>
        </w:tc>
        <w:tc>
          <w:tcPr/>
          <w:p>
            <w:pPr>
              <w:pStyle w:val="Compact"/>
              <w:jc w:val="center"/>
            </w:pPr>
            <w:r>
              <w:t xml:space="preserve">0.264</w:t>
            </w:r>
          </w:p>
        </w:tc>
        <w:tc>
          <w:tcPr/>
          <w:p>
            <w:pPr>
              <w:pStyle w:val="Compact"/>
              <w:jc w:val="center"/>
            </w:pPr>
            <w:r>
              <w:t xml:space="preserve">0.569</w:t>
            </w:r>
          </w:p>
        </w:tc>
        <w:tc>
          <w:tcPr/>
          <w:p>
            <w:pPr>
              <w:pStyle w:val="Compact"/>
              <w:jc w:val="center"/>
            </w:pPr>
            <w:r>
              <w:t xml:space="preserve">138 / 14</w:t>
            </w:r>
          </w:p>
        </w:tc>
        <w:tc>
          <w:tcPr/>
          <w:p>
            <w:pPr>
              <w:pStyle w:val="Compact"/>
              <w:jc w:val="center"/>
            </w:pPr>
            <w:r>
              <w:t xml:space="preserve">+0.0550</w:t>
            </w:r>
          </w:p>
        </w:tc>
        <w:tc>
          <w:tcPr/>
          <w:p>
            <w:pPr>
              <w:pStyle w:val="Compact"/>
              <w:jc w:val="center"/>
            </w:pPr>
            <w:r>
              <w:t xml:space="preserve">[0.0443, 0.0656]</w:t>
            </w:r>
          </w:p>
        </w:tc>
      </w:tr>
      <w:tr>
        <w:tc>
          <w:tcPr/>
          <w:p>
            <w:pPr>
              <w:pStyle w:val="Compact"/>
              <w:jc w:val="left"/>
            </w:pPr>
            <w:r>
              <w:t xml:space="preserve">hit</w:t>
            </w:r>
            <w:r>
              <w:t xml:space="preserve"> </w:t>
            </w:r>
            <m:oMath>
              <m:r>
                <m:rPr>
                  <m:sty m:val="p"/>
                </m:rPr>
                <m:t>→</m:t>
              </m:r>
            </m:oMath>
            <w:r>
              <w:t xml:space="preserve"> </w:t>
            </w:r>
            <w:r>
              <w:t xml:space="preserve">hit</w:t>
            </w:r>
          </w:p>
        </w:tc>
        <w:tc>
          <w:tcPr/>
          <w:p>
            <w:pPr>
              <w:pStyle w:val="Compact"/>
              <w:jc w:val="center"/>
            </w:pPr>
            <w:r>
              <w:t xml:space="preserve">1,389</w:t>
            </w:r>
          </w:p>
        </w:tc>
        <w:tc>
          <w:tcPr/>
          <w:p>
            <w:pPr>
              <w:pStyle w:val="Compact"/>
              <w:jc w:val="center"/>
            </w:pPr>
            <w:r>
              <w:t xml:space="preserve">0.588</w:t>
            </w:r>
          </w:p>
        </w:tc>
        <w:tc>
          <w:tcPr/>
          <w:p>
            <w:pPr>
              <w:pStyle w:val="Compact"/>
              <w:jc w:val="center"/>
            </w:pPr>
            <w:r>
              <w:t xml:space="preserve">0.567</w:t>
            </w:r>
          </w:p>
        </w:tc>
        <w:tc>
          <w:tcPr/>
          <w:p>
            <w:pPr>
              <w:pStyle w:val="Compact"/>
              <w:jc w:val="center"/>
            </w:pPr>
            <w:r>
              <w:t xml:space="preserve">71 / 99</w:t>
            </w:r>
          </w:p>
        </w:tc>
        <w:tc>
          <w:tcPr/>
          <w:p>
            <w:pPr>
              <w:pStyle w:val="Compact"/>
              <w:jc w:val="center"/>
            </w:pPr>
            <w:r>
              <w:t xml:space="preserve">−0.0124</w:t>
            </w:r>
          </w:p>
        </w:tc>
        <w:tc>
          <w:tcPr/>
          <w:p>
            <w:pPr>
              <w:pStyle w:val="Compact"/>
              <w:jc w:val="center"/>
            </w:pPr>
            <w:r>
              <w:t xml:space="preserve">[−0.0239, −0.0009]</w:t>
            </w:r>
          </w:p>
        </w:tc>
      </w:tr>
      <w:tr>
        <w:tc>
          <w:tcPr/>
          <w:p>
            <w:pPr>
              <w:pStyle w:val="Compact"/>
              <w:jc w:val="left"/>
            </w:pPr>
            <w:r>
              <w:t xml:space="preserve">hit</w:t>
            </w:r>
            <w:r>
              <w:t xml:space="preserve"> </w:t>
            </w:r>
            <m:oMath>
              <m:r>
                <m:rPr>
                  <m:sty m:val="p"/>
                </m:rPr>
                <m:t>→</m:t>
              </m:r>
            </m:oMath>
            <w:r>
              <w:t xml:space="preserve"> </w:t>
            </w:r>
            <w:r>
              <w:t xml:space="preserve">miss</w:t>
            </w:r>
          </w:p>
        </w:tc>
        <w:tc>
          <w:tcPr/>
          <w:p>
            <w:pPr>
              <w:pStyle w:val="Compact"/>
              <w:jc w:val="center"/>
            </w:pPr>
            <w:r>
              <w:t xml:space="preserve">108</w:t>
            </w:r>
          </w:p>
        </w:tc>
        <w:tc>
          <w:tcPr/>
          <w:p>
            <w:pPr>
              <w:pStyle w:val="Compact"/>
              <w:jc w:val="center"/>
            </w:pPr>
            <w:r>
              <w:t xml:space="preserve">0.537</w:t>
            </w:r>
          </w:p>
        </w:tc>
        <w:tc>
          <w:tcPr/>
          <w:p>
            <w:pPr>
              <w:pStyle w:val="Compact"/>
              <w:jc w:val="center"/>
            </w:pPr>
            <w:r>
              <w:t xml:space="preserve">0.333</w:t>
            </w:r>
          </w:p>
        </w:tc>
        <w:tc>
          <w:tcPr/>
          <w:p>
            <w:pPr>
              <w:pStyle w:val="Compact"/>
              <w:jc w:val="center"/>
            </w:pPr>
            <w:r>
              <w:t xml:space="preserve">5 / 27</w:t>
            </w:r>
          </w:p>
        </w:tc>
        <w:tc>
          <w:tcPr/>
          <w:p>
            <w:pPr>
              <w:pStyle w:val="Compact"/>
              <w:jc w:val="center"/>
            </w:pPr>
            <w:r>
              <w:t xml:space="preserve">−0.0098</w:t>
            </w:r>
          </w:p>
        </w:tc>
        <w:tc>
          <w:tcPr/>
          <w:p>
            <w:pPr>
              <w:pStyle w:val="Compact"/>
              <w:jc w:val="center"/>
            </w:pPr>
            <w:r>
              <w:t xml:space="preserve">[−0.0146, −0.0049]</w:t>
            </w:r>
          </w:p>
        </w:tc>
      </w:tr>
      <w:tr>
        <w:tc>
          <w:tcPr/>
          <w:p>
            <w:pPr>
              <w:pStyle w:val="Compact"/>
              <w:jc w:val="left"/>
            </w:pPr>
            <w:r>
              <w:t xml:space="preserve">miss</w:t>
            </w:r>
            <w:r>
              <w:t xml:space="preserve"> </w:t>
            </w:r>
            <m:oMath>
              <m:r>
                <m:rPr>
                  <m:sty m:val="p"/>
                </m:rPr>
                <m:t>→</m:t>
              </m:r>
            </m:oMath>
            <w:r>
              <w:t xml:space="preserve"> </w:t>
            </w:r>
            <w:r>
              <w:t xml:space="preserve">miss</w:t>
            </w:r>
          </w:p>
        </w:tc>
        <w:tc>
          <w:tcPr/>
          <w:p>
            <w:pPr>
              <w:pStyle w:val="Compact"/>
              <w:jc w:val="center"/>
            </w:pPr>
            <w:r>
              <w:t xml:space="preserve">352</w:t>
            </w:r>
          </w:p>
        </w:tc>
        <w:tc>
          <w:tcPr/>
          <w:p>
            <w:pPr>
              <w:pStyle w:val="Compact"/>
              <w:jc w:val="center"/>
            </w:pPr>
            <w:r>
              <w:t xml:space="preserve">0.233</w:t>
            </w:r>
          </w:p>
        </w:tc>
        <w:tc>
          <w:tcPr/>
          <w:p>
            <w:pPr>
              <w:pStyle w:val="Compact"/>
              <w:jc w:val="center"/>
            </w:pPr>
            <w:r>
              <w:t xml:space="preserve">0.227</w:t>
            </w:r>
          </w:p>
        </w:tc>
        <w:tc>
          <w:tcPr/>
          <w:p>
            <w:pPr>
              <w:pStyle w:val="Compact"/>
              <w:jc w:val="center"/>
            </w:pPr>
            <w:r>
              <w:t xml:space="preserve">21 / 23</w:t>
            </w:r>
          </w:p>
        </w:tc>
        <w:tc>
          <w:tcPr/>
          <w:p>
            <w:pPr>
              <w:pStyle w:val="Compact"/>
              <w:jc w:val="center"/>
            </w:pPr>
            <w:r>
              <w:t xml:space="preserve">−0.0009</w:t>
            </w:r>
          </w:p>
        </w:tc>
        <w:tc>
          <w:tcPr/>
          <w:p>
            <w:pPr>
              <w:pStyle w:val="Compact"/>
              <w:jc w:val="center"/>
            </w:pPr>
            <w:r>
              <w:t xml:space="preserve">[−0.0067, 0.0049]</w:t>
            </w:r>
          </w:p>
        </w:tc>
      </w:tr>
      <w:tr>
        <w:tc>
          <w:tcPr>
            <w:gridSpan w:val="7"/>
          </w:tcPr>
          <w:p>
            <w:pPr>
              <w:pStyle w:val="Compact"/>
              <w:jc w:val="left"/>
            </w:pPr>
            <w:r>
              <w:rPr>
                <w:iCs/>
                <w:i/>
              </w:rPr>
              <w:t xml:space="preserve">NQ Qwen, e5-base-v2</w:t>
            </w:r>
          </w:p>
        </w:tc>
      </w:tr>
      <w:tr>
        <w:tc>
          <w:tcPr/>
          <w:p>
            <w:pPr>
              <w:pStyle w:val="Compact"/>
              <w:jc w:val="left"/>
            </w:pPr>
            <w:r>
              <w:t xml:space="preserve">miss</w:t>
            </w:r>
            <w:r>
              <w:t xml:space="preserve"> </w:t>
            </w:r>
            <m:oMath>
              <m:r>
                <m:rPr>
                  <m:sty m:val="p"/>
                </m:rPr>
                <m:t>→</m:t>
              </m:r>
            </m:oMath>
            <w:r>
              <w:t xml:space="preserve"> </w:t>
            </w:r>
            <w:r>
              <w:t xml:space="preserve">hit</w:t>
            </w:r>
          </w:p>
        </w:tc>
        <w:tc>
          <w:tcPr/>
          <w:p>
            <w:pPr>
              <w:pStyle w:val="Compact"/>
              <w:jc w:val="center"/>
            </w:pPr>
            <w:r>
              <w:t xml:space="preserve">436</w:t>
            </w:r>
          </w:p>
        </w:tc>
        <w:tc>
          <w:tcPr/>
          <w:p>
            <w:pPr>
              <w:pStyle w:val="Compact"/>
              <w:jc w:val="center"/>
            </w:pPr>
            <w:r>
              <w:t xml:space="preserve">0.296</w:t>
            </w:r>
          </w:p>
        </w:tc>
        <w:tc>
          <w:tcPr/>
          <w:p>
            <w:pPr>
              <w:pStyle w:val="Compact"/>
              <w:jc w:val="center"/>
            </w:pPr>
            <w:r>
              <w:t xml:space="preserve">0.569</w:t>
            </w:r>
          </w:p>
        </w:tc>
        <w:tc>
          <w:tcPr/>
          <w:p>
            <w:pPr>
              <w:pStyle w:val="Compact"/>
              <w:jc w:val="center"/>
            </w:pPr>
            <w:r>
              <w:t xml:space="preserve">139 / 20</w:t>
            </w:r>
          </w:p>
        </w:tc>
        <w:tc>
          <w:tcPr/>
          <w:p>
            <w:pPr>
              <w:pStyle w:val="Compact"/>
              <w:jc w:val="center"/>
            </w:pPr>
            <w:r>
              <w:t xml:space="preserve">+0.0528</w:t>
            </w:r>
          </w:p>
        </w:tc>
        <w:tc>
          <w:tcPr/>
          <w:p>
            <w:pPr>
              <w:pStyle w:val="Compact"/>
              <w:jc w:val="center"/>
            </w:pPr>
            <w:r>
              <w:t xml:space="preserve">[0.0421, 0.0634]</w:t>
            </w:r>
          </w:p>
        </w:tc>
      </w:tr>
      <w:tr>
        <w:tc>
          <w:tcPr/>
          <w:p>
            <w:pPr>
              <w:pStyle w:val="Compact"/>
              <w:jc w:val="left"/>
            </w:pPr>
            <w:r>
              <w:t xml:space="preserve">hit</w:t>
            </w:r>
            <w:r>
              <w:t xml:space="preserve"> </w:t>
            </w:r>
            <m:oMath>
              <m:r>
                <m:rPr>
                  <m:sty m:val="p"/>
                </m:rPr>
                <m:t>→</m:t>
              </m:r>
            </m:oMath>
            <w:r>
              <w:t xml:space="preserve"> </w:t>
            </w:r>
            <w:r>
              <w:t xml:space="preserve">hit</w:t>
            </w:r>
          </w:p>
        </w:tc>
        <w:tc>
          <w:tcPr/>
          <w:p>
            <w:pPr>
              <w:pStyle w:val="Compact"/>
              <w:jc w:val="center"/>
            </w:pPr>
            <w:r>
              <w:t xml:space="preserve">1,405</w:t>
            </w:r>
          </w:p>
        </w:tc>
        <w:tc>
          <w:tcPr/>
          <w:p>
            <w:pPr>
              <w:pStyle w:val="Compact"/>
              <w:jc w:val="center"/>
            </w:pPr>
            <w:r>
              <w:t xml:space="preserve">0.588</w:t>
            </w:r>
          </w:p>
        </w:tc>
        <w:tc>
          <w:tcPr/>
          <w:p>
            <w:pPr>
              <w:pStyle w:val="Compact"/>
              <w:jc w:val="center"/>
            </w:pPr>
            <w:r>
              <w:t xml:space="preserve">0.569</w:t>
            </w:r>
          </w:p>
        </w:tc>
        <w:tc>
          <w:tcPr/>
          <w:p>
            <w:pPr>
              <w:pStyle w:val="Compact"/>
              <w:jc w:val="center"/>
            </w:pPr>
            <w:r>
              <w:t xml:space="preserve">66 / 92</w:t>
            </w:r>
          </w:p>
        </w:tc>
        <w:tc>
          <w:tcPr/>
          <w:p>
            <w:pPr>
              <w:pStyle w:val="Compact"/>
              <w:jc w:val="center"/>
            </w:pPr>
            <w:r>
              <w:t xml:space="preserve">−0.0115</w:t>
            </w:r>
          </w:p>
        </w:tc>
        <w:tc>
          <w:tcPr/>
          <w:p>
            <w:pPr>
              <w:pStyle w:val="Compact"/>
              <w:jc w:val="center"/>
            </w:pPr>
            <w:r>
              <w:t xml:space="preserve">[−0.0222, −0.0009]</w:t>
            </w:r>
          </w:p>
        </w:tc>
      </w:tr>
      <w:tr>
        <w:tc>
          <w:tcPr/>
          <w:p>
            <w:pPr>
              <w:pStyle w:val="Compact"/>
              <w:jc w:val="left"/>
            </w:pPr>
            <w:r>
              <w:t xml:space="preserve">hit</w:t>
            </w:r>
            <w:r>
              <w:t xml:space="preserve"> </w:t>
            </w:r>
            <m:oMath>
              <m:r>
                <m:rPr>
                  <m:sty m:val="p"/>
                </m:rPr>
                <m:t>→</m:t>
              </m:r>
            </m:oMath>
            <w:r>
              <w:t xml:space="preserve"> </w:t>
            </w:r>
            <w:r>
              <w:t xml:space="preserve">miss</w:t>
            </w:r>
          </w:p>
        </w:tc>
        <w:tc>
          <w:tcPr/>
          <w:p>
            <w:pPr>
              <w:pStyle w:val="Compact"/>
              <w:jc w:val="center"/>
            </w:pPr>
            <w:r>
              <w:t xml:space="preserve">92</w:t>
            </w:r>
          </w:p>
        </w:tc>
        <w:tc>
          <w:tcPr/>
          <w:p>
            <w:pPr>
              <w:pStyle w:val="Compact"/>
              <w:jc w:val="center"/>
            </w:pPr>
            <w:r>
              <w:t xml:space="preserve">0.522</w:t>
            </w:r>
          </w:p>
        </w:tc>
        <w:tc>
          <w:tcPr/>
          <w:p>
            <w:pPr>
              <w:pStyle w:val="Compact"/>
              <w:jc w:val="center"/>
            </w:pPr>
            <w:r>
              <w:t xml:space="preserve">0.370</w:t>
            </w:r>
          </w:p>
        </w:tc>
        <w:tc>
          <w:tcPr/>
          <w:p>
            <w:pPr>
              <w:pStyle w:val="Compact"/>
              <w:jc w:val="center"/>
            </w:pPr>
            <w:r>
              <w:t xml:space="preserve">3 / 17</w:t>
            </w:r>
          </w:p>
        </w:tc>
        <w:tc>
          <w:tcPr/>
          <w:p>
            <w:pPr>
              <w:pStyle w:val="Compact"/>
              <w:jc w:val="center"/>
            </w:pPr>
            <w:r>
              <w:t xml:space="preserve">−0.0062</w:t>
            </w:r>
          </w:p>
        </w:tc>
        <w:tc>
          <w:tcPr/>
          <w:p>
            <w:pPr>
              <w:pStyle w:val="Compact"/>
              <w:jc w:val="center"/>
            </w:pPr>
            <w:r>
              <w:t xml:space="preserve">[−0.0102, −0.0022]</w:t>
            </w:r>
          </w:p>
        </w:tc>
      </w:tr>
      <w:tr>
        <w:tc>
          <w:tcPr/>
          <w:p>
            <w:pPr>
              <w:pStyle w:val="Compact"/>
              <w:jc w:val="left"/>
            </w:pPr>
            <w:r>
              <w:t xml:space="preserve">miss</w:t>
            </w:r>
            <w:r>
              <w:t xml:space="preserve"> </w:t>
            </w:r>
            <m:oMath>
              <m:r>
                <m:rPr>
                  <m:sty m:val="p"/>
                </m:rPr>
                <m:t>→</m:t>
              </m:r>
            </m:oMath>
            <w:r>
              <w:t xml:space="preserve"> </w:t>
            </w:r>
            <w:r>
              <w:t xml:space="preserve">miss</w:t>
            </w:r>
          </w:p>
        </w:tc>
        <w:tc>
          <w:tcPr/>
          <w:p>
            <w:pPr>
              <w:pStyle w:val="Compact"/>
              <w:jc w:val="center"/>
            </w:pPr>
            <w:r>
              <w:t xml:space="preserve">322</w:t>
            </w:r>
          </w:p>
        </w:tc>
        <w:tc>
          <w:tcPr/>
          <w:p>
            <w:pPr>
              <w:pStyle w:val="Compact"/>
              <w:jc w:val="center"/>
            </w:pPr>
            <w:r>
              <w:t xml:space="preserve">0.186</w:t>
            </w:r>
          </w:p>
        </w:tc>
        <w:tc>
          <w:tcPr/>
          <w:p>
            <w:pPr>
              <w:pStyle w:val="Compact"/>
              <w:jc w:val="center"/>
            </w:pPr>
            <w:r>
              <w:t xml:space="preserve">0.208</w:t>
            </w:r>
          </w:p>
        </w:tc>
        <w:tc>
          <w:tcPr/>
          <w:p>
            <w:pPr>
              <w:pStyle w:val="Compact"/>
              <w:jc w:val="center"/>
            </w:pPr>
            <w:r>
              <w:t xml:space="preserve">20 / 13</w:t>
            </w:r>
          </w:p>
        </w:tc>
        <w:tc>
          <w:tcPr/>
          <w:p>
            <w:pPr>
              <w:pStyle w:val="Compact"/>
              <w:jc w:val="center"/>
            </w:pPr>
            <w:r>
              <w:t xml:space="preserve">+0.0031</w:t>
            </w:r>
          </w:p>
        </w:tc>
        <w:tc>
          <w:tcPr/>
          <w:p>
            <w:pPr>
              <w:pStyle w:val="Compact"/>
              <w:jc w:val="center"/>
            </w:pPr>
            <w:r>
              <w:t xml:space="preserve">[−0.0018, 0.0080]</w:t>
            </w:r>
          </w:p>
        </w:tc>
      </w:tr>
      <w:tr>
        <w:tc>
          <w:tcPr>
            <w:gridSpan w:val="7"/>
          </w:tcPr>
          <w:p>
            <w:pPr>
              <w:pStyle w:val="Compact"/>
              <w:jc w:val="left"/>
            </w:pPr>
            <w:r>
              <w:rPr>
                <w:iCs/>
                <w:i/>
              </w:rPr>
              <w:t xml:space="preserve">NQ Llama, bge-large</w:t>
            </w:r>
          </w:p>
        </w:tc>
      </w:tr>
      <w:tr>
        <w:tc>
          <w:tcPr/>
          <w:p>
            <w:pPr>
              <w:pStyle w:val="Compact"/>
              <w:jc w:val="left"/>
            </w:pPr>
            <w:r>
              <w:t xml:space="preserve">miss</w:t>
            </w:r>
            <w:r>
              <w:t xml:space="preserve"> </w:t>
            </w:r>
            <m:oMath>
              <m:r>
                <m:rPr>
                  <m:sty m:val="p"/>
                </m:rPr>
                <m:t>→</m:t>
              </m:r>
            </m:oMath>
            <w:r>
              <w:t xml:space="preserve"> </w:t>
            </w:r>
            <w:r>
              <w:t xml:space="preserve">hit</w:t>
            </w:r>
          </w:p>
        </w:tc>
        <w:tc>
          <w:tcPr/>
          <w:p>
            <w:pPr>
              <w:pStyle w:val="Compact"/>
              <w:jc w:val="center"/>
            </w:pPr>
            <w:r>
              <w:t xml:space="preserve">406</w:t>
            </w:r>
          </w:p>
        </w:tc>
        <w:tc>
          <w:tcPr/>
          <w:p>
            <w:pPr>
              <w:pStyle w:val="Compact"/>
              <w:jc w:val="center"/>
            </w:pPr>
            <w:r>
              <w:t xml:space="preserve">0.264</w:t>
            </w:r>
          </w:p>
        </w:tc>
        <w:tc>
          <w:tcPr/>
          <w:p>
            <w:pPr>
              <w:pStyle w:val="Compact"/>
              <w:jc w:val="center"/>
            </w:pPr>
            <w:r>
              <w:t xml:space="preserve">0.527</w:t>
            </w:r>
          </w:p>
        </w:tc>
        <w:tc>
          <w:tcPr/>
          <w:p>
            <w:pPr>
              <w:pStyle w:val="Compact"/>
              <w:jc w:val="center"/>
            </w:pPr>
            <w:r>
              <w:t xml:space="preserve">125 / 18</w:t>
            </w:r>
          </w:p>
        </w:tc>
        <w:tc>
          <w:tcPr/>
          <w:p>
            <w:pPr>
              <w:pStyle w:val="Compact"/>
              <w:jc w:val="center"/>
            </w:pPr>
            <w:r>
              <w:t xml:space="preserve">+0.0475</w:t>
            </w:r>
          </w:p>
        </w:tc>
        <w:tc>
          <w:tcPr/>
          <w:p>
            <w:pPr>
              <w:pStyle w:val="Compact"/>
              <w:jc w:val="center"/>
            </w:pPr>
            <w:r>
              <w:t xml:space="preserve">[0.0373, 0.0576]</w:t>
            </w:r>
          </w:p>
        </w:tc>
      </w:tr>
      <w:tr>
        <w:tc>
          <w:tcPr/>
          <w:p>
            <w:pPr>
              <w:pStyle w:val="Compact"/>
              <w:jc w:val="left"/>
            </w:pPr>
            <w:r>
              <w:t xml:space="preserve">hit</w:t>
            </w:r>
            <w:r>
              <w:t xml:space="preserve"> </w:t>
            </w:r>
            <m:oMath>
              <m:r>
                <m:rPr>
                  <m:sty m:val="p"/>
                </m:rPr>
                <m:t>→</m:t>
              </m:r>
            </m:oMath>
            <w:r>
              <w:t xml:space="preserve"> </w:t>
            </w:r>
            <w:r>
              <w:t xml:space="preserve">hit</w:t>
            </w:r>
          </w:p>
        </w:tc>
        <w:tc>
          <w:tcPr/>
          <w:p>
            <w:pPr>
              <w:pStyle w:val="Compact"/>
              <w:jc w:val="center"/>
            </w:pPr>
            <w:r>
              <w:t xml:space="preserve">1,389</w:t>
            </w:r>
          </w:p>
        </w:tc>
        <w:tc>
          <w:tcPr/>
          <w:p>
            <w:pPr>
              <w:pStyle w:val="Compact"/>
              <w:jc w:val="center"/>
            </w:pPr>
            <w:r>
              <w:t xml:space="preserve">0.552</w:t>
            </w:r>
          </w:p>
        </w:tc>
        <w:tc>
          <w:tcPr/>
          <w:p>
            <w:pPr>
              <w:pStyle w:val="Compact"/>
              <w:jc w:val="center"/>
            </w:pPr>
            <w:r>
              <w:t xml:space="preserve">0.534</w:t>
            </w:r>
          </w:p>
        </w:tc>
        <w:tc>
          <w:tcPr/>
          <w:p>
            <w:pPr>
              <w:pStyle w:val="Compact"/>
              <w:jc w:val="center"/>
            </w:pPr>
            <w:r>
              <w:t xml:space="preserve">64 / 89</w:t>
            </w:r>
          </w:p>
        </w:tc>
        <w:tc>
          <w:tcPr/>
          <w:p>
            <w:pPr>
              <w:pStyle w:val="Compact"/>
              <w:jc w:val="center"/>
            </w:pPr>
            <w:r>
              <w:t xml:space="preserve">−0.0111</w:t>
            </w:r>
          </w:p>
        </w:tc>
        <w:tc>
          <w:tcPr/>
          <w:p>
            <w:pPr>
              <w:pStyle w:val="Compact"/>
              <w:jc w:val="center"/>
            </w:pPr>
            <w:r>
              <w:t xml:space="preserve">[−0.0217, −0.0004]</w:t>
            </w:r>
          </w:p>
        </w:tc>
      </w:tr>
      <w:tr>
        <w:tc>
          <w:tcPr/>
          <w:p>
            <w:pPr>
              <w:pStyle w:val="Compact"/>
              <w:jc w:val="left"/>
            </w:pPr>
            <w:r>
              <w:t xml:space="preserve">hit</w:t>
            </w:r>
            <w:r>
              <w:t xml:space="preserve"> </w:t>
            </w:r>
            <m:oMath>
              <m:r>
                <m:rPr>
                  <m:sty m:val="p"/>
                </m:rPr>
                <m:t>→</m:t>
              </m:r>
            </m:oMath>
            <w:r>
              <w:t xml:space="preserve"> </w:t>
            </w:r>
            <w:r>
              <w:t xml:space="preserve">miss</w:t>
            </w:r>
          </w:p>
        </w:tc>
        <w:tc>
          <w:tcPr/>
          <w:p>
            <w:pPr>
              <w:pStyle w:val="Compact"/>
              <w:jc w:val="center"/>
            </w:pPr>
            <w:r>
              <w:t xml:space="preserve">108</w:t>
            </w:r>
          </w:p>
        </w:tc>
        <w:tc>
          <w:tcPr/>
          <w:p>
            <w:pPr>
              <w:pStyle w:val="Compact"/>
              <w:jc w:val="center"/>
            </w:pPr>
            <w:r>
              <w:t xml:space="preserve">0.583</w:t>
            </w:r>
          </w:p>
        </w:tc>
        <w:tc>
          <w:tcPr/>
          <w:p>
            <w:pPr>
              <w:pStyle w:val="Compact"/>
              <w:jc w:val="center"/>
            </w:pPr>
            <w:r>
              <w:t xml:space="preserve">0.287</w:t>
            </w:r>
          </w:p>
        </w:tc>
        <w:tc>
          <w:tcPr/>
          <w:p>
            <w:pPr>
              <w:pStyle w:val="Compact"/>
              <w:jc w:val="center"/>
            </w:pPr>
            <w:r>
              <w:t xml:space="preserve">4 / 36</w:t>
            </w:r>
          </w:p>
        </w:tc>
        <w:tc>
          <w:tcPr/>
          <w:p>
            <w:pPr>
              <w:pStyle w:val="Compact"/>
              <w:jc w:val="center"/>
            </w:pPr>
            <w:r>
              <w:t xml:space="preserve">−0.0142</w:t>
            </w:r>
          </w:p>
        </w:tc>
        <w:tc>
          <w:tcPr/>
          <w:p>
            <w:pPr>
              <w:pStyle w:val="Compact"/>
              <w:jc w:val="center"/>
            </w:pPr>
            <w:r>
              <w:t xml:space="preserve">[−0.0195, −0.0089]</w:t>
            </w:r>
          </w:p>
        </w:tc>
      </w:tr>
      <w:tr>
        <w:tc>
          <w:tcPr/>
          <w:p>
            <w:pPr>
              <w:pStyle w:val="Compact"/>
              <w:jc w:val="left"/>
            </w:pPr>
            <w:r>
              <w:t xml:space="preserve">miss</w:t>
            </w:r>
            <w:r>
              <w:t xml:space="preserve"> </w:t>
            </w:r>
            <m:oMath>
              <m:r>
                <m:rPr>
                  <m:sty m:val="p"/>
                </m:rPr>
                <m:t>→</m:t>
              </m:r>
            </m:oMath>
            <w:r>
              <w:t xml:space="preserve"> </w:t>
            </w:r>
            <w:r>
              <w:t xml:space="preserve">miss</w:t>
            </w:r>
          </w:p>
        </w:tc>
        <w:tc>
          <w:tcPr/>
          <w:p>
            <w:pPr>
              <w:pStyle w:val="Compact"/>
              <w:jc w:val="center"/>
            </w:pPr>
            <w:r>
              <w:t xml:space="preserve">352</w:t>
            </w:r>
          </w:p>
        </w:tc>
        <w:tc>
          <w:tcPr/>
          <w:p>
            <w:pPr>
              <w:pStyle w:val="Compact"/>
              <w:jc w:val="center"/>
            </w:pPr>
            <w:r>
              <w:t xml:space="preserve">0.207</w:t>
            </w:r>
          </w:p>
        </w:tc>
        <w:tc>
          <w:tcPr/>
          <w:p>
            <w:pPr>
              <w:pStyle w:val="Compact"/>
              <w:jc w:val="center"/>
            </w:pPr>
            <w:r>
              <w:t xml:space="preserve">0.199</w:t>
            </w:r>
          </w:p>
        </w:tc>
        <w:tc>
          <w:tcPr/>
          <w:p>
            <w:pPr>
              <w:pStyle w:val="Compact"/>
              <w:jc w:val="center"/>
            </w:pPr>
            <w:r>
              <w:t xml:space="preserve">20 / 23</w:t>
            </w:r>
          </w:p>
        </w:tc>
        <w:tc>
          <w:tcPr/>
          <w:p>
            <w:pPr>
              <w:pStyle w:val="Compact"/>
              <w:jc w:val="center"/>
            </w:pPr>
            <w:r>
              <w:t xml:space="preserve">−0.0013</w:t>
            </w:r>
          </w:p>
        </w:tc>
        <w:tc>
          <w:tcPr/>
          <w:p>
            <w:pPr>
              <w:pStyle w:val="Compact"/>
              <w:jc w:val="center"/>
            </w:pPr>
            <w:r>
              <w:t xml:space="preserve">[−0.0071, 0.0044]</w:t>
            </w:r>
          </w:p>
        </w:tc>
      </w:tr>
      <w:tr>
        <w:tc>
          <w:tcPr>
            <w:gridSpan w:val="7"/>
          </w:tcPr>
          <w:p>
            <w:pPr>
              <w:pStyle w:val="Compact"/>
              <w:jc w:val="left"/>
            </w:pPr>
            <w:r>
              <w:rPr>
                <w:iCs/>
                <w:i/>
              </w:rPr>
              <w:t xml:space="preserve">NQ Llama, e5-base-v2</w:t>
            </w:r>
          </w:p>
        </w:tc>
      </w:tr>
      <w:tr>
        <w:tc>
          <w:tcPr/>
          <w:p>
            <w:pPr>
              <w:pStyle w:val="Compact"/>
              <w:jc w:val="left"/>
            </w:pPr>
            <w:r>
              <w:t xml:space="preserve">miss</w:t>
            </w:r>
            <w:r>
              <w:t xml:space="preserve"> </w:t>
            </w:r>
            <m:oMath>
              <m:r>
                <m:rPr>
                  <m:sty m:val="p"/>
                </m:rPr>
                <m:t>→</m:t>
              </m:r>
            </m:oMath>
            <w:r>
              <w:t xml:space="preserve"> </w:t>
            </w:r>
            <w:r>
              <w:t xml:space="preserve">hit</w:t>
            </w:r>
          </w:p>
        </w:tc>
        <w:tc>
          <w:tcPr/>
          <w:p>
            <w:pPr>
              <w:pStyle w:val="Compact"/>
              <w:jc w:val="center"/>
            </w:pPr>
            <w:r>
              <w:t xml:space="preserve">436</w:t>
            </w:r>
          </w:p>
        </w:tc>
        <w:tc>
          <w:tcPr/>
          <w:p>
            <w:pPr>
              <w:pStyle w:val="Compact"/>
              <w:jc w:val="center"/>
            </w:pPr>
            <w:r>
              <w:t xml:space="preserve">0.268</w:t>
            </w:r>
          </w:p>
        </w:tc>
        <w:tc>
          <w:tcPr/>
          <w:p>
            <w:pPr>
              <w:pStyle w:val="Compact"/>
              <w:jc w:val="center"/>
            </w:pPr>
            <w:r>
              <w:t xml:space="preserve">0.525</w:t>
            </w:r>
          </w:p>
        </w:tc>
        <w:tc>
          <w:tcPr/>
          <w:p>
            <w:pPr>
              <w:pStyle w:val="Compact"/>
              <w:jc w:val="center"/>
            </w:pPr>
            <w:r>
              <w:t xml:space="preserve">133 / 21</w:t>
            </w:r>
          </w:p>
        </w:tc>
        <w:tc>
          <w:tcPr/>
          <w:p>
            <w:pPr>
              <w:pStyle w:val="Compact"/>
              <w:jc w:val="center"/>
            </w:pPr>
            <w:r>
              <w:t xml:space="preserve">+0.0497</w:t>
            </w:r>
          </w:p>
        </w:tc>
        <w:tc>
          <w:tcPr/>
          <w:p>
            <w:pPr>
              <w:pStyle w:val="Compact"/>
              <w:jc w:val="center"/>
            </w:pPr>
            <w:r>
              <w:t xml:space="preserve">[0.0390, 0.0603]</w:t>
            </w:r>
          </w:p>
        </w:tc>
      </w:tr>
      <w:tr>
        <w:tc>
          <w:tcPr/>
          <w:p>
            <w:pPr>
              <w:pStyle w:val="Compact"/>
              <w:jc w:val="left"/>
            </w:pPr>
            <w:r>
              <w:t xml:space="preserve">hit</w:t>
            </w:r>
            <w:r>
              <w:t xml:space="preserve"> </w:t>
            </w:r>
            <m:oMath>
              <m:r>
                <m:rPr>
                  <m:sty m:val="p"/>
                </m:rPr>
                <m:t>→</m:t>
              </m:r>
            </m:oMath>
            <w:r>
              <w:t xml:space="preserve"> </w:t>
            </w:r>
            <w:r>
              <w:t xml:space="preserve">hit</w:t>
            </w:r>
          </w:p>
        </w:tc>
        <w:tc>
          <w:tcPr/>
          <w:p>
            <w:pPr>
              <w:pStyle w:val="Compact"/>
              <w:jc w:val="center"/>
            </w:pPr>
            <w:r>
              <w:t xml:space="preserve">1,405</w:t>
            </w:r>
          </w:p>
        </w:tc>
        <w:tc>
          <w:tcPr/>
          <w:p>
            <w:pPr>
              <w:pStyle w:val="Compact"/>
              <w:jc w:val="center"/>
            </w:pPr>
            <w:r>
              <w:t xml:space="preserve">0.559</w:t>
            </w:r>
          </w:p>
        </w:tc>
        <w:tc>
          <w:tcPr/>
          <w:p>
            <w:pPr>
              <w:pStyle w:val="Compact"/>
              <w:jc w:val="center"/>
            </w:pPr>
            <w:r>
              <w:t xml:space="preserve">0.525</w:t>
            </w:r>
          </w:p>
        </w:tc>
        <w:tc>
          <w:tcPr/>
          <w:p>
            <w:pPr>
              <w:pStyle w:val="Compact"/>
              <w:jc w:val="center"/>
            </w:pPr>
            <w:r>
              <w:t xml:space="preserve">52 / 100</w:t>
            </w:r>
          </w:p>
        </w:tc>
        <w:tc>
          <w:tcPr/>
          <w:p>
            <w:pPr>
              <w:pStyle w:val="Compact"/>
              <w:jc w:val="center"/>
            </w:pPr>
            <w:r>
              <w:t xml:space="preserve">−0.0213</w:t>
            </w:r>
          </w:p>
        </w:tc>
        <w:tc>
          <w:tcPr/>
          <w:p>
            <w:pPr>
              <w:pStyle w:val="Compact"/>
              <w:jc w:val="center"/>
            </w:pPr>
            <w:r>
              <w:t xml:space="preserve">[−0.0319, −0.0111]</w:t>
            </w:r>
          </w:p>
        </w:tc>
      </w:tr>
      <w:tr>
        <w:tc>
          <w:tcPr/>
          <w:p>
            <w:pPr>
              <w:pStyle w:val="Compact"/>
              <w:jc w:val="left"/>
            </w:pPr>
            <w:r>
              <w:t xml:space="preserve">hit</w:t>
            </w:r>
            <w:r>
              <w:t xml:space="preserve"> </w:t>
            </w:r>
            <m:oMath>
              <m:r>
                <m:rPr>
                  <m:sty m:val="p"/>
                </m:rPr>
                <m:t>→</m:t>
              </m:r>
            </m:oMath>
            <w:r>
              <w:t xml:space="preserve"> </w:t>
            </w:r>
            <w:r>
              <w:t xml:space="preserve">miss</w:t>
            </w:r>
          </w:p>
        </w:tc>
        <w:tc>
          <w:tcPr/>
          <w:p>
            <w:pPr>
              <w:pStyle w:val="Compact"/>
              <w:jc w:val="center"/>
            </w:pPr>
            <w:r>
              <w:t xml:space="preserve">92</w:t>
            </w:r>
          </w:p>
        </w:tc>
        <w:tc>
          <w:tcPr/>
          <w:p>
            <w:pPr>
              <w:pStyle w:val="Compact"/>
              <w:jc w:val="center"/>
            </w:pPr>
            <w:r>
              <w:t xml:space="preserve">0.478</w:t>
            </w:r>
          </w:p>
        </w:tc>
        <w:tc>
          <w:tcPr/>
          <w:p>
            <w:pPr>
              <w:pStyle w:val="Compact"/>
              <w:jc w:val="center"/>
            </w:pPr>
            <w:r>
              <w:t xml:space="preserve">0.315</w:t>
            </w:r>
          </w:p>
        </w:tc>
        <w:tc>
          <w:tcPr/>
          <w:p>
            <w:pPr>
              <w:pStyle w:val="Compact"/>
              <w:jc w:val="center"/>
            </w:pPr>
            <w:r>
              <w:t xml:space="preserve">5 / 20</w:t>
            </w:r>
          </w:p>
        </w:tc>
        <w:tc>
          <w:tcPr/>
          <w:p>
            <w:pPr>
              <w:pStyle w:val="Compact"/>
              <w:jc w:val="center"/>
            </w:pPr>
            <w:r>
              <w:t xml:space="preserve">−0.0067</w:t>
            </w:r>
          </w:p>
        </w:tc>
        <w:tc>
          <w:tcPr/>
          <w:p>
            <w:pPr>
              <w:pStyle w:val="Compact"/>
              <w:jc w:val="center"/>
            </w:pPr>
            <w:r>
              <w:t xml:space="preserve">[−0.0111, −0.0022]</w:t>
            </w:r>
          </w:p>
        </w:tc>
      </w:tr>
      <w:tr>
        <w:tc>
          <w:tcPr/>
          <w:p>
            <w:pPr>
              <w:pStyle w:val="Compact"/>
              <w:jc w:val="left"/>
            </w:pPr>
            <w:r>
              <w:t xml:space="preserve">miss</w:t>
            </w:r>
            <w:r>
              <w:t xml:space="preserve"> </w:t>
            </w:r>
            <m:oMath>
              <m:r>
                <m:rPr>
                  <m:sty m:val="p"/>
                </m:rPr>
                <m:t>→</m:t>
              </m:r>
            </m:oMath>
            <w:r>
              <w:t xml:space="preserve"> </w:t>
            </w:r>
            <w:r>
              <w:t xml:space="preserve">miss</w:t>
            </w:r>
          </w:p>
        </w:tc>
        <w:tc>
          <w:tcPr/>
          <w:p>
            <w:pPr>
              <w:pStyle w:val="Compact"/>
              <w:jc w:val="center"/>
            </w:pPr>
            <w:r>
              <w:t xml:space="preserve">322</w:t>
            </w:r>
          </w:p>
        </w:tc>
        <w:tc>
          <w:tcPr/>
          <w:p>
            <w:pPr>
              <w:pStyle w:val="Compact"/>
              <w:jc w:val="center"/>
            </w:pPr>
            <w:r>
              <w:t xml:space="preserve">0.196</w:t>
            </w:r>
          </w:p>
        </w:tc>
        <w:tc>
          <w:tcPr/>
          <w:p>
            <w:pPr>
              <w:pStyle w:val="Compact"/>
              <w:jc w:val="center"/>
            </w:pPr>
            <w:r>
              <w:t xml:space="preserve">0.214</w:t>
            </w:r>
          </w:p>
        </w:tc>
        <w:tc>
          <w:tcPr/>
          <w:p>
            <w:pPr>
              <w:pStyle w:val="Compact"/>
              <w:jc w:val="center"/>
            </w:pPr>
            <w:r>
              <w:t xml:space="preserve">22 / 16</w:t>
            </w:r>
          </w:p>
        </w:tc>
        <w:tc>
          <w:tcPr/>
          <w:p>
            <w:pPr>
              <w:pStyle w:val="Compact"/>
              <w:jc w:val="center"/>
            </w:pPr>
            <w:r>
              <w:t xml:space="preserve">+0.0027</w:t>
            </w:r>
          </w:p>
        </w:tc>
        <w:tc>
          <w:tcPr/>
          <w:p>
            <w:pPr>
              <w:pStyle w:val="Compact"/>
              <w:jc w:val="center"/>
            </w:pPr>
            <w:r>
              <w:t xml:space="preserve">[−0.0027, 0.0080]</w:t>
            </w:r>
          </w:p>
        </w:tc>
      </w:tr>
      <w:tr>
        <w:tc>
          <w:tcPr>
            <w:gridSpan w:val="7"/>
          </w:tcPr>
          <w:p>
            <w:pPr>
              <w:pStyle w:val="Compact"/>
              <w:jc w:val="left"/>
            </w:pPr>
            <w:r>
              <w:rPr>
                <w:iCs/>
                <w:i/>
              </w:rPr>
              <w:t xml:space="preserve">HotpotQA Qwen, bge-large</w:t>
            </w:r>
          </w:p>
        </w:tc>
      </w:tr>
      <w:tr>
        <w:tc>
          <w:tcPr/>
          <w:p>
            <w:pPr>
              <w:pStyle w:val="Compact"/>
              <w:jc w:val="left"/>
            </w:pPr>
            <w:r>
              <w:t xml:space="preserve">miss</w:t>
            </w:r>
            <w:r>
              <w:t xml:space="preserve"> </w:t>
            </w:r>
            <m:oMath>
              <m:r>
                <m:rPr>
                  <m:sty m:val="p"/>
                </m:rPr>
                <m:t>→</m:t>
              </m:r>
            </m:oMath>
            <w:r>
              <w:t xml:space="preserve"> </w:t>
            </w:r>
            <w:r>
              <w:t xml:space="preserve">hit</w:t>
            </w:r>
          </w:p>
        </w:tc>
        <w:tc>
          <w:tcPr/>
          <w:p>
            <w:pPr>
              <w:pStyle w:val="Compact"/>
              <w:jc w:val="center"/>
            </w:pPr>
            <w:r>
              <w:t xml:space="preserve">307</w:t>
            </w:r>
          </w:p>
        </w:tc>
        <w:tc>
          <w:tcPr/>
          <w:p>
            <w:pPr>
              <w:pStyle w:val="Compact"/>
              <w:jc w:val="center"/>
            </w:pPr>
            <w:r>
              <w:t xml:space="preserve">0.098</w:t>
            </w:r>
          </w:p>
        </w:tc>
        <w:tc>
          <w:tcPr/>
          <w:p>
            <w:pPr>
              <w:pStyle w:val="Compact"/>
              <w:jc w:val="center"/>
            </w:pPr>
            <w:r>
              <w:t xml:space="preserve">0.414</w:t>
            </w:r>
          </w:p>
        </w:tc>
        <w:tc>
          <w:tcPr/>
          <w:p>
            <w:pPr>
              <w:pStyle w:val="Compact"/>
              <w:jc w:val="center"/>
            </w:pPr>
            <w:r>
              <w:t xml:space="preserve">106 / 9</w:t>
            </w:r>
          </w:p>
        </w:tc>
        <w:tc>
          <w:tcPr/>
          <w:p>
            <w:pPr>
              <w:pStyle w:val="Compact"/>
              <w:jc w:val="center"/>
            </w:pPr>
            <w:r>
              <w:t xml:space="preserve">+0.0485</w:t>
            </w:r>
          </w:p>
        </w:tc>
        <w:tc>
          <w:tcPr/>
          <w:p>
            <w:pPr>
              <w:pStyle w:val="Compact"/>
              <w:jc w:val="center"/>
            </w:pPr>
            <w:r>
              <w:t xml:space="preserve">[0.0385, 0.0590]</w:t>
            </w:r>
          </w:p>
        </w:tc>
      </w:tr>
      <w:tr>
        <w:tc>
          <w:tcPr/>
          <w:p>
            <w:pPr>
              <w:pStyle w:val="Compact"/>
              <w:jc w:val="left"/>
            </w:pPr>
            <w:r>
              <w:t xml:space="preserve">hit</w:t>
            </w:r>
            <w:r>
              <w:t xml:space="preserve"> </w:t>
            </w:r>
            <m:oMath>
              <m:r>
                <m:rPr>
                  <m:sty m:val="p"/>
                </m:rPr>
                <m:t>→</m:t>
              </m:r>
            </m:oMath>
            <w:r>
              <w:t xml:space="preserve"> </w:t>
            </w:r>
            <w:r>
              <w:t xml:space="preserve">hit</w:t>
            </w:r>
          </w:p>
        </w:tc>
        <w:tc>
          <w:tcPr/>
          <w:p>
            <w:pPr>
              <w:pStyle w:val="Compact"/>
              <w:jc w:val="center"/>
            </w:pPr>
            <w:r>
              <w:t xml:space="preserve">1,614</w:t>
            </w:r>
          </w:p>
        </w:tc>
        <w:tc>
          <w:tcPr/>
          <w:p>
            <w:pPr>
              <w:pStyle w:val="Compact"/>
              <w:jc w:val="center"/>
            </w:pPr>
            <w:r>
              <w:t xml:space="preserve">0.352</w:t>
            </w:r>
          </w:p>
        </w:tc>
        <w:tc>
          <w:tcPr/>
          <w:p>
            <w:pPr>
              <w:pStyle w:val="Compact"/>
              <w:jc w:val="center"/>
            </w:pPr>
            <w:r>
              <w:t xml:space="preserve">0.443</w:t>
            </w:r>
          </w:p>
        </w:tc>
        <w:tc>
          <w:tcPr/>
          <w:p>
            <w:pPr>
              <w:pStyle w:val="Compact"/>
              <w:jc w:val="center"/>
            </w:pPr>
            <w:r>
              <w:t xml:space="preserve">225 / 79</w:t>
            </w:r>
          </w:p>
        </w:tc>
        <w:tc>
          <w:tcPr/>
          <w:p>
            <w:pPr>
              <w:pStyle w:val="Compact"/>
              <w:jc w:val="center"/>
            </w:pPr>
            <w:r>
              <w:t xml:space="preserve">+0.0730</w:t>
            </w:r>
          </w:p>
        </w:tc>
        <w:tc>
          <w:tcPr/>
          <w:p>
            <w:pPr>
              <w:pStyle w:val="Compact"/>
              <w:jc w:val="center"/>
            </w:pPr>
            <w:r>
              <w:t xml:space="preserve">[0.0565, 0.0900]</w:t>
            </w:r>
          </w:p>
        </w:tc>
      </w:tr>
      <w:tr>
        <w:tc>
          <w:tcPr/>
          <w:p>
            <w:pPr>
              <w:pStyle w:val="Compact"/>
              <w:jc w:val="left"/>
            </w:pPr>
            <w:r>
              <w:t xml:space="preserve">hit</w:t>
            </w:r>
            <w:r>
              <w:t xml:space="preserve"> </w:t>
            </w:r>
            <m:oMath>
              <m:r>
                <m:rPr>
                  <m:sty m:val="p"/>
                </m:rPr>
                <m:t>→</m:t>
              </m:r>
            </m:oMath>
            <w:r>
              <w:t xml:space="preserve"> </w:t>
            </w:r>
            <w:r>
              <w:t xml:space="preserve">miss</w:t>
            </w:r>
          </w:p>
        </w:tc>
        <w:tc>
          <w:tcPr/>
          <w:p>
            <w:pPr>
              <w:pStyle w:val="Compact"/>
              <w:jc w:val="center"/>
            </w:pPr>
            <w:r>
              <w:t xml:space="preserve">20</w:t>
            </w:r>
          </w:p>
        </w:tc>
        <w:tc>
          <w:tcPr/>
          <w:p>
            <w:pPr>
              <w:pStyle w:val="Compact"/>
              <w:jc w:val="center"/>
            </w:pPr>
            <w:r>
              <w:t xml:space="preserve">0.150</w:t>
            </w:r>
          </w:p>
        </w:tc>
        <w:tc>
          <w:tcPr/>
          <w:p>
            <w:pPr>
              <w:pStyle w:val="Compact"/>
              <w:jc w:val="center"/>
            </w:pPr>
            <w:r>
              <w:t xml:space="preserve">0.000</w:t>
            </w:r>
          </w:p>
        </w:tc>
        <w:tc>
          <w:tcPr/>
          <w:p>
            <w:pPr>
              <w:pStyle w:val="Compact"/>
              <w:jc w:val="center"/>
            </w:pPr>
            <w:r>
              <w:t xml:space="preserve">0 / 3</w:t>
            </w:r>
          </w:p>
        </w:tc>
        <w:tc>
          <w:tcPr/>
          <w:p>
            <w:pPr>
              <w:pStyle w:val="Compact"/>
              <w:jc w:val="center"/>
            </w:pPr>
            <w:r>
              <w:t xml:space="preserve">−0.0015</w:t>
            </w:r>
          </w:p>
        </w:tc>
        <w:tc>
          <w:tcPr/>
          <w:p>
            <w:pPr>
              <w:pStyle w:val="Compact"/>
              <w:jc w:val="center"/>
            </w:pPr>
            <w:r>
              <w:t xml:space="preserve">[−0.0035, 0.0000]</w:t>
            </w:r>
          </w:p>
        </w:tc>
      </w:tr>
      <w:tr>
        <w:tc>
          <w:tcPr/>
          <w:p>
            <w:pPr>
              <w:pStyle w:val="Compact"/>
              <w:jc w:val="left"/>
            </w:pPr>
            <w:r>
              <w:t xml:space="preserve">miss</w:t>
            </w:r>
            <w:r>
              <w:t xml:space="preserve"> </w:t>
            </w:r>
            <m:oMath>
              <m:r>
                <m:rPr>
                  <m:sty m:val="p"/>
                </m:rPr>
                <m:t>→</m:t>
              </m:r>
            </m:oMath>
            <w:r>
              <w:t xml:space="preserve"> </w:t>
            </w:r>
            <w:r>
              <w:t xml:space="preserve">miss</w:t>
            </w:r>
          </w:p>
        </w:tc>
        <w:tc>
          <w:tcPr/>
          <w:p>
            <w:pPr>
              <w:pStyle w:val="Compact"/>
              <w:jc w:val="center"/>
            </w:pPr>
            <w:r>
              <w:t xml:space="preserve">59</w:t>
            </w:r>
          </w:p>
        </w:tc>
        <w:tc>
          <w:tcPr/>
          <w:p>
            <w:pPr>
              <w:pStyle w:val="Compact"/>
              <w:jc w:val="center"/>
            </w:pPr>
            <w:r>
              <w:t xml:space="preserve">0.102</w:t>
            </w:r>
          </w:p>
        </w:tc>
        <w:tc>
          <w:tcPr/>
          <w:p>
            <w:pPr>
              <w:pStyle w:val="Compact"/>
              <w:jc w:val="center"/>
            </w:pPr>
            <w:r>
              <w:t xml:space="preserve">0.102</w:t>
            </w:r>
          </w:p>
        </w:tc>
        <w:tc>
          <w:tcPr/>
          <w:p>
            <w:pPr>
              <w:pStyle w:val="Compact"/>
              <w:jc w:val="center"/>
            </w:pPr>
            <w:r>
              <w:t xml:space="preserve">1 / 1</w:t>
            </w:r>
          </w:p>
        </w:tc>
        <w:tc>
          <w:tcPr/>
          <w:p>
            <w:pPr>
              <w:pStyle w:val="Compact"/>
              <w:jc w:val="center"/>
            </w:pPr>
            <w:r>
              <w:t xml:space="preserve">+0.0000</w:t>
            </w:r>
          </w:p>
        </w:tc>
        <w:tc>
          <w:tcPr/>
          <w:p>
            <w:pPr>
              <w:pStyle w:val="Compact"/>
              <w:jc w:val="center"/>
            </w:pPr>
            <w:r>
              <w:t xml:space="preserve">[−0.0015, 0.0015]</w:t>
            </w:r>
          </w:p>
        </w:tc>
      </w:tr>
      <w:tr>
        <w:tc>
          <w:tcPr>
            <w:gridSpan w:val="7"/>
          </w:tcPr>
          <w:p>
            <w:pPr>
              <w:pStyle w:val="Compact"/>
              <w:jc w:val="left"/>
            </w:pPr>
            <w:r>
              <w:rPr>
                <w:iCs/>
                <w:i/>
              </w:rPr>
              <w:t xml:space="preserve">HotpotQA Qwen, e5-base-v2</w:t>
            </w:r>
          </w:p>
        </w:tc>
      </w:tr>
      <w:tr>
        <w:tc>
          <w:tcPr/>
          <w:p>
            <w:pPr>
              <w:pStyle w:val="Compact"/>
              <w:jc w:val="left"/>
            </w:pPr>
            <w:r>
              <w:t xml:space="preserve">miss</w:t>
            </w:r>
            <w:r>
              <w:t xml:space="preserve"> </w:t>
            </w:r>
            <m:oMath>
              <m:r>
                <m:rPr>
                  <m:sty m:val="p"/>
                </m:rPr>
                <m:t>→</m:t>
              </m:r>
            </m:oMath>
            <w:r>
              <w:t xml:space="preserve"> </w:t>
            </w:r>
            <w:r>
              <w:t xml:space="preserve">hit</w:t>
            </w:r>
          </w:p>
        </w:tc>
        <w:tc>
          <w:tcPr/>
          <w:p>
            <w:pPr>
              <w:pStyle w:val="Compact"/>
              <w:jc w:val="center"/>
            </w:pPr>
            <w:r>
              <w:t xml:space="preserve">290</w:t>
            </w:r>
          </w:p>
        </w:tc>
        <w:tc>
          <w:tcPr/>
          <w:p>
            <w:pPr>
              <w:pStyle w:val="Compact"/>
              <w:jc w:val="center"/>
            </w:pPr>
            <w:r>
              <w:t xml:space="preserve">0.107</w:t>
            </w:r>
          </w:p>
        </w:tc>
        <w:tc>
          <w:tcPr/>
          <w:p>
            <w:pPr>
              <w:pStyle w:val="Compact"/>
              <w:jc w:val="center"/>
            </w:pPr>
            <w:r>
              <w:t xml:space="preserve">0.383</w:t>
            </w:r>
          </w:p>
        </w:tc>
        <w:tc>
          <w:tcPr/>
          <w:p>
            <w:pPr>
              <w:pStyle w:val="Compact"/>
              <w:jc w:val="center"/>
            </w:pPr>
            <w:r>
              <w:t xml:space="preserve">85 / 5</w:t>
            </w:r>
          </w:p>
        </w:tc>
        <w:tc>
          <w:tcPr/>
          <w:p>
            <w:pPr>
              <w:pStyle w:val="Compact"/>
              <w:jc w:val="center"/>
            </w:pPr>
            <w:r>
              <w:t xml:space="preserve">+0.0400</w:t>
            </w:r>
          </w:p>
        </w:tc>
        <w:tc>
          <w:tcPr/>
          <w:p>
            <w:pPr>
              <w:pStyle w:val="Compact"/>
              <w:jc w:val="center"/>
            </w:pPr>
            <w:r>
              <w:t xml:space="preserve">[0.0310, 0.0495]</w:t>
            </w:r>
          </w:p>
        </w:tc>
      </w:tr>
      <w:tr>
        <w:tc>
          <w:tcPr/>
          <w:p>
            <w:pPr>
              <w:pStyle w:val="Compact"/>
              <w:jc w:val="left"/>
            </w:pPr>
            <w:r>
              <w:t xml:space="preserve">hit</w:t>
            </w:r>
            <w:r>
              <w:t xml:space="preserve"> </w:t>
            </w:r>
            <m:oMath>
              <m:r>
                <m:rPr>
                  <m:sty m:val="p"/>
                </m:rPr>
                <m:t>→</m:t>
              </m:r>
            </m:oMath>
            <w:r>
              <w:t xml:space="preserve"> </w:t>
            </w:r>
            <w:r>
              <w:t xml:space="preserve">hit</w:t>
            </w:r>
          </w:p>
        </w:tc>
        <w:tc>
          <w:tcPr/>
          <w:p>
            <w:pPr>
              <w:pStyle w:val="Compact"/>
              <w:jc w:val="center"/>
            </w:pPr>
            <w:r>
              <w:t xml:space="preserve">1,611</w:t>
            </w:r>
          </w:p>
        </w:tc>
        <w:tc>
          <w:tcPr/>
          <w:p>
            <w:pPr>
              <w:pStyle w:val="Compact"/>
              <w:jc w:val="center"/>
            </w:pPr>
            <w:r>
              <w:t xml:space="preserve">0.354</w:t>
            </w:r>
          </w:p>
        </w:tc>
        <w:tc>
          <w:tcPr/>
          <w:p>
            <w:pPr>
              <w:pStyle w:val="Compact"/>
              <w:jc w:val="center"/>
            </w:pPr>
            <w:r>
              <w:t xml:space="preserve">0.421</w:t>
            </w:r>
          </w:p>
        </w:tc>
        <w:tc>
          <w:tcPr/>
          <w:p>
            <w:pPr>
              <w:pStyle w:val="Compact"/>
              <w:jc w:val="center"/>
            </w:pPr>
            <w:r>
              <w:t xml:space="preserve">196 / 88</w:t>
            </w:r>
          </w:p>
        </w:tc>
        <w:tc>
          <w:tcPr/>
          <w:p>
            <w:pPr>
              <w:pStyle w:val="Compact"/>
              <w:jc w:val="center"/>
            </w:pPr>
            <w:r>
              <w:t xml:space="preserve">+0.0540</w:t>
            </w:r>
          </w:p>
        </w:tc>
        <w:tc>
          <w:tcPr/>
          <w:p>
            <w:pPr>
              <w:pStyle w:val="Compact"/>
              <w:jc w:val="center"/>
            </w:pPr>
            <w:r>
              <w:t xml:space="preserve">[0.0375, 0.0710]</w:t>
            </w:r>
          </w:p>
        </w:tc>
      </w:tr>
      <w:tr>
        <w:tc>
          <w:tcPr/>
          <w:p>
            <w:pPr>
              <w:pStyle w:val="Compact"/>
              <w:jc w:val="left"/>
            </w:pPr>
            <w:r>
              <w:t xml:space="preserve">hit</w:t>
            </w:r>
            <w:r>
              <w:t xml:space="preserve"> </w:t>
            </w:r>
            <m:oMath>
              <m:r>
                <m:rPr>
                  <m:sty m:val="p"/>
                </m:rPr>
                <m:t>→</m:t>
              </m:r>
            </m:oMath>
            <w:r>
              <w:t xml:space="preserve"> </w:t>
            </w:r>
            <w:r>
              <w:t xml:space="preserve">miss</w:t>
            </w:r>
          </w:p>
        </w:tc>
        <w:tc>
          <w:tcPr/>
          <w:p>
            <w:pPr>
              <w:pStyle w:val="Compact"/>
              <w:jc w:val="center"/>
            </w:pPr>
            <w:r>
              <w:t xml:space="preserve">23</w:t>
            </w:r>
          </w:p>
        </w:tc>
        <w:tc>
          <w:tcPr/>
          <w:p>
            <w:pPr>
              <w:pStyle w:val="Compact"/>
              <w:jc w:val="center"/>
            </w:pPr>
            <w:r>
              <w:t xml:space="preserve">0.087</w:t>
            </w:r>
          </w:p>
        </w:tc>
        <w:tc>
          <w:tcPr/>
          <w:p>
            <w:pPr>
              <w:pStyle w:val="Compact"/>
              <w:jc w:val="center"/>
            </w:pPr>
            <w:r>
              <w:t xml:space="preserve">0.000</w:t>
            </w:r>
          </w:p>
        </w:tc>
        <w:tc>
          <w:tcPr/>
          <w:p>
            <w:pPr>
              <w:pStyle w:val="Compact"/>
              <w:jc w:val="center"/>
            </w:pPr>
            <w:r>
              <w:t xml:space="preserve">0 / 2</w:t>
            </w:r>
          </w:p>
        </w:tc>
        <w:tc>
          <w:tcPr/>
          <w:p>
            <w:pPr>
              <w:pStyle w:val="Compact"/>
              <w:jc w:val="center"/>
            </w:pPr>
            <w:r>
              <w:t xml:space="preserve">−0.0010</w:t>
            </w:r>
          </w:p>
        </w:tc>
        <w:tc>
          <w:tcPr/>
          <w:p>
            <w:pPr>
              <w:pStyle w:val="Compact"/>
              <w:jc w:val="center"/>
            </w:pPr>
            <w:r>
              <w:t xml:space="preserve">[−0.0025, 0.0000]</w:t>
            </w:r>
          </w:p>
        </w:tc>
      </w:tr>
      <w:tr>
        <w:tc>
          <w:tcPr/>
          <w:p>
            <w:pPr>
              <w:pStyle w:val="Compact"/>
              <w:jc w:val="left"/>
            </w:pPr>
            <w:r>
              <w:t xml:space="preserve">miss</w:t>
            </w:r>
            <w:r>
              <w:t xml:space="preserve"> </w:t>
            </w:r>
            <m:oMath>
              <m:r>
                <m:rPr>
                  <m:sty m:val="p"/>
                </m:rPr>
                <m:t>→</m:t>
              </m:r>
            </m:oMath>
            <w:r>
              <w:t xml:space="preserve"> </w:t>
            </w:r>
            <w:r>
              <w:t xml:space="preserve">miss</w:t>
            </w:r>
          </w:p>
        </w:tc>
        <w:tc>
          <w:tcPr/>
          <w:p>
            <w:pPr>
              <w:pStyle w:val="Compact"/>
              <w:jc w:val="center"/>
            </w:pPr>
            <w:r>
              <w:t xml:space="preserve">76</w:t>
            </w:r>
          </w:p>
        </w:tc>
        <w:tc>
          <w:tcPr/>
          <w:p>
            <w:pPr>
              <w:pStyle w:val="Compact"/>
              <w:jc w:val="center"/>
            </w:pPr>
            <w:r>
              <w:t xml:space="preserve">0.066</w:t>
            </w:r>
          </w:p>
        </w:tc>
        <w:tc>
          <w:tcPr/>
          <w:p>
            <w:pPr>
              <w:pStyle w:val="Compact"/>
              <w:jc w:val="center"/>
            </w:pPr>
            <w:r>
              <w:t xml:space="preserve">0.040</w:t>
            </w:r>
          </w:p>
        </w:tc>
        <w:tc>
          <w:tcPr/>
          <w:p>
            <w:pPr>
              <w:pStyle w:val="Compact"/>
              <w:jc w:val="center"/>
            </w:pPr>
            <w:r>
              <w:t xml:space="preserve">0 / 2</w:t>
            </w:r>
          </w:p>
        </w:tc>
        <w:tc>
          <w:tcPr/>
          <w:p>
            <w:pPr>
              <w:pStyle w:val="Compact"/>
              <w:jc w:val="center"/>
            </w:pPr>
            <w:r>
              <w:t xml:space="preserve">−0.0010</w:t>
            </w:r>
          </w:p>
        </w:tc>
        <w:tc>
          <w:tcPr/>
          <w:p>
            <w:pPr>
              <w:pStyle w:val="Compact"/>
              <w:jc w:val="center"/>
            </w:pPr>
            <w:r>
              <w:t xml:space="preserve">[−0.0025, 0.0000]</w:t>
            </w:r>
          </w:p>
        </w:tc>
      </w:tr>
      <w:tr>
        <w:tc>
          <w:tcPr>
            <w:gridSpan w:val="7"/>
          </w:tcPr>
          <w:p>
            <w:pPr>
              <w:pStyle w:val="Compact"/>
              <w:jc w:val="left"/>
            </w:pPr>
            <w:r>
              <w:rPr>
                <w:iCs/>
                <w:i/>
              </w:rPr>
              <w:t xml:space="preserve">HotpotQA Llama, bge-large</w:t>
            </w:r>
          </w:p>
        </w:tc>
      </w:tr>
      <w:tr>
        <w:tc>
          <w:tcPr/>
          <w:p>
            <w:pPr>
              <w:pStyle w:val="Compact"/>
              <w:jc w:val="left"/>
            </w:pPr>
            <w:r>
              <w:t xml:space="preserve">miss</w:t>
            </w:r>
            <w:r>
              <w:t xml:space="preserve"> </w:t>
            </w:r>
            <m:oMath>
              <m:r>
                <m:rPr>
                  <m:sty m:val="p"/>
                </m:rPr>
                <m:t>→</m:t>
              </m:r>
            </m:oMath>
            <w:r>
              <w:t xml:space="preserve"> </w:t>
            </w:r>
            <w:r>
              <w:t xml:space="preserve">hit</w:t>
            </w:r>
          </w:p>
        </w:tc>
        <w:tc>
          <w:tcPr/>
          <w:p>
            <w:pPr>
              <w:pStyle w:val="Compact"/>
              <w:jc w:val="center"/>
            </w:pPr>
            <w:r>
              <w:t xml:space="preserve">307</w:t>
            </w:r>
          </w:p>
        </w:tc>
        <w:tc>
          <w:tcPr/>
          <w:p>
            <w:pPr>
              <w:pStyle w:val="Compact"/>
              <w:jc w:val="center"/>
            </w:pPr>
            <w:r>
              <w:t xml:space="preserve">0.072</w:t>
            </w:r>
          </w:p>
        </w:tc>
        <w:tc>
          <w:tcPr/>
          <w:p>
            <w:pPr>
              <w:pStyle w:val="Compact"/>
              <w:jc w:val="center"/>
            </w:pPr>
            <w:r>
              <w:t xml:space="preserve">0.397</w:t>
            </w:r>
          </w:p>
        </w:tc>
        <w:tc>
          <w:tcPr/>
          <w:p>
            <w:pPr>
              <w:pStyle w:val="Compact"/>
              <w:jc w:val="center"/>
            </w:pPr>
            <w:r>
              <w:t xml:space="preserve">107 / 7</w:t>
            </w:r>
          </w:p>
        </w:tc>
        <w:tc>
          <w:tcPr/>
          <w:p>
            <w:pPr>
              <w:pStyle w:val="Compact"/>
              <w:jc w:val="center"/>
            </w:pPr>
            <w:r>
              <w:t xml:space="preserve">+0.0500</w:t>
            </w:r>
          </w:p>
        </w:tc>
        <w:tc>
          <w:tcPr/>
          <w:p>
            <w:pPr>
              <w:pStyle w:val="Compact"/>
              <w:jc w:val="center"/>
            </w:pPr>
            <w:r>
              <w:t xml:space="preserve">[0.0400, 0.0605]</w:t>
            </w:r>
          </w:p>
        </w:tc>
      </w:tr>
      <w:tr>
        <w:tc>
          <w:tcPr/>
          <w:p>
            <w:pPr>
              <w:pStyle w:val="Compact"/>
              <w:jc w:val="left"/>
            </w:pPr>
            <w:r>
              <w:t xml:space="preserve">hit</w:t>
            </w:r>
            <w:r>
              <w:t xml:space="preserve"> </w:t>
            </w:r>
            <m:oMath>
              <m:r>
                <m:rPr>
                  <m:sty m:val="p"/>
                </m:rPr>
                <m:t>→</m:t>
              </m:r>
            </m:oMath>
            <w:r>
              <w:t xml:space="preserve"> </w:t>
            </w:r>
            <w:r>
              <w:t xml:space="preserve">hit</w:t>
            </w:r>
          </w:p>
        </w:tc>
        <w:tc>
          <w:tcPr/>
          <w:p>
            <w:pPr>
              <w:pStyle w:val="Compact"/>
              <w:jc w:val="center"/>
            </w:pPr>
            <w:r>
              <w:t xml:space="preserve">1,614</w:t>
            </w:r>
          </w:p>
        </w:tc>
        <w:tc>
          <w:tcPr/>
          <w:p>
            <w:pPr>
              <w:pStyle w:val="Compact"/>
              <w:jc w:val="center"/>
            </w:pPr>
            <w:r>
              <w:t xml:space="preserve">0.351</w:t>
            </w:r>
          </w:p>
        </w:tc>
        <w:tc>
          <w:tcPr/>
          <w:p>
            <w:pPr>
              <w:pStyle w:val="Compact"/>
              <w:jc w:val="center"/>
            </w:pPr>
            <w:r>
              <w:t xml:space="preserve">0.455</w:t>
            </w:r>
          </w:p>
        </w:tc>
        <w:tc>
          <w:tcPr/>
          <w:p>
            <w:pPr>
              <w:pStyle w:val="Compact"/>
              <w:jc w:val="center"/>
            </w:pPr>
            <w:r>
              <w:t xml:space="preserve">239 / 72</w:t>
            </w:r>
          </w:p>
        </w:tc>
        <w:tc>
          <w:tcPr/>
          <w:p>
            <w:pPr>
              <w:pStyle w:val="Compact"/>
              <w:jc w:val="center"/>
            </w:pPr>
            <w:r>
              <w:t xml:space="preserve">+0.0835</w:t>
            </w:r>
          </w:p>
        </w:tc>
        <w:tc>
          <w:tcPr/>
          <w:p>
            <w:pPr>
              <w:pStyle w:val="Compact"/>
              <w:jc w:val="center"/>
            </w:pPr>
            <w:r>
              <w:t xml:space="preserve">[0.0665, 0.1005]</w:t>
            </w:r>
          </w:p>
        </w:tc>
      </w:tr>
      <w:tr>
        <w:tc>
          <w:tcPr/>
          <w:p>
            <w:pPr>
              <w:pStyle w:val="Compact"/>
              <w:jc w:val="left"/>
            </w:pPr>
            <w:r>
              <w:t xml:space="preserve">hit</w:t>
            </w:r>
            <w:r>
              <w:t xml:space="preserve"> </w:t>
            </w:r>
            <m:oMath>
              <m:r>
                <m:rPr>
                  <m:sty m:val="p"/>
                </m:rPr>
                <m:t>→</m:t>
              </m:r>
            </m:oMath>
            <w:r>
              <w:t xml:space="preserve"> </w:t>
            </w:r>
            <w:r>
              <w:t xml:space="preserve">miss</w:t>
            </w:r>
          </w:p>
        </w:tc>
        <w:tc>
          <w:tcPr/>
          <w:p>
            <w:pPr>
              <w:pStyle w:val="Compact"/>
              <w:jc w:val="center"/>
            </w:pPr>
            <w:r>
              <w:t xml:space="preserve">20</w:t>
            </w:r>
          </w:p>
        </w:tc>
        <w:tc>
          <w:tcPr/>
          <w:p>
            <w:pPr>
              <w:pStyle w:val="Compact"/>
              <w:jc w:val="center"/>
            </w:pPr>
            <w:r>
              <w:t xml:space="preserve">0.100</w:t>
            </w:r>
          </w:p>
        </w:tc>
        <w:tc>
          <w:tcPr/>
          <w:p>
            <w:pPr>
              <w:pStyle w:val="Compact"/>
              <w:jc w:val="center"/>
            </w:pPr>
            <w:r>
              <w:t xml:space="preserve">0.050</w:t>
            </w:r>
          </w:p>
        </w:tc>
        <w:tc>
          <w:tcPr/>
          <w:p>
            <w:pPr>
              <w:pStyle w:val="Compact"/>
              <w:jc w:val="center"/>
            </w:pPr>
            <w:r>
              <w:t xml:space="preserve">1 / 2</w:t>
            </w:r>
          </w:p>
        </w:tc>
        <w:tc>
          <w:tcPr/>
          <w:p>
            <w:pPr>
              <w:pStyle w:val="Compact"/>
              <w:jc w:val="center"/>
            </w:pPr>
            <w:r>
              <w:t xml:space="preserve">−0.0005</w:t>
            </w:r>
          </w:p>
        </w:tc>
        <w:tc>
          <w:tcPr/>
          <w:p>
            <w:pPr>
              <w:pStyle w:val="Compact"/>
              <w:jc w:val="center"/>
            </w:pPr>
            <w:r>
              <w:t xml:space="preserve">[−0.0025, 0.0010]</w:t>
            </w:r>
          </w:p>
        </w:tc>
      </w:tr>
      <w:tr>
        <w:tc>
          <w:tcPr/>
          <w:p>
            <w:pPr>
              <w:pStyle w:val="Compact"/>
              <w:jc w:val="left"/>
            </w:pPr>
            <w:r>
              <w:t xml:space="preserve">miss</w:t>
            </w:r>
            <w:r>
              <w:t xml:space="preserve"> </w:t>
            </w:r>
            <m:oMath>
              <m:r>
                <m:rPr>
                  <m:sty m:val="p"/>
                </m:rPr>
                <m:t>→</m:t>
              </m:r>
            </m:oMath>
            <w:r>
              <w:t xml:space="preserve"> </w:t>
            </w:r>
            <w:r>
              <w:t xml:space="preserve">miss</w:t>
            </w:r>
          </w:p>
        </w:tc>
        <w:tc>
          <w:tcPr/>
          <w:p>
            <w:pPr>
              <w:pStyle w:val="Compact"/>
              <w:jc w:val="center"/>
            </w:pPr>
            <w:r>
              <w:t xml:space="preserve">59</w:t>
            </w:r>
          </w:p>
        </w:tc>
        <w:tc>
          <w:tcPr/>
          <w:p>
            <w:pPr>
              <w:pStyle w:val="Compact"/>
              <w:jc w:val="center"/>
            </w:pPr>
            <w:r>
              <w:t xml:space="preserve">0.068</w:t>
            </w:r>
          </w:p>
        </w:tc>
        <w:tc>
          <w:tcPr/>
          <w:p>
            <w:pPr>
              <w:pStyle w:val="Compact"/>
              <w:jc w:val="center"/>
            </w:pPr>
            <w:r>
              <w:t xml:space="preserve">0.068</w:t>
            </w:r>
          </w:p>
        </w:tc>
        <w:tc>
          <w:tcPr/>
          <w:p>
            <w:pPr>
              <w:pStyle w:val="Compact"/>
              <w:jc w:val="center"/>
            </w:pPr>
            <w:r>
              <w:t xml:space="preserve">0 / 0</w:t>
            </w:r>
          </w:p>
        </w:tc>
        <w:tc>
          <w:tcPr/>
          <w:p>
            <w:pPr>
              <w:pStyle w:val="Compact"/>
              <w:jc w:val="center"/>
            </w:pPr>
            <w:r>
              <w:t xml:space="preserve">+0.0000</w:t>
            </w:r>
          </w:p>
        </w:tc>
        <w:tc>
          <w:tcPr/>
          <w:p>
            <w:pPr>
              <w:pStyle w:val="Compact"/>
              <w:jc w:val="center"/>
            </w:pPr>
            <w:r>
              <w:t xml:space="preserve">[0.0000, 0.0000]</w:t>
            </w:r>
          </w:p>
        </w:tc>
      </w:tr>
      <w:tr>
        <w:tc>
          <w:tcPr>
            <w:gridSpan w:val="7"/>
          </w:tcPr>
          <w:p>
            <w:pPr>
              <w:pStyle w:val="Compact"/>
              <w:jc w:val="left"/>
            </w:pPr>
            <w:r>
              <w:rPr>
                <w:iCs/>
                <w:i/>
              </w:rPr>
              <w:t xml:space="preserve">HotpotQA Llama, e5-base-v2</w:t>
            </w:r>
          </w:p>
        </w:tc>
      </w:tr>
      <w:tr>
        <w:tc>
          <w:tcPr/>
          <w:p>
            <w:pPr>
              <w:pStyle w:val="Compact"/>
              <w:jc w:val="left"/>
            </w:pPr>
            <w:r>
              <w:t xml:space="preserve">miss</w:t>
            </w:r>
            <w:r>
              <w:t xml:space="preserve"> </w:t>
            </w:r>
            <m:oMath>
              <m:r>
                <m:rPr>
                  <m:sty m:val="p"/>
                </m:rPr>
                <m:t>→</m:t>
              </m:r>
            </m:oMath>
            <w:r>
              <w:t xml:space="preserve"> </w:t>
            </w:r>
            <w:r>
              <w:t xml:space="preserve">hit</w:t>
            </w:r>
          </w:p>
        </w:tc>
        <w:tc>
          <w:tcPr/>
          <w:p>
            <w:pPr>
              <w:pStyle w:val="Compact"/>
              <w:jc w:val="center"/>
            </w:pPr>
            <w:r>
              <w:t xml:space="preserve">290</w:t>
            </w:r>
          </w:p>
        </w:tc>
        <w:tc>
          <w:tcPr/>
          <w:p>
            <w:pPr>
              <w:pStyle w:val="Compact"/>
              <w:jc w:val="center"/>
            </w:pPr>
            <w:r>
              <w:t xml:space="preserve">0.079</w:t>
            </w:r>
          </w:p>
        </w:tc>
        <w:tc>
          <w:tcPr/>
          <w:p>
            <w:pPr>
              <w:pStyle w:val="Compact"/>
              <w:jc w:val="center"/>
            </w:pPr>
            <w:r>
              <w:t xml:space="preserve">0.417</w:t>
            </w:r>
          </w:p>
        </w:tc>
        <w:tc>
          <w:tcPr/>
          <w:p>
            <w:pPr>
              <w:pStyle w:val="Compact"/>
              <w:jc w:val="center"/>
            </w:pPr>
            <w:r>
              <w:t xml:space="preserve">105 / 7</w:t>
            </w:r>
          </w:p>
        </w:tc>
        <w:tc>
          <w:tcPr/>
          <w:p>
            <w:pPr>
              <w:pStyle w:val="Compact"/>
              <w:jc w:val="center"/>
            </w:pPr>
            <w:r>
              <w:t xml:space="preserve">+0.0490</w:t>
            </w:r>
          </w:p>
        </w:tc>
        <w:tc>
          <w:tcPr/>
          <w:p>
            <w:pPr>
              <w:pStyle w:val="Compact"/>
              <w:jc w:val="center"/>
            </w:pPr>
            <w:r>
              <w:t xml:space="preserve">[0.0390, 0.0590]</w:t>
            </w:r>
          </w:p>
        </w:tc>
      </w:tr>
      <w:tr>
        <w:tc>
          <w:tcPr/>
          <w:p>
            <w:pPr>
              <w:pStyle w:val="Compact"/>
              <w:jc w:val="left"/>
            </w:pPr>
            <w:r>
              <w:t xml:space="preserve">hit</w:t>
            </w:r>
            <w:r>
              <w:t xml:space="preserve"> </w:t>
            </w:r>
            <m:oMath>
              <m:r>
                <m:rPr>
                  <m:sty m:val="p"/>
                </m:rPr>
                <m:t>→</m:t>
              </m:r>
            </m:oMath>
            <w:r>
              <w:t xml:space="preserve"> </w:t>
            </w:r>
            <w:r>
              <w:t xml:space="preserve">hit</w:t>
            </w:r>
          </w:p>
        </w:tc>
        <w:tc>
          <w:tcPr/>
          <w:p>
            <w:pPr>
              <w:pStyle w:val="Compact"/>
              <w:jc w:val="center"/>
            </w:pPr>
            <w:r>
              <w:t xml:space="preserve">1,611</w:t>
            </w:r>
          </w:p>
        </w:tc>
        <w:tc>
          <w:tcPr/>
          <w:p>
            <w:pPr>
              <w:pStyle w:val="Compact"/>
              <w:jc w:val="center"/>
            </w:pPr>
            <w:r>
              <w:t xml:space="preserve">0.350</w:t>
            </w:r>
          </w:p>
        </w:tc>
        <w:tc>
          <w:tcPr/>
          <w:p>
            <w:pPr>
              <w:pStyle w:val="Compact"/>
              <w:jc w:val="center"/>
            </w:pPr>
            <w:r>
              <w:t xml:space="preserve">0.429</w:t>
            </w:r>
          </w:p>
        </w:tc>
        <w:tc>
          <w:tcPr/>
          <w:p>
            <w:pPr>
              <w:pStyle w:val="Compact"/>
              <w:jc w:val="center"/>
            </w:pPr>
            <w:r>
              <w:t xml:space="preserve">211 / 83</w:t>
            </w:r>
          </w:p>
        </w:tc>
        <w:tc>
          <w:tcPr/>
          <w:p>
            <w:pPr>
              <w:pStyle w:val="Compact"/>
              <w:jc w:val="center"/>
            </w:pPr>
            <w:r>
              <w:t xml:space="preserve">+0.0640</w:t>
            </w:r>
          </w:p>
        </w:tc>
        <w:tc>
          <w:tcPr/>
          <w:p>
            <w:pPr>
              <w:pStyle w:val="Compact"/>
              <w:jc w:val="center"/>
            </w:pPr>
            <w:r>
              <w:t xml:space="preserve">[0.0475, 0.0805]</w:t>
            </w:r>
          </w:p>
        </w:tc>
      </w:tr>
      <w:tr>
        <w:tc>
          <w:tcPr/>
          <w:p>
            <w:pPr>
              <w:pStyle w:val="Compact"/>
              <w:jc w:val="left"/>
            </w:pPr>
            <w:r>
              <w:t xml:space="preserve">hit</w:t>
            </w:r>
            <w:r>
              <w:t xml:space="preserve"> </w:t>
            </w:r>
            <m:oMath>
              <m:r>
                <m:rPr>
                  <m:sty m:val="p"/>
                </m:rPr>
                <m:t>→</m:t>
              </m:r>
            </m:oMath>
            <w:r>
              <w:t xml:space="preserve"> </w:t>
            </w:r>
            <w:r>
              <w:t xml:space="preserve">miss</w:t>
            </w:r>
          </w:p>
        </w:tc>
        <w:tc>
          <w:tcPr/>
          <w:p>
            <w:pPr>
              <w:pStyle w:val="Compact"/>
              <w:jc w:val="center"/>
            </w:pPr>
            <w:r>
              <w:t xml:space="preserve">23</w:t>
            </w:r>
          </w:p>
        </w:tc>
        <w:tc>
          <w:tcPr/>
          <w:p>
            <w:pPr>
              <w:pStyle w:val="Compact"/>
              <w:jc w:val="center"/>
            </w:pPr>
            <w:r>
              <w:t xml:space="preserve">0.217</w:t>
            </w:r>
          </w:p>
        </w:tc>
        <w:tc>
          <w:tcPr/>
          <w:p>
            <w:pPr>
              <w:pStyle w:val="Compact"/>
              <w:jc w:val="center"/>
            </w:pPr>
            <w:r>
              <w:t xml:space="preserve">0.043</w:t>
            </w:r>
          </w:p>
        </w:tc>
        <w:tc>
          <w:tcPr/>
          <w:p>
            <w:pPr>
              <w:pStyle w:val="Compact"/>
              <w:jc w:val="center"/>
            </w:pPr>
            <w:r>
              <w:t xml:space="preserve">1 / 5</w:t>
            </w:r>
          </w:p>
        </w:tc>
        <w:tc>
          <w:tcPr/>
          <w:p>
            <w:pPr>
              <w:pStyle w:val="Compact"/>
              <w:jc w:val="center"/>
            </w:pPr>
            <w:r>
              <w:t xml:space="preserve">−0.0020</w:t>
            </w:r>
          </w:p>
        </w:tc>
        <w:tc>
          <w:tcPr/>
          <w:p>
            <w:pPr>
              <w:pStyle w:val="Compact"/>
              <w:jc w:val="center"/>
            </w:pPr>
            <w:r>
              <w:t xml:space="preserve">[−0.0045, 0.0000]</w:t>
            </w:r>
          </w:p>
        </w:tc>
      </w:tr>
      <w:tr>
        <w:tc>
          <w:tcPr/>
          <w:p>
            <w:pPr>
              <w:pStyle w:val="Compact"/>
              <w:jc w:val="left"/>
            </w:pPr>
            <w:r>
              <w:t xml:space="preserve">miss</w:t>
            </w:r>
            <w:r>
              <w:t xml:space="preserve"> </w:t>
            </w:r>
            <m:oMath>
              <m:r>
                <m:rPr>
                  <m:sty m:val="p"/>
                </m:rPr>
                <m:t>→</m:t>
              </m:r>
            </m:oMath>
            <w:r>
              <w:t xml:space="preserve"> </w:t>
            </w:r>
            <w:r>
              <w:t xml:space="preserve">miss</w:t>
            </w:r>
          </w:p>
        </w:tc>
        <w:tc>
          <w:tcPr/>
          <w:p>
            <w:pPr>
              <w:pStyle w:val="Compact"/>
              <w:jc w:val="center"/>
            </w:pPr>
            <w:r>
              <w:t xml:space="preserve">76</w:t>
            </w:r>
          </w:p>
        </w:tc>
        <w:tc>
          <w:tcPr/>
          <w:p>
            <w:pPr>
              <w:pStyle w:val="Compact"/>
              <w:jc w:val="center"/>
            </w:pPr>
            <w:r>
              <w:t xml:space="preserve">0.040</w:t>
            </w:r>
          </w:p>
        </w:tc>
        <w:tc>
          <w:tcPr/>
          <w:p>
            <w:pPr>
              <w:pStyle w:val="Compact"/>
              <w:jc w:val="center"/>
            </w:pPr>
            <w:r>
              <w:t xml:space="preserve">0.040</w:t>
            </w:r>
          </w:p>
        </w:tc>
        <w:tc>
          <w:tcPr/>
          <w:p>
            <w:pPr>
              <w:pStyle w:val="Compact"/>
              <w:jc w:val="center"/>
            </w:pPr>
            <w:r>
              <w:t xml:space="preserve">0 / 0</w:t>
            </w:r>
          </w:p>
        </w:tc>
        <w:tc>
          <w:tcPr/>
          <w:p>
            <w:pPr>
              <w:pStyle w:val="Compact"/>
              <w:jc w:val="center"/>
            </w:pPr>
            <w:r>
              <w:t xml:space="preserve">+0.0000</w:t>
            </w:r>
          </w:p>
        </w:tc>
        <w:tc>
          <w:tcPr/>
          <w:p>
            <w:pPr>
              <w:pStyle w:val="Compact"/>
              <w:jc w:val="center"/>
            </w:pPr>
            <w:r>
              <w:t xml:space="preserve">[0.0000, 0.0000]</w:t>
            </w:r>
          </w:p>
        </w:tc>
      </w:tr>
    </w:tbl>
    <w:p>
      <w:pPr>
        <w:pStyle w:val="BodyText"/>
      </w:pPr>
      <w:r>
        <w:rPr>
          <w:iCs/>
          <w:i/>
        </w:rPr>
        <w:t xml:space="preserve">Intervals: percentile bootstrap over queries (</w:t>
      </w:r>
      <m:oMath>
        <m:r>
          <m:t>B</m:t>
        </m:r>
        <m:r>
          <m:rPr>
            <m:sty m:val="p"/>
          </m:rPr>
          <m:t>=</m:t>
        </m:r>
        <m:r>
          <m:t>10</m:t>
        </m:r>
        <m:r>
          <m:rPr>
            <m:sty m:val="p"/>
          </m:rPr>
          <m:t>,</m:t>
        </m:r>
        <m:r>
          <m:t>000</m:t>
        </m:r>
      </m:oMath>
      <w:r>
        <w:rPr>
          <w:iCs/>
          <w:i/>
        </w:rPr>
        <w:t xml:space="preserve">, seed 0); each query keeps its group, so group sizes vary across resamples and the interval is for the group’s contribution to the population EM difference.</w:t>
      </w:r>
    </w:p>
    <w:bookmarkStart w:id="153" w:name="tab:share"/>
    <w:p>
      <w:pPr>
        <w:pStyle w:val="TableCaption"/>
      </w:pPr>
      <w:r>
        <w:t xml:space="preserve">Share of the HotpotQA EM gain over MiniLM-L6 carried by the two conditional terms together (EM among hits and EM among misses; percent), under the baseline-conditioned decomposition of Eq. </w:t>
      </w:r>
      <w:hyperlink w:anchor="eq:decomp">
        <w:r>
          <w:rPr>
            <w:rStyle w:val="Hyperlink"/>
          </w:rPr>
          <w:t xml:space="preserve">[eq:decomp]</w:t>
        </w:r>
      </w:hyperlink>
      <w:r>
        <w:t xml:space="preserve"> </w:t>
      </w:r>
      <w:r>
        <w:t xml:space="preserve">with a 95% bootstrap interval, and under the symmetric decomposition. Post hoc.</w:t>
      </w:r>
    </w:p>
    <w:tbl>
      <w:tblPr>
        <w:tblStyle w:val="Table"/>
        <w:tblW w:type="auto" w:w="0"/>
        <w:tblLook w:firstRow="1" w:lastRow="0" w:firstColumn="0" w:lastColumn="0" w:noHBand="0" w:noVBand="0" w:val="0020"/>
        <w:jc w:val="start"/>
        <w:tblCaption w:val="Share of the HotpotQA EM gain over MiniLM-L6 carried by the two conditional terms together (EM among hits and EM among misses; percent), under the baseline-conditioned decomposition of Eq. [eq:decomp] with a 95% bootstrap interval, and under the symmetric decomposition. Post hoc."/>
      </w:tblPr>
      <w:tblGrid>
        <w:gridCol w:w="1584"/>
        <w:gridCol w:w="1584"/>
        <w:gridCol w:w="1584"/>
        <w:gridCol w:w="1584"/>
        <w:gridCol w:w="1584"/>
      </w:tblGrid>
      <w:tr>
        <w:trPr>
          <w:tblHeader w:val="true"/>
        </w:trPr>
        <w:tc>
          <w:tcPr/>
          <w:p>
            <w:pPr>
              <w:pStyle w:val="Compact"/>
            </w:pPr>
          </w:p>
        </w:tc>
        <w:tc>
          <w:tcPr>
            <w:gridSpan w:val="2"/>
          </w:tcPr>
          <w:p>
            <w:pPr>
              <w:pStyle w:val="Compact"/>
              <w:jc w:val="center"/>
            </w:pPr>
            <w:r>
              <w:t xml:space="preserve">Qwen reader</w:t>
            </w:r>
          </w:p>
        </w:tc>
        <w:tc>
          <w:tcPr>
            <w:gridSpan w:val="2"/>
          </w:tcPr>
          <w:p>
            <w:pPr>
              <w:pStyle w:val="Compact"/>
              <w:jc w:val="center"/>
            </w:pPr>
            <w:r>
              <w:t xml:space="preserve">Llama reader</w:t>
            </w:r>
          </w:p>
        </w:tc>
      </w:tr>
      <w:tr>
        <w:tc>
          <w:tcPr/>
          <w:p>
            <w:pPr>
              <w:pStyle w:val="Compact"/>
              <w:jc w:val="left"/>
            </w:pPr>
            <w:r>
              <w:t xml:space="preserve">2-3</w:t>
            </w:r>
            <w:r>
              <w:t xml:space="preserve">(lr)</w:t>
            </w:r>
            <w:r>
              <w:t xml:space="preserve">4-5</w:t>
            </w:r>
            <w:r>
              <w:t xml:space="preserve"> </w:t>
            </w:r>
            <w:r>
              <w:t xml:space="preserve">Encoder</w:t>
            </w:r>
          </w:p>
        </w:tc>
        <w:tc>
          <w:tcPr/>
          <w:p>
            <w:pPr>
              <w:pStyle w:val="Compact"/>
              <w:jc w:val="center"/>
            </w:pPr>
            <w:r>
              <w:t xml:space="preserve">Baseline-cond.</w:t>
            </w:r>
          </w:p>
        </w:tc>
        <w:tc>
          <w:tcPr/>
          <w:p>
            <w:pPr>
              <w:pStyle w:val="Compact"/>
              <w:jc w:val="center"/>
            </w:pPr>
            <w:r>
              <w:t xml:space="preserve">Symmetric</w:t>
            </w:r>
          </w:p>
        </w:tc>
        <w:tc>
          <w:tcPr/>
          <w:p>
            <w:pPr>
              <w:pStyle w:val="Compact"/>
              <w:jc w:val="center"/>
            </w:pPr>
            <w:r>
              <w:t xml:space="preserve">Baseline-cond.</w:t>
            </w:r>
          </w:p>
        </w:tc>
        <w:tc>
          <w:tcPr/>
          <w:p>
            <w:pPr>
              <w:pStyle w:val="Compact"/>
              <w:jc w:val="center"/>
            </w:pPr>
            <w:r>
              <w:t xml:space="preserve">Symmetric</w:t>
            </w:r>
          </w:p>
        </w:tc>
      </w:tr>
      <w:tr>
        <w:tc>
          <w:tcPr/>
          <w:p>
            <w:pPr>
              <w:pStyle w:val="Compact"/>
              <w:jc w:val="left"/>
            </w:pPr>
            <w:r>
              <w:t xml:space="preserve">bge-small</w:t>
            </w:r>
          </w:p>
        </w:tc>
        <w:tc>
          <w:tcPr/>
          <w:p>
            <w:pPr>
              <w:pStyle w:val="Compact"/>
              <w:jc w:val="center"/>
            </w:pPr>
            <w:r>
              <w:t xml:space="preserve">62 [49, 71]</w:t>
            </w:r>
          </w:p>
        </w:tc>
        <w:tc>
          <w:tcPr/>
          <w:p>
            <w:pPr>
              <w:pStyle w:val="Compact"/>
              <w:jc w:val="center"/>
            </w:pPr>
            <w:r>
              <w:t xml:space="preserve">53</w:t>
            </w:r>
          </w:p>
        </w:tc>
        <w:tc>
          <w:tcPr/>
          <w:p>
            <w:pPr>
              <w:pStyle w:val="Compact"/>
              <w:jc w:val="center"/>
            </w:pPr>
            <w:r>
              <w:t xml:space="preserve">60 [47, 69]</w:t>
            </w:r>
          </w:p>
        </w:tc>
        <w:tc>
          <w:tcPr/>
          <w:p>
            <w:pPr>
              <w:pStyle w:val="Compact"/>
              <w:jc w:val="center"/>
            </w:pPr>
            <w:r>
              <w:t xml:space="preserve">54</w:t>
            </w:r>
          </w:p>
        </w:tc>
      </w:tr>
      <w:tr>
        <w:tc>
          <w:tcPr/>
          <w:p>
            <w:pPr>
              <w:pStyle w:val="Compact"/>
              <w:jc w:val="left"/>
            </w:pPr>
            <w:r>
              <w:t xml:space="preserve">bge-base</w:t>
            </w:r>
          </w:p>
        </w:tc>
        <w:tc>
          <w:tcPr/>
          <w:p>
            <w:pPr>
              <w:pStyle w:val="Compact"/>
              <w:jc w:val="center"/>
            </w:pPr>
            <w:r>
              <w:t xml:space="preserve">64 [53, 73]</w:t>
            </w:r>
          </w:p>
        </w:tc>
        <w:tc>
          <w:tcPr/>
          <w:p>
            <w:pPr>
              <w:pStyle w:val="Compact"/>
              <w:jc w:val="center"/>
            </w:pPr>
            <w:r>
              <w:t xml:space="preserve">57</w:t>
            </w:r>
          </w:p>
        </w:tc>
        <w:tc>
          <w:tcPr/>
          <w:p>
            <w:pPr>
              <w:pStyle w:val="Compact"/>
              <w:jc w:val="center"/>
            </w:pPr>
            <w:r>
              <w:t xml:space="preserve">67 [58, 74]</w:t>
            </w:r>
          </w:p>
        </w:tc>
        <w:tc>
          <w:tcPr/>
          <w:p>
            <w:pPr>
              <w:pStyle w:val="Compact"/>
              <w:jc w:val="center"/>
            </w:pPr>
            <w:r>
              <w:t xml:space="preserve">60</w:t>
            </w:r>
          </w:p>
        </w:tc>
      </w:tr>
      <w:tr>
        <w:tc>
          <w:tcPr/>
          <w:p>
            <w:pPr>
              <w:pStyle w:val="Compact"/>
              <w:jc w:val="left"/>
            </w:pPr>
            <w:r>
              <w:t xml:space="preserve">bge-large</w:t>
            </w:r>
          </w:p>
        </w:tc>
        <w:tc>
          <w:tcPr/>
          <w:p>
            <w:pPr>
              <w:pStyle w:val="Compact"/>
              <w:jc w:val="center"/>
            </w:pPr>
            <w:r>
              <w:t xml:space="preserve">70 [62, 76]</w:t>
            </w:r>
          </w:p>
        </w:tc>
        <w:tc>
          <w:tcPr/>
          <w:p>
            <w:pPr>
              <w:pStyle w:val="Compact"/>
              <w:jc w:val="center"/>
            </w:pPr>
            <w:r>
              <w:t xml:space="preserve">63</w:t>
            </w:r>
          </w:p>
        </w:tc>
        <w:tc>
          <w:tcPr/>
          <w:p>
            <w:pPr>
              <w:pStyle w:val="Compact"/>
              <w:jc w:val="center"/>
            </w:pPr>
            <w:r>
              <w:t xml:space="preserve">70 [63, 76]</w:t>
            </w:r>
          </w:p>
        </w:tc>
        <w:tc>
          <w:tcPr/>
          <w:p>
            <w:pPr>
              <w:pStyle w:val="Compact"/>
              <w:jc w:val="center"/>
            </w:pPr>
            <w:r>
              <w:t xml:space="preserve">64</w:t>
            </w:r>
          </w:p>
        </w:tc>
      </w:tr>
      <w:tr>
        <w:tc>
          <w:tcPr/>
          <w:p>
            <w:pPr>
              <w:pStyle w:val="Compact"/>
              <w:jc w:val="left"/>
            </w:pPr>
            <w:r>
              <w:t xml:space="preserve">e5-base-v2</w:t>
            </w:r>
          </w:p>
        </w:tc>
        <w:tc>
          <w:tcPr/>
          <w:p>
            <w:pPr>
              <w:pStyle w:val="Compact"/>
              <w:jc w:val="center"/>
            </w:pPr>
            <w:r>
              <w:t xml:space="preserve">64 [51, 72]</w:t>
            </w:r>
          </w:p>
        </w:tc>
        <w:tc>
          <w:tcPr/>
          <w:p>
            <w:pPr>
              <w:pStyle w:val="Compact"/>
              <w:jc w:val="center"/>
            </w:pPr>
            <w:r>
              <w:t xml:space="preserve">54</w:t>
            </w:r>
          </w:p>
        </w:tc>
        <w:tc>
          <w:tcPr/>
          <w:p>
            <w:pPr>
              <w:pStyle w:val="Compact"/>
              <w:jc w:val="center"/>
            </w:pPr>
            <w:r>
              <w:t xml:space="preserve">67 [57, 74]</w:t>
            </w:r>
          </w:p>
        </w:tc>
        <w:tc>
          <w:tcPr/>
          <w:p>
            <w:pPr>
              <w:pStyle w:val="Compact"/>
              <w:jc w:val="center"/>
            </w:pPr>
            <w:r>
              <w:t xml:space="preserve">60</w:t>
            </w:r>
          </w:p>
        </w:tc>
      </w:tr>
      <w:tr>
        <w:tc>
          <w:tcPr/>
          <w:p>
            <w:pPr>
              <w:pStyle w:val="Compact"/>
              <w:jc w:val="left"/>
            </w:pPr>
            <w:r>
              <w:t xml:space="preserve">Qwen3-Emb-0.6B</w:t>
            </w:r>
          </w:p>
        </w:tc>
        <w:tc>
          <w:tcPr/>
          <w:p>
            <w:pPr>
              <w:pStyle w:val="Compact"/>
              <w:jc w:val="center"/>
            </w:pPr>
            <w:r>
              <w:t xml:space="preserve">49 [26, 63]</w:t>
            </w:r>
          </w:p>
        </w:tc>
        <w:tc>
          <w:tcPr/>
          <w:p>
            <w:pPr>
              <w:pStyle w:val="Compact"/>
              <w:jc w:val="center"/>
            </w:pPr>
            <w:r>
              <w:t xml:space="preserve">44</w:t>
            </w:r>
          </w:p>
        </w:tc>
        <w:tc>
          <w:tcPr/>
          <w:p>
            <w:pPr>
              <w:pStyle w:val="Compact"/>
              <w:jc w:val="center"/>
            </w:pPr>
            <w:r>
              <w:t xml:space="preserve">48 [28, 62]</w:t>
            </w:r>
          </w:p>
        </w:tc>
        <w:tc>
          <w:tcPr/>
          <w:p>
            <w:pPr>
              <w:pStyle w:val="Compact"/>
              <w:jc w:val="center"/>
            </w:pPr>
            <w:r>
              <w:t xml:space="preserve">45</w:t>
            </w:r>
          </w:p>
        </w:tc>
      </w:tr>
    </w:tbl>
    <w:bookmarkEnd w:id="153"/>
    <w:p>
      <w:pPr>
        <w:pStyle w:val="BodyText"/>
      </w:pPr>
      <w:r>
        <w:rPr>
          <w:iCs/>
          <w:i/>
        </w:rPr>
        <w:t xml:space="preserve">Baseline-conditioned:</w:t>
      </w:r>
      <w:r>
        <w:rPr>
          <w:iCs/>
          <w:i/>
        </w:rPr>
        <w:t xml:space="preserve"> </w:t>
      </w:r>
      <m:oMath>
        <m:r>
          <m:t>Δ</m:t>
        </m:r>
        <m:r>
          <m:rPr>
            <m:sty m:val="p"/>
          </m:rPr>
          <m:t>E</m:t>
        </m:r>
        <m:r>
          <m:rPr>
            <m:sty m:val="p"/>
          </m:rPr>
          <m:t>M</m:t>
        </m:r>
        <m:r>
          <m:rPr>
            <m:sty m:val="p"/>
          </m:rPr>
          <m:t>=</m:t>
        </m:r>
        <m:r>
          <m:t>Δ</m:t>
        </m:r>
        <m:r>
          <m:t>h</m:t>
        </m:r>
        <m:r>
          <m:t> </m:t>
        </m:r>
        <m:d>
          <m:dPr>
            <m:begChr m:val="("/>
            <m:endChr m:val=")"/>
            <m:sepChr m:val=""/>
            <m:grow/>
          </m:dPr>
          <m:e>
            <m:sSub>
              <m:e>
                <m:r>
                  <m:t>a</m:t>
                </m:r>
              </m:e>
              <m:sub>
                <m:sSub>
                  <m:e>
                    <m:r>
                      <m:t>R</m:t>
                    </m:r>
                  </m:e>
                  <m:sub>
                    <m:r>
                      <m:t>1</m:t>
                    </m:r>
                  </m:sub>
                </m:sSub>
              </m:sub>
            </m:sSub>
            <m:r>
              <m:rPr>
                <m:sty m:val="p"/>
              </m:rPr>
              <m:t>−</m:t>
            </m:r>
            <m:sSub>
              <m:e>
                <m:r>
                  <m:t>b</m:t>
                </m:r>
              </m:e>
              <m:sub>
                <m:sSub>
                  <m:e>
                    <m:r>
                      <m:t>R</m:t>
                    </m:r>
                  </m:e>
                  <m:sub>
                    <m:r>
                      <m:t>1</m:t>
                    </m:r>
                  </m:sub>
                </m:sSub>
              </m:sub>
            </m:sSub>
          </m:e>
        </m:d>
        <m:r>
          <m:rPr>
            <m:sty m:val="p"/>
          </m:rPr>
          <m:t>+</m:t>
        </m:r>
        <m:sSub>
          <m:e>
            <m:r>
              <m:t>h</m:t>
            </m:r>
          </m:e>
          <m:sub>
            <m:r>
              <m:t>R</m:t>
            </m:r>
          </m:sub>
        </m:sSub>
        <m:r>
          <m:t> </m:t>
        </m:r>
        <m:r>
          <m:t>Δ</m:t>
        </m:r>
        <m:r>
          <m:t>a</m:t>
        </m:r>
        <m:r>
          <m:rPr>
            <m:sty m:val="p"/>
          </m:rPr>
          <m:t>+</m:t>
        </m:r>
        <m:d>
          <m:dPr>
            <m:begChr m:val="("/>
            <m:endChr m:val=")"/>
            <m:sepChr m:val=""/>
            <m:grow/>
          </m:dPr>
          <m:e>
            <m:r>
              <m:t>1</m:t>
            </m:r>
            <m:r>
              <m:rPr>
                <m:sty m:val="p"/>
              </m:rPr>
              <m:t>−</m:t>
            </m:r>
            <m:sSub>
              <m:e>
                <m:r>
                  <m:t>h</m:t>
                </m:r>
              </m:e>
              <m:sub>
                <m:r>
                  <m:t>R</m:t>
                </m:r>
              </m:sub>
            </m:sSub>
          </m:e>
        </m:d>
        <m:r>
          <m:t> </m:t>
        </m:r>
        <m:r>
          <m:t>Δ</m:t>
        </m:r>
        <m:r>
          <m:t>b</m:t>
        </m:r>
      </m:oMath>
      <w:r>
        <w:rPr>
          <w:iCs/>
          <w:i/>
        </w:rPr>
        <w:t xml:space="preserve">. Symmetric: each term averages the two orderings of the baseline and the encoder. Both identities hold exactly (residual</w:t>
      </w:r>
      <w:r>
        <w:rPr>
          <w:iCs/>
          <w:i/>
        </w:rPr>
        <w:t xml:space="preserve"> </w:t>
      </w:r>
      <m:oMath>
        <m:r>
          <m:rPr>
            <m:sty m:val="p"/>
          </m:rPr>
          <m:t>&lt;</m:t>
        </m:r>
        <m:sSup>
          <m:e>
            <m:r>
              <m:t>10</m:t>
            </m:r>
          </m:e>
          <m:sup>
            <m:r>
              <m:rPr>
                <m:sty m:val="p"/>
              </m:rPr>
              <m:t>−</m:t>
            </m:r>
            <m:r>
              <m:t>12</m:t>
            </m:r>
          </m:sup>
        </m:sSup>
      </m:oMath>
      <w:r>
        <w:rPr>
          <w:iCs/>
          <w:i/>
        </w:rPr>
        <w:t xml:space="preserve">). The intervals resample queries (</w:t>
      </w:r>
      <m:oMath>
        <m:r>
          <m:t>B</m:t>
        </m:r>
        <m:r>
          <m:rPr>
            <m:sty m:val="p"/>
          </m:rPr>
          <m:t>=</m:t>
        </m:r>
        <m:r>
          <m:t>10</m:t>
        </m:r>
        <m:r>
          <m:rPr>
            <m:sty m:val="p"/>
          </m:rPr>
          <m:t>,</m:t>
        </m:r>
        <m:r>
          <m:t>000</m:t>
        </m:r>
      </m:oMath>
      <w:r>
        <w:rPr>
          <w:iCs/>
          <w:i/>
        </w:rPr>
        <w:t xml:space="preserve">, seed 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Encoder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gridSpan w:val="5"/>
          </w:tcPr>
          <w:p>
            <w:pPr>
              <w:pStyle w:val="Compact"/>
              <w:jc w:val="left"/>
            </w:pPr>
            <w:r>
              <w:rPr>
                <w:iCs/>
                <w:i/>
              </w:rPr>
              <w:t xml:space="preserve">Baseline BM25, denominator Hit@5</w:t>
            </w:r>
          </w:p>
        </w:tc>
      </w:tr>
      <w:tr>
        <w:tc>
          <w:tcPr/>
          <w:p>
            <w:pPr>
              <w:pStyle w:val="Compact"/>
              <w:jc w:val="left"/>
            </w:pPr>
            <w:r>
              <w:t xml:space="preserve">bge-small</w:t>
            </w:r>
          </w:p>
        </w:tc>
        <w:tc>
          <w:tcPr/>
          <w:p>
            <w:pPr>
              <w:pStyle w:val="Compact"/>
              <w:jc w:val="center"/>
            </w:pPr>
            <w:r>
              <w:t xml:space="preserve">0.34 [0.29, 0.39]</w:t>
            </w:r>
          </w:p>
        </w:tc>
        <w:tc>
          <w:tcPr/>
          <w:p>
            <w:pPr>
              <w:pStyle w:val="Compact"/>
              <w:jc w:val="center"/>
            </w:pPr>
            <w:r>
              <w:t xml:space="preserve">0.33 [0.28, 0.38]</w:t>
            </w:r>
          </w:p>
        </w:tc>
        <w:tc>
          <w:tcPr/>
          <w:p>
            <w:pPr>
              <w:pStyle w:val="Compact"/>
              <w:jc w:val="center"/>
            </w:pPr>
            <w:r>
              <w:t xml:space="preserve">0.46 [0.31, 0.62]</w:t>
            </w:r>
          </w:p>
        </w:tc>
        <w:tc>
          <w:tcPr/>
          <w:p>
            <w:pPr>
              <w:pStyle w:val="Compact"/>
              <w:jc w:val="center"/>
            </w:pPr>
            <w:r>
              <w:t xml:space="preserve">0.47 [0.31, 0.64]</w:t>
            </w:r>
          </w:p>
        </w:tc>
      </w:tr>
      <w:tr>
        <w:tc>
          <w:tcPr/>
          <w:p>
            <w:pPr>
              <w:pStyle w:val="Compact"/>
              <w:jc w:val="left"/>
            </w:pPr>
            <w:r>
              <w:t xml:space="preserve">bge-base</w:t>
            </w:r>
          </w:p>
        </w:tc>
        <w:tc>
          <w:tcPr/>
          <w:p>
            <w:pPr>
              <w:pStyle w:val="Compact"/>
              <w:jc w:val="center"/>
            </w:pPr>
            <w:r>
              <w:t xml:space="preserve">0.33 [0.28, 0.37]</w:t>
            </w:r>
          </w:p>
        </w:tc>
        <w:tc>
          <w:tcPr/>
          <w:p>
            <w:pPr>
              <w:pStyle w:val="Compact"/>
              <w:jc w:val="center"/>
            </w:pPr>
            <w:r>
              <w:t xml:space="preserve">0.34 [0.29, 0.38]</w:t>
            </w:r>
          </w:p>
        </w:tc>
        <w:tc>
          <w:tcPr/>
          <w:p>
            <w:pPr>
              <w:pStyle w:val="Compact"/>
              <w:jc w:val="center"/>
            </w:pPr>
            <w:r>
              <w:t xml:space="preserve">0.52 [0.37, 0.69]</w:t>
            </w:r>
          </w:p>
        </w:tc>
        <w:tc>
          <w:tcPr/>
          <w:p>
            <w:pPr>
              <w:pStyle w:val="Compact"/>
              <w:jc w:val="center"/>
            </w:pPr>
            <w:r>
              <w:t xml:space="preserve">0.64 [0.49, 0.81]</w:t>
            </w:r>
          </w:p>
        </w:tc>
      </w:tr>
      <w:tr>
        <w:tc>
          <w:tcPr/>
          <w:p>
            <w:pPr>
              <w:pStyle w:val="Compact"/>
              <w:jc w:val="left"/>
            </w:pPr>
            <w:r>
              <w:t xml:space="preserve">bge-large</w:t>
            </w:r>
          </w:p>
        </w:tc>
        <w:tc>
          <w:tcPr/>
          <w:p>
            <w:pPr>
              <w:pStyle w:val="Compact"/>
              <w:jc w:val="center"/>
            </w:pPr>
            <w:r>
              <w:t xml:space="preserve">0.33 [0.29, 0.37]</w:t>
            </w:r>
          </w:p>
        </w:tc>
        <w:tc>
          <w:tcPr/>
          <w:p>
            <w:pPr>
              <w:pStyle w:val="Compact"/>
              <w:jc w:val="center"/>
            </w:pPr>
            <w:r>
              <w:t xml:space="preserve">0.30 [0.25, 0.34]</w:t>
            </w:r>
          </w:p>
        </w:tc>
        <w:tc>
          <w:tcPr/>
          <w:p>
            <w:pPr>
              <w:pStyle w:val="Compact"/>
              <w:jc w:val="center"/>
            </w:pPr>
            <w:r>
              <w:t xml:space="preserve">0.67 [0.51, 0.84]</w:t>
            </w:r>
          </w:p>
        </w:tc>
        <w:tc>
          <w:tcPr/>
          <w:p>
            <w:pPr>
              <w:pStyle w:val="Compact"/>
              <w:jc w:val="center"/>
            </w:pPr>
            <w:r>
              <w:t xml:space="preserve">0.75 [0.59, 0.92]</w:t>
            </w:r>
          </w:p>
        </w:tc>
      </w:tr>
      <w:tr>
        <w:tc>
          <w:tcPr/>
          <w:p>
            <w:pPr>
              <w:pStyle w:val="Compact"/>
              <w:jc w:val="left"/>
            </w:pPr>
            <w:r>
              <w:t xml:space="preserve">e5-base-v2</w:t>
            </w:r>
          </w:p>
        </w:tc>
        <w:tc>
          <w:tcPr/>
          <w:p>
            <w:pPr>
              <w:pStyle w:val="Compact"/>
              <w:jc w:val="center"/>
            </w:pPr>
            <w:r>
              <w:t xml:space="preserve">0.33 [0.29, 0.37]</w:t>
            </w:r>
          </w:p>
        </w:tc>
        <w:tc>
          <w:tcPr/>
          <w:p>
            <w:pPr>
              <w:pStyle w:val="Compact"/>
              <w:jc w:val="center"/>
            </w:pPr>
            <w:r>
              <w:t xml:space="preserve">0.29 [0.25, 0.33]</w:t>
            </w:r>
          </w:p>
        </w:tc>
        <w:tc>
          <w:tcPr/>
          <w:p>
            <w:pPr>
              <w:pStyle w:val="Compact"/>
              <w:jc w:val="center"/>
            </w:pPr>
            <w:r>
              <w:t xml:space="preserve">0.49 [0.33, 0.66]</w:t>
            </w:r>
          </w:p>
        </w:tc>
        <w:tc>
          <w:tcPr/>
          <w:p>
            <w:pPr>
              <w:pStyle w:val="Compact"/>
              <w:jc w:val="center"/>
            </w:pPr>
            <w:r>
              <w:t xml:space="preserve">0.62 [0.46, 0.80]</w:t>
            </w:r>
          </w:p>
        </w:tc>
      </w:tr>
      <w:tr>
        <w:tc>
          <w:tcPr/>
          <w:p>
            <w:pPr>
              <w:pStyle w:val="Compact"/>
              <w:jc w:val="left"/>
            </w:pPr>
            <w:r>
              <w:t xml:space="preserve">Qwen3-Emb-0.6B</w:t>
            </w:r>
          </w:p>
        </w:tc>
        <w:tc>
          <w:tcPr/>
          <w:p>
            <w:pPr>
              <w:pStyle w:val="Compact"/>
              <w:jc w:val="center"/>
            </w:pPr>
            <w:r>
              <w:t xml:space="preserve">0.35 [0.30, 0.40]</w:t>
            </w:r>
          </w:p>
        </w:tc>
        <w:tc>
          <w:tcPr/>
          <w:p>
            <w:pPr>
              <w:pStyle w:val="Compact"/>
              <w:jc w:val="center"/>
            </w:pPr>
            <w:r>
              <w:t xml:space="preserve">0.33 [0.28, 0.38]</w:t>
            </w:r>
          </w:p>
        </w:tc>
        <w:tc>
          <w:tcPr/>
          <w:p>
            <w:pPr>
              <w:pStyle w:val="Compact"/>
              <w:jc w:val="center"/>
            </w:pPr>
            <w:r>
              <w:t xml:space="preserve">0.25 [0.09, 0.42]</w:t>
            </w:r>
          </w:p>
        </w:tc>
        <w:tc>
          <w:tcPr/>
          <w:p>
            <w:pPr>
              <w:pStyle w:val="Compact"/>
              <w:jc w:val="center"/>
            </w:pPr>
            <w:r>
              <w:t xml:space="preserve">0.27 [0.12, 0.44]</w:t>
            </w:r>
          </w:p>
        </w:tc>
      </w:tr>
      <w:tr>
        <w:tc>
          <w:tcPr>
            <w:gridSpan w:val="5"/>
          </w:tcPr>
          <w:p>
            <w:pPr>
              <w:pStyle w:val="Compact"/>
              <w:jc w:val="left"/>
            </w:pPr>
            <w:r>
              <w:rPr>
                <w:iCs/>
                <w:i/>
              </w:rPr>
              <w:t xml:space="preserve">Baseline MiniLM-L6, denominator Both@5</w:t>
            </w:r>
          </w:p>
        </w:tc>
      </w:tr>
      <w:tr>
        <w:tc>
          <w:tcPr/>
          <w:p>
            <w:pPr>
              <w:pStyle w:val="Compact"/>
              <w:jc w:val="left"/>
            </w:pPr>
            <w:r>
              <w:t xml:space="preserve">bge-small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0.29 [0.23, 0.35]</w:t>
            </w:r>
          </w:p>
        </w:tc>
        <w:tc>
          <w:tcPr/>
          <w:p>
            <w:pPr>
              <w:pStyle w:val="Compact"/>
              <w:jc w:val="center"/>
            </w:pPr>
            <w:r>
              <w:t xml:space="preserve">0.30 [0.24, 0.36]</w:t>
            </w:r>
          </w:p>
        </w:tc>
      </w:tr>
      <w:tr>
        <w:tc>
          <w:tcPr/>
          <w:p>
            <w:pPr>
              <w:pStyle w:val="Compact"/>
              <w:jc w:val="left"/>
            </w:pPr>
            <w:r>
              <w:t xml:space="preserve">bge-base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0.29 [0.24, 0.35]</w:t>
            </w:r>
          </w:p>
        </w:tc>
        <w:tc>
          <w:tcPr/>
          <w:p>
            <w:pPr>
              <w:pStyle w:val="Compact"/>
              <w:jc w:val="center"/>
            </w:pPr>
            <w:r>
              <w:t xml:space="preserve">0.34 [0.29, 0.40]</w:t>
            </w:r>
          </w:p>
        </w:tc>
      </w:tr>
      <w:tr>
        <w:tc>
          <w:tcPr/>
          <w:p>
            <w:pPr>
              <w:pStyle w:val="Compact"/>
              <w:jc w:val="left"/>
            </w:pPr>
            <w:r>
              <w:t xml:space="preserve">bge-large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0.31 [0.26, 0.35]</w:t>
            </w:r>
          </w:p>
        </w:tc>
        <w:tc>
          <w:tcPr/>
          <w:p>
            <w:pPr>
              <w:pStyle w:val="Compact"/>
              <w:jc w:val="center"/>
            </w:pPr>
            <w:r>
              <w:t xml:space="preserve">0.34 [0.29, 0.39]</w:t>
            </w:r>
          </w:p>
        </w:tc>
      </w:tr>
      <w:tr>
        <w:tc>
          <w:tcPr/>
          <w:p>
            <w:pPr>
              <w:pStyle w:val="Compact"/>
              <w:jc w:val="left"/>
            </w:pPr>
            <w:r>
              <w:t xml:space="preserve">e5-base-v2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0.29 [0.24, 0.35]</w:t>
            </w:r>
          </w:p>
        </w:tc>
        <w:tc>
          <w:tcPr/>
          <w:p>
            <w:pPr>
              <w:pStyle w:val="Compact"/>
              <w:jc w:val="center"/>
            </w:pPr>
            <w:r>
              <w:t xml:space="preserve">0.35 [0.30, 0.41]</w:t>
            </w:r>
          </w:p>
        </w:tc>
      </w:tr>
      <w:tr>
        <w:tc>
          <w:tcPr/>
          <w:p>
            <w:pPr>
              <w:pStyle w:val="Compact"/>
              <w:jc w:val="left"/>
            </w:pPr>
            <w:r>
              <w:t xml:space="preserve">Qwen3-Emb-0.6B</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0.29 [0.21, 0.37]</w:t>
            </w:r>
          </w:p>
        </w:tc>
        <w:tc>
          <w:tcPr/>
          <w:p>
            <w:pPr>
              <w:pStyle w:val="Compact"/>
              <w:jc w:val="center"/>
            </w:pPr>
            <w:r>
              <w:t xml:space="preserve">0.32 [0.24, 0.40]</w:t>
            </w:r>
          </w:p>
        </w:tc>
      </w:tr>
    </w:tbl>
    <w:p>
      <w:pPr>
        <w:pStyle w:val="BodyText"/>
      </w:pPr>
      <w:r>
        <w:rPr>
          <w:iCs/>
          <w:i/>
        </w:rPr>
        <w:t xml:space="preserve">BM25 with Both@5 is omitted: its Both@5 gain over MiniLM-L6 is 0.034 and its ratio is unstable (Qwen: 1.0 [0.5, 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gridSpan w:val="5"/>
          </w:tcPr>
          <w:p>
            <w:pPr>
              <w:pStyle w:val="Compact"/>
              <w:jc w:val="left"/>
            </w:pPr>
            <w:r>
              <w:rPr>
                <w:iCs/>
                <w:i/>
              </w:rPr>
              <w:t xml:space="preserve">Token F1</w:t>
            </w:r>
          </w:p>
        </w:tc>
      </w:tr>
      <w:tr>
        <w:tc>
          <w:tcPr/>
          <w:p>
            <w:pPr>
              <w:pStyle w:val="Compact"/>
              <w:jc w:val="left"/>
            </w:pPr>
            <w:r>
              <w:t xml:space="preserve">BM25</w:t>
            </w:r>
          </w:p>
        </w:tc>
        <w:tc>
          <w:tcPr/>
          <w:p>
            <w:pPr>
              <w:pStyle w:val="Compact"/>
              <w:jc w:val="center"/>
            </w:pPr>
            <w:r>
              <w:t xml:space="preserve">0.43 [0.37, 0.48]</w:t>
            </w:r>
          </w:p>
        </w:tc>
        <w:tc>
          <w:tcPr/>
          <w:p>
            <w:pPr>
              <w:pStyle w:val="Compact"/>
              <w:jc w:val="center"/>
            </w:pPr>
            <w:r>
              <w:t xml:space="preserve">0.43 [0.37, 0.49]</w:t>
            </w:r>
          </w:p>
        </w:tc>
        <w:tc>
          <w:tcPr/>
          <w:p>
            <w:pPr>
              <w:pStyle w:val="Compact"/>
              <w:jc w:val="center"/>
            </w:pPr>
            <w:r>
              <w:t xml:space="preserve">n.e.</w:t>
            </w:r>
          </w:p>
        </w:tc>
        <w:tc>
          <w:tcPr/>
          <w:p>
            <w:pPr>
              <w:pStyle w:val="Compact"/>
              <w:jc w:val="center"/>
            </w:pPr>
            <w:r>
              <w:t xml:space="preserve">n.e.</w:t>
            </w:r>
          </w:p>
        </w:tc>
      </w:tr>
      <w:tr>
        <w:tc>
          <w:tcPr/>
          <w:p>
            <w:pPr>
              <w:pStyle w:val="Compact"/>
              <w:jc w:val="left"/>
            </w:pPr>
            <w:r>
              <w:t xml:space="preserve">bge-small</w:t>
            </w:r>
          </w:p>
        </w:tc>
        <w:tc>
          <w:tcPr/>
          <w:p>
            <w:pPr>
              <w:pStyle w:val="Compact"/>
              <w:jc w:val="center"/>
            </w:pPr>
            <w:r>
              <w:t xml:space="preserve">0.26 [0.02, 0.49]</w:t>
            </w:r>
          </w:p>
        </w:tc>
        <w:tc>
          <w:tcPr/>
          <w:p>
            <w:pPr>
              <w:pStyle w:val="Compact"/>
              <w:jc w:val="center"/>
            </w:pPr>
            <w:r>
              <w:t xml:space="preserve">0.23 [0.00, 0.45]</w:t>
            </w:r>
          </w:p>
        </w:tc>
        <w:tc>
          <w:tcPr/>
          <w:p>
            <w:pPr>
              <w:pStyle w:val="Compact"/>
              <w:jc w:val="center"/>
            </w:pPr>
            <w:r>
              <w:t xml:space="preserve">0.76 [0.62, 0.92]</w:t>
            </w:r>
          </w:p>
        </w:tc>
        <w:tc>
          <w:tcPr/>
          <w:p>
            <w:pPr>
              <w:pStyle w:val="Compact"/>
              <w:jc w:val="center"/>
            </w:pPr>
            <w:r>
              <w:t xml:space="preserve">0.85 [0.70, 1.01]</w:t>
            </w:r>
          </w:p>
        </w:tc>
      </w:tr>
      <w:tr>
        <w:tc>
          <w:tcPr/>
          <w:p>
            <w:pPr>
              <w:pStyle w:val="Compact"/>
              <w:jc w:val="left"/>
            </w:pPr>
            <w:r>
              <w:t xml:space="preserve">bge-base</w:t>
            </w:r>
          </w:p>
        </w:tc>
        <w:tc>
          <w:tcPr/>
          <w:p>
            <w:pPr>
              <w:pStyle w:val="Compact"/>
              <w:jc w:val="center"/>
            </w:pPr>
            <w:r>
              <w:t xml:space="preserve">0.26 [0.11, 0.40]</w:t>
            </w:r>
          </w:p>
        </w:tc>
        <w:tc>
          <w:tcPr/>
          <w:p>
            <w:pPr>
              <w:pStyle w:val="Compact"/>
              <w:jc w:val="center"/>
            </w:pPr>
            <w:r>
              <w:t xml:space="preserve">0.33 [0.19, 0.47]</w:t>
            </w:r>
          </w:p>
        </w:tc>
        <w:tc>
          <w:tcPr/>
          <w:p>
            <w:pPr>
              <w:pStyle w:val="Compact"/>
              <w:jc w:val="center"/>
            </w:pPr>
            <w:r>
              <w:t xml:space="preserve">0.79 [0.65, 0.95]</w:t>
            </w:r>
          </w:p>
        </w:tc>
        <w:tc>
          <w:tcPr/>
          <w:p>
            <w:pPr>
              <w:pStyle w:val="Compact"/>
              <w:jc w:val="center"/>
            </w:pPr>
            <w:r>
              <w:t xml:space="preserve">0.95 [0.80, 1.11]</w:t>
            </w:r>
          </w:p>
        </w:tc>
      </w:tr>
      <w:tr>
        <w:tc>
          <w:tcPr/>
          <w:p>
            <w:pPr>
              <w:pStyle w:val="Compact"/>
              <w:jc w:val="left"/>
            </w:pPr>
            <w:r>
              <w:t xml:space="preserve">bge-large</w:t>
            </w:r>
          </w:p>
        </w:tc>
        <w:tc>
          <w:tcPr/>
          <w:p>
            <w:pPr>
              <w:pStyle w:val="Compact"/>
              <w:jc w:val="center"/>
            </w:pPr>
            <w:r>
              <w:t xml:space="preserve">0.27 [0.15, 0.39]</w:t>
            </w:r>
          </w:p>
        </w:tc>
        <w:tc>
          <w:tcPr/>
          <w:p>
            <w:pPr>
              <w:pStyle w:val="Compact"/>
              <w:jc w:val="center"/>
            </w:pPr>
            <w:r>
              <w:t xml:space="preserve">0.25 [0.13, 0.36]</w:t>
            </w:r>
          </w:p>
        </w:tc>
        <w:tc>
          <w:tcPr/>
          <w:p>
            <w:pPr>
              <w:pStyle w:val="Compact"/>
              <w:jc w:val="center"/>
            </w:pPr>
            <w:r>
              <w:t xml:space="preserve">0.97 [0.82, 1.14]</w:t>
            </w:r>
          </w:p>
        </w:tc>
        <w:tc>
          <w:tcPr/>
          <w:p>
            <w:pPr>
              <w:pStyle w:val="Compact"/>
              <w:jc w:val="center"/>
            </w:pPr>
            <w:r>
              <w:t xml:space="preserve">1.10 [0.95, 1.28]</w:t>
            </w:r>
          </w:p>
        </w:tc>
      </w:tr>
      <w:tr>
        <w:tc>
          <w:tcPr/>
          <w:p>
            <w:pPr>
              <w:pStyle w:val="Compact"/>
              <w:jc w:val="left"/>
            </w:pPr>
            <w:r>
              <w:t xml:space="preserve">e5-base-v2</w:t>
            </w:r>
          </w:p>
        </w:tc>
        <w:tc>
          <w:tcPr/>
          <w:p>
            <w:pPr>
              <w:pStyle w:val="Compact"/>
              <w:jc w:val="center"/>
            </w:pPr>
            <w:r>
              <w:t xml:space="preserve">0.30 [0.20, 0.39]</w:t>
            </w:r>
          </w:p>
        </w:tc>
        <w:tc>
          <w:tcPr/>
          <w:p>
            <w:pPr>
              <w:pStyle w:val="Compact"/>
              <w:jc w:val="center"/>
            </w:pPr>
            <w:r>
              <w:t xml:space="preserve">0.26 [0.17, 0.36]</w:t>
            </w:r>
          </w:p>
        </w:tc>
        <w:tc>
          <w:tcPr/>
          <w:p>
            <w:pPr>
              <w:pStyle w:val="Compact"/>
              <w:jc w:val="center"/>
            </w:pPr>
            <w:r>
              <w:t xml:space="preserve">0.77 [0.62, 0.92]</w:t>
            </w:r>
          </w:p>
        </w:tc>
        <w:tc>
          <w:tcPr/>
          <w:p>
            <w:pPr>
              <w:pStyle w:val="Compact"/>
              <w:jc w:val="center"/>
            </w:pPr>
            <w:r>
              <w:t xml:space="preserve">0.97 [0.82, 1.13]</w:t>
            </w:r>
          </w:p>
        </w:tc>
      </w:tr>
      <w:tr>
        <w:tc>
          <w:tcPr/>
          <w:p>
            <w:pPr>
              <w:pStyle w:val="Compact"/>
              <w:jc w:val="left"/>
            </w:pPr>
            <w:r>
              <w:t xml:space="preserve">Qwen3-Emb-0.6B</w:t>
            </w:r>
          </w:p>
        </w:tc>
        <w:tc>
          <w:tcPr/>
          <w:p>
            <w:pPr>
              <w:pStyle w:val="Compact"/>
              <w:jc w:val="center"/>
            </w:pPr>
            <w:r>
              <w:t xml:space="preserve">0.26 [0.07, 0.45]</w:t>
            </w:r>
          </w:p>
        </w:tc>
        <w:tc>
          <w:tcPr/>
          <w:p>
            <w:pPr>
              <w:pStyle w:val="Compact"/>
              <w:jc w:val="center"/>
            </w:pPr>
            <w:r>
              <w:t xml:space="preserve">0.29 [0.11, 0.47]</w:t>
            </w:r>
          </w:p>
        </w:tc>
        <w:tc>
          <w:tcPr/>
          <w:p>
            <w:pPr>
              <w:pStyle w:val="Compact"/>
              <w:jc w:val="center"/>
            </w:pPr>
            <w:r>
              <w:t xml:space="preserve">0.52 [0.38, 0.66]</w:t>
            </w:r>
          </w:p>
        </w:tc>
        <w:tc>
          <w:tcPr/>
          <w:p>
            <w:pPr>
              <w:pStyle w:val="Compact"/>
              <w:jc w:val="center"/>
            </w:pPr>
            <w:r>
              <w:t xml:space="preserve">0.66 [0.52, 0.81]</w:t>
            </w:r>
          </w:p>
        </w:tc>
      </w:tr>
      <w:tr>
        <w:tc>
          <w:tcPr>
            <w:gridSpan w:val="5"/>
          </w:tcPr>
          <w:p>
            <w:pPr>
              <w:pStyle w:val="Compact"/>
              <w:jc w:val="left"/>
            </w:pPr>
            <w:r>
              <w:rPr>
                <w:iCs/>
                <w:i/>
              </w:rPr>
              <w:t xml:space="preserve">Answer containment</w:t>
            </w:r>
          </w:p>
        </w:tc>
      </w:tr>
      <w:tr>
        <w:tc>
          <w:tcPr/>
          <w:p>
            <w:pPr>
              <w:pStyle w:val="Compact"/>
              <w:jc w:val="left"/>
            </w:pPr>
            <w:r>
              <w:t xml:space="preserve">BM25</w:t>
            </w:r>
          </w:p>
        </w:tc>
        <w:tc>
          <w:tcPr/>
          <w:p>
            <w:pPr>
              <w:pStyle w:val="Compact"/>
              <w:jc w:val="center"/>
            </w:pPr>
            <w:r>
              <w:t xml:space="preserve">0.45 [0.39, 0.52]</w:t>
            </w:r>
          </w:p>
        </w:tc>
        <w:tc>
          <w:tcPr/>
          <w:p>
            <w:pPr>
              <w:pStyle w:val="Compact"/>
              <w:jc w:val="center"/>
            </w:pPr>
            <w:r>
              <w:t xml:space="preserve">0.46 [0.39, 0.52]</w:t>
            </w:r>
          </w:p>
        </w:tc>
        <w:tc>
          <w:tcPr/>
          <w:p>
            <w:pPr>
              <w:pStyle w:val="Compact"/>
              <w:jc w:val="center"/>
            </w:pPr>
            <w:r>
              <w:t xml:space="preserve">n.e.</w:t>
            </w:r>
          </w:p>
        </w:tc>
        <w:tc>
          <w:tcPr/>
          <w:p>
            <w:pPr>
              <w:pStyle w:val="Compact"/>
              <w:jc w:val="center"/>
            </w:pPr>
            <w:r>
              <w:t xml:space="preserve">n.e.</w:t>
            </w:r>
          </w:p>
        </w:tc>
      </w:tr>
      <w:tr>
        <w:tc>
          <w:tcPr/>
          <w:p>
            <w:pPr>
              <w:pStyle w:val="Compact"/>
              <w:jc w:val="left"/>
            </w:pPr>
            <w:r>
              <w:t xml:space="preserve">bge-small</w:t>
            </w:r>
          </w:p>
        </w:tc>
        <w:tc>
          <w:tcPr/>
          <w:p>
            <w:pPr>
              <w:pStyle w:val="Compact"/>
              <w:jc w:val="center"/>
            </w:pPr>
            <w:r>
              <w:t xml:space="preserve">0.27 [0.01, 0.52]</w:t>
            </w:r>
          </w:p>
        </w:tc>
        <w:tc>
          <w:tcPr/>
          <w:p>
            <w:pPr>
              <w:pStyle w:val="Compact"/>
              <w:jc w:val="center"/>
            </w:pPr>
            <w:r>
              <w:t xml:space="preserve">0.32 [0.07, 0.57]</w:t>
            </w:r>
          </w:p>
        </w:tc>
        <w:tc>
          <w:tcPr/>
          <w:p>
            <w:pPr>
              <w:pStyle w:val="Compact"/>
              <w:jc w:val="center"/>
            </w:pPr>
            <w:r>
              <w:t xml:space="preserve">0.68 [0.53, 0.84]</w:t>
            </w:r>
          </w:p>
        </w:tc>
        <w:tc>
          <w:tcPr/>
          <w:p>
            <w:pPr>
              <w:pStyle w:val="Compact"/>
              <w:jc w:val="center"/>
            </w:pPr>
            <w:r>
              <w:t xml:space="preserve">0.75 [0.61, 0.92]</w:t>
            </w:r>
          </w:p>
        </w:tc>
      </w:tr>
      <w:tr>
        <w:tc>
          <w:tcPr/>
          <w:p>
            <w:pPr>
              <w:pStyle w:val="Compact"/>
              <w:jc w:val="left"/>
            </w:pPr>
            <w:r>
              <w:t xml:space="preserve">bge-base</w:t>
            </w:r>
          </w:p>
        </w:tc>
        <w:tc>
          <w:tcPr/>
          <w:p>
            <w:pPr>
              <w:pStyle w:val="Compact"/>
              <w:jc w:val="center"/>
            </w:pPr>
            <w:r>
              <w:t xml:space="preserve">0.34 [0.18, 0.49]</w:t>
            </w:r>
          </w:p>
        </w:tc>
        <w:tc>
          <w:tcPr/>
          <w:p>
            <w:pPr>
              <w:pStyle w:val="Compact"/>
              <w:jc w:val="center"/>
            </w:pPr>
            <w:r>
              <w:t xml:space="preserve">0.38 [0.23, 0.53]</w:t>
            </w:r>
          </w:p>
        </w:tc>
        <w:tc>
          <w:tcPr/>
          <w:p>
            <w:pPr>
              <w:pStyle w:val="Compact"/>
              <w:jc w:val="center"/>
            </w:pPr>
            <w:r>
              <w:t xml:space="preserve">0.72 [0.57, 0.88]</w:t>
            </w:r>
          </w:p>
        </w:tc>
        <w:tc>
          <w:tcPr/>
          <w:p>
            <w:pPr>
              <w:pStyle w:val="Compact"/>
              <w:jc w:val="center"/>
            </w:pPr>
            <w:r>
              <w:t xml:space="preserve">0.90 [0.75, 1.07]</w:t>
            </w:r>
          </w:p>
        </w:tc>
      </w:tr>
      <w:tr>
        <w:tc>
          <w:tcPr/>
          <w:p>
            <w:pPr>
              <w:pStyle w:val="Compact"/>
              <w:jc w:val="left"/>
            </w:pPr>
            <w:r>
              <w:t xml:space="preserve">bge-large</w:t>
            </w:r>
          </w:p>
        </w:tc>
        <w:tc>
          <w:tcPr/>
          <w:p>
            <w:pPr>
              <w:pStyle w:val="Compact"/>
              <w:jc w:val="center"/>
            </w:pPr>
            <w:r>
              <w:t xml:space="preserve">0.34 [0.21, 0.46]</w:t>
            </w:r>
          </w:p>
        </w:tc>
        <w:tc>
          <w:tcPr/>
          <w:p>
            <w:pPr>
              <w:pStyle w:val="Compact"/>
              <w:jc w:val="center"/>
            </w:pPr>
            <w:r>
              <w:t xml:space="preserve">0.33 [0.21, 0.46]</w:t>
            </w:r>
          </w:p>
        </w:tc>
        <w:tc>
          <w:tcPr/>
          <w:p>
            <w:pPr>
              <w:pStyle w:val="Compact"/>
              <w:jc w:val="center"/>
            </w:pPr>
            <w:r>
              <w:t xml:space="preserve">0.88 [0.73, 1.04]</w:t>
            </w:r>
          </w:p>
        </w:tc>
        <w:tc>
          <w:tcPr/>
          <w:p>
            <w:pPr>
              <w:pStyle w:val="Compact"/>
              <w:jc w:val="center"/>
            </w:pPr>
            <w:r>
              <w:t xml:space="preserve">1.01 [0.86, 1.18]</w:t>
            </w:r>
          </w:p>
        </w:tc>
      </w:tr>
      <w:tr>
        <w:tc>
          <w:tcPr/>
          <w:p>
            <w:pPr>
              <w:pStyle w:val="Compact"/>
              <w:jc w:val="left"/>
            </w:pPr>
            <w:r>
              <w:t xml:space="preserve">e5-base-v2</w:t>
            </w:r>
          </w:p>
        </w:tc>
        <w:tc>
          <w:tcPr/>
          <w:p>
            <w:pPr>
              <w:pStyle w:val="Compact"/>
              <w:jc w:val="center"/>
            </w:pPr>
            <w:r>
              <w:t xml:space="preserve">0.36 [0.26, 0.47]</w:t>
            </w:r>
          </w:p>
        </w:tc>
        <w:tc>
          <w:tcPr/>
          <w:p>
            <w:pPr>
              <w:pStyle w:val="Compact"/>
              <w:jc w:val="center"/>
            </w:pPr>
            <w:r>
              <w:t xml:space="preserve">0.33 [0.23, 0.43]</w:t>
            </w:r>
          </w:p>
        </w:tc>
        <w:tc>
          <w:tcPr/>
          <w:p>
            <w:pPr>
              <w:pStyle w:val="Compact"/>
              <w:jc w:val="center"/>
            </w:pPr>
            <w:r>
              <w:t xml:space="preserve">0.71 [0.57, 0.87]</w:t>
            </w:r>
          </w:p>
        </w:tc>
        <w:tc>
          <w:tcPr/>
          <w:p>
            <w:pPr>
              <w:pStyle w:val="Compact"/>
              <w:jc w:val="center"/>
            </w:pPr>
            <w:r>
              <w:t xml:space="preserve">0.91 [0.75, 1.07]</w:t>
            </w:r>
          </w:p>
        </w:tc>
      </w:tr>
      <w:tr>
        <w:tc>
          <w:tcPr/>
          <w:p>
            <w:pPr>
              <w:pStyle w:val="Compact"/>
              <w:jc w:val="left"/>
            </w:pPr>
            <w:r>
              <w:t xml:space="preserve">Qwen3-Emb-0.6B</w:t>
            </w:r>
          </w:p>
        </w:tc>
        <w:tc>
          <w:tcPr/>
          <w:p>
            <w:pPr>
              <w:pStyle w:val="Compact"/>
              <w:jc w:val="center"/>
            </w:pPr>
            <w:r>
              <w:t xml:space="preserve">0.28 [0.08, 0.48]</w:t>
            </w:r>
          </w:p>
        </w:tc>
        <w:tc>
          <w:tcPr/>
          <w:p>
            <w:pPr>
              <w:pStyle w:val="Compact"/>
              <w:jc w:val="center"/>
            </w:pPr>
            <w:r>
              <w:t xml:space="preserve">0.39 [0.20, 0.60]</w:t>
            </w:r>
          </w:p>
        </w:tc>
        <w:tc>
          <w:tcPr/>
          <w:p>
            <w:pPr>
              <w:pStyle w:val="Compact"/>
              <w:jc w:val="center"/>
            </w:pPr>
            <w:r>
              <w:t xml:space="preserve">0.49 [0.35, 0.64]</w:t>
            </w:r>
          </w:p>
        </w:tc>
        <w:tc>
          <w:tcPr/>
          <w:p>
            <w:pPr>
              <w:pStyle w:val="Compact"/>
              <w:jc w:val="center"/>
            </w:pPr>
            <w:r>
              <w:t xml:space="preserve">0.58 [0.45, 0.74]</w:t>
            </w:r>
          </w:p>
        </w:tc>
      </w:tr>
    </w:tbl>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p>
            <w:pPr>
              <w:pStyle w:val="Compact"/>
              <w:jc w:val="left"/>
            </w:pPr>
            <w:r>
              <w:t xml:space="preserve">BM25</w:t>
            </w:r>
          </w:p>
        </w:tc>
        <w:tc>
          <w:tcPr/>
          <w:p>
            <w:pPr>
              <w:pStyle w:val="Compact"/>
              <w:jc w:val="center"/>
            </w:pPr>
            <w:r>
              <w:t xml:space="preserve">0.632 / 0.204</w:t>
            </w:r>
          </w:p>
        </w:tc>
        <w:tc>
          <w:tcPr/>
          <w:p>
            <w:pPr>
              <w:pStyle w:val="Compact"/>
              <w:jc w:val="center"/>
            </w:pPr>
            <w:r>
              <w:t xml:space="preserve">0.591 / 0.197</w:t>
            </w:r>
          </w:p>
        </w:tc>
        <w:tc>
          <w:tcPr/>
          <w:p>
            <w:pPr>
              <w:pStyle w:val="Compact"/>
              <w:jc w:val="center"/>
            </w:pPr>
            <w:r>
              <w:t xml:space="preserve">0.381 / 0.129</w:t>
            </w:r>
          </w:p>
        </w:tc>
        <w:tc>
          <w:tcPr/>
          <w:p>
            <w:pPr>
              <w:pStyle w:val="Compact"/>
              <w:jc w:val="center"/>
            </w:pPr>
            <w:r>
              <w:t xml:space="preserve">0.382 / 0.105</w:t>
            </w:r>
          </w:p>
        </w:tc>
      </w:tr>
      <w:tr>
        <w:tc>
          <w:tcPr/>
          <w:p>
            <w:pPr>
              <w:pStyle w:val="Compact"/>
              <w:jc w:val="left"/>
            </w:pPr>
            <w:r>
              <w:t xml:space="preserve">MiniLM-L6</w:t>
            </w:r>
          </w:p>
        </w:tc>
        <w:tc>
          <w:tcPr/>
          <w:p>
            <w:pPr>
              <w:pStyle w:val="Compact"/>
              <w:jc w:val="center"/>
            </w:pPr>
            <w:r>
              <w:t xml:space="preserve">0.584 / 0.249</w:t>
            </w:r>
          </w:p>
        </w:tc>
        <w:tc>
          <w:tcPr/>
          <w:p>
            <w:pPr>
              <w:pStyle w:val="Compact"/>
              <w:jc w:val="center"/>
            </w:pPr>
            <w:r>
              <w:t xml:space="preserve">0.554 / 0.237</w:t>
            </w:r>
          </w:p>
        </w:tc>
        <w:tc>
          <w:tcPr/>
          <w:p>
            <w:pPr>
              <w:pStyle w:val="Compact"/>
              <w:jc w:val="center"/>
            </w:pPr>
            <w:r>
              <w:t xml:space="preserve">0.350 / 0.098</w:t>
            </w:r>
          </w:p>
        </w:tc>
        <w:tc>
          <w:tcPr/>
          <w:p>
            <w:pPr>
              <w:pStyle w:val="Compact"/>
              <w:jc w:val="center"/>
            </w:pPr>
            <w:r>
              <w:t xml:space="preserve">0.348 / 0.071</w:t>
            </w:r>
          </w:p>
        </w:tc>
      </w:tr>
      <w:tr>
        <w:tc>
          <w:tcPr/>
          <w:p>
            <w:pPr>
              <w:pStyle w:val="Compact"/>
              <w:jc w:val="left"/>
            </w:pPr>
            <w:r>
              <w:t xml:space="preserve">bge-small</w:t>
            </w:r>
          </w:p>
        </w:tc>
        <w:tc>
          <w:tcPr/>
          <w:p>
            <w:pPr>
              <w:pStyle w:val="Compact"/>
              <w:jc w:val="center"/>
            </w:pPr>
            <w:r>
              <w:t xml:space="preserve">0.568 / 0.259</w:t>
            </w:r>
          </w:p>
        </w:tc>
        <w:tc>
          <w:tcPr/>
          <w:p>
            <w:pPr>
              <w:pStyle w:val="Compact"/>
              <w:jc w:val="center"/>
            </w:pPr>
            <w:r>
              <w:t xml:space="preserve">0.542 / 0.239</w:t>
            </w:r>
          </w:p>
        </w:tc>
        <w:tc>
          <w:tcPr/>
          <w:p>
            <w:pPr>
              <w:pStyle w:val="Compact"/>
              <w:jc w:val="center"/>
            </w:pPr>
            <w:r>
              <w:t xml:space="preserve">0.411 / 0.043</w:t>
            </w:r>
          </w:p>
        </w:tc>
        <w:tc>
          <w:tcPr/>
          <w:p>
            <w:pPr>
              <w:pStyle w:val="Compact"/>
              <w:jc w:val="center"/>
            </w:pPr>
            <w:r>
              <w:t xml:space="preserve">0.409 / 0.043</w:t>
            </w:r>
          </w:p>
        </w:tc>
      </w:tr>
      <w:tr>
        <w:tc>
          <w:tcPr/>
          <w:p>
            <w:pPr>
              <w:pStyle w:val="Compact"/>
              <w:jc w:val="left"/>
            </w:pPr>
            <w:r>
              <w:t xml:space="preserve">bge-base</w:t>
            </w:r>
          </w:p>
        </w:tc>
        <w:tc>
          <w:tcPr/>
          <w:p>
            <w:pPr>
              <w:pStyle w:val="Compact"/>
              <w:jc w:val="center"/>
            </w:pPr>
            <w:r>
              <w:t xml:space="preserve">0.564 / 0.257</w:t>
            </w:r>
          </w:p>
        </w:tc>
        <w:tc>
          <w:tcPr/>
          <w:p>
            <w:pPr>
              <w:pStyle w:val="Compact"/>
              <w:jc w:val="center"/>
            </w:pPr>
            <w:r>
              <w:t xml:space="preserve">0.538 / 0.270</w:t>
            </w:r>
          </w:p>
        </w:tc>
        <w:tc>
          <w:tcPr/>
          <w:p>
            <w:pPr>
              <w:pStyle w:val="Compact"/>
              <w:jc w:val="center"/>
            </w:pPr>
            <w:r>
              <w:t xml:space="preserve">0.419 / 0.060</w:t>
            </w:r>
          </w:p>
        </w:tc>
        <w:tc>
          <w:tcPr/>
          <w:p>
            <w:pPr>
              <w:pStyle w:val="Compact"/>
              <w:jc w:val="center"/>
            </w:pPr>
            <w:r>
              <w:t xml:space="preserve">0.432 / 0.048</w:t>
            </w:r>
          </w:p>
        </w:tc>
      </w:tr>
      <w:tr>
        <w:tc>
          <w:tcPr/>
          <w:p>
            <w:pPr>
              <w:pStyle w:val="Compact"/>
              <w:jc w:val="left"/>
            </w:pPr>
            <w:r>
              <w:t xml:space="preserve">bge-large</w:t>
            </w:r>
          </w:p>
        </w:tc>
        <w:tc>
          <w:tcPr/>
          <w:p>
            <w:pPr>
              <w:pStyle w:val="Compact"/>
              <w:jc w:val="center"/>
            </w:pPr>
            <w:r>
              <w:t xml:space="preserve">0.568 / 0.252</w:t>
            </w:r>
          </w:p>
        </w:tc>
        <w:tc>
          <w:tcPr/>
          <w:p>
            <w:pPr>
              <w:pStyle w:val="Compact"/>
              <w:jc w:val="center"/>
            </w:pPr>
            <w:r>
              <w:t xml:space="preserve">0.533 / 0.220</w:t>
            </w:r>
          </w:p>
        </w:tc>
        <w:tc>
          <w:tcPr/>
          <w:p>
            <w:pPr>
              <w:pStyle w:val="Compact"/>
              <w:jc w:val="center"/>
            </w:pPr>
            <w:r>
              <w:t xml:space="preserve">0.438 / 0.076</w:t>
            </w:r>
          </w:p>
        </w:tc>
        <w:tc>
          <w:tcPr/>
          <w:p>
            <w:pPr>
              <w:pStyle w:val="Compact"/>
              <w:jc w:val="center"/>
            </w:pPr>
            <w:r>
              <w:t xml:space="preserve">0.446 / 0.063</w:t>
            </w:r>
          </w:p>
        </w:tc>
      </w:tr>
      <w:tr>
        <w:tc>
          <w:tcPr/>
          <w:p>
            <w:pPr>
              <w:pStyle w:val="Compact"/>
              <w:jc w:val="left"/>
            </w:pPr>
            <w:r>
              <w:t xml:space="preserve">e5-base-v2</w:t>
            </w:r>
          </w:p>
        </w:tc>
        <w:tc>
          <w:tcPr/>
          <w:p>
            <w:pPr>
              <w:pStyle w:val="Compact"/>
              <w:jc w:val="center"/>
            </w:pPr>
            <w:r>
              <w:t xml:space="preserve">0.569 / 0.244</w:t>
            </w:r>
          </w:p>
        </w:tc>
        <w:tc>
          <w:tcPr/>
          <w:p>
            <w:pPr>
              <w:pStyle w:val="Compact"/>
              <w:jc w:val="center"/>
            </w:pPr>
            <w:r>
              <w:t xml:space="preserve">0.525 / 0.237</w:t>
            </w:r>
          </w:p>
        </w:tc>
        <w:tc>
          <w:tcPr/>
          <w:p>
            <w:pPr>
              <w:pStyle w:val="Compact"/>
              <w:jc w:val="center"/>
            </w:pPr>
            <w:r>
              <w:t xml:space="preserve">0.415 / 0.030</w:t>
            </w:r>
          </w:p>
        </w:tc>
        <w:tc>
          <w:tcPr/>
          <w:p>
            <w:pPr>
              <w:pStyle w:val="Compact"/>
              <w:jc w:val="center"/>
            </w:pPr>
            <w:r>
              <w:t xml:space="preserve">0.428 / 0.040</w:t>
            </w:r>
          </w:p>
        </w:tc>
      </w:tr>
      <w:tr>
        <w:tc>
          <w:tcPr/>
          <w:p>
            <w:pPr>
              <w:pStyle w:val="Compact"/>
              <w:jc w:val="left"/>
            </w:pPr>
            <w:r>
              <w:t xml:space="preserve">Qwen3-Emb-0.6B</w:t>
            </w:r>
          </w:p>
        </w:tc>
        <w:tc>
          <w:tcPr/>
          <w:p>
            <w:pPr>
              <w:pStyle w:val="Compact"/>
              <w:jc w:val="center"/>
            </w:pPr>
            <w:r>
              <w:t xml:space="preserve">0.572 / 0.260</w:t>
            </w:r>
          </w:p>
        </w:tc>
        <w:tc>
          <w:tcPr/>
          <w:p>
            <w:pPr>
              <w:pStyle w:val="Compact"/>
              <w:jc w:val="center"/>
            </w:pPr>
            <w:r>
              <w:t xml:space="preserve">0.538 / 0.256</w:t>
            </w:r>
          </w:p>
        </w:tc>
        <w:tc>
          <w:tcPr/>
          <w:p>
            <w:pPr>
              <w:pStyle w:val="Compact"/>
              <w:jc w:val="center"/>
            </w:pPr>
            <w:r>
              <w:t xml:space="preserve">0.383 / 0.090</w:t>
            </w:r>
          </w:p>
        </w:tc>
        <w:tc>
          <w:tcPr/>
          <w:p>
            <w:pPr>
              <w:pStyle w:val="Compact"/>
              <w:jc w:val="center"/>
            </w:pPr>
            <w:r>
              <w:t xml:space="preserve">0.383 / 0.072</w:t>
            </w:r>
          </w:p>
        </w:tc>
      </w:tr>
    </w:tbl>
    <w:p>
      <w:pPr>
        <w:pStyle w:val="BodyText"/>
      </w:pPr>
      <w:r>
        <w:rPr>
          <w:iCs/>
          <w:i/>
        </w:rPr>
        <w:t xml:space="preserve">Closed-book EM for comparison: NQ 0.149 (Qwen), 0.197 (Llama); HotpotQA 0.158 (Qwen), 0.148 (Llama).</w:t>
      </w:r>
    </w:p>
    <w:bookmarkStart w:id="154" w:name="tab:idk"/>
    <w:p>
      <w:pPr>
        <w:pStyle w:val="TableCaption"/>
      </w:pPr>
      <w:r>
        <w:t xml:space="preserve">Abstention prompt A3 (</w:t>
      </w:r>
      <w:r>
        <w:t xml:space="preserve">“</w:t>
      </w:r>
      <w:r>
        <w:t xml:space="preserve">I don’t know</w:t>
      </w:r>
      <w:r>
        <w:t xml:space="preserve">”</w:t>
      </w:r>
      <w:r>
        <w:t xml:space="preserve"> </w:t>
      </w:r>
      <w:r>
        <w:t xml:space="preserve">allowed), Qwen reader, NQ, leading 200 queries of the seeded order (Phase 1).</w:t>
      </w:r>
    </w:p>
    <w:tbl>
      <w:tblPr>
        <w:tblStyle w:val="Table"/>
        <w:tblW w:type="auto" w:w="0"/>
        <w:tblLook w:firstRow="1" w:lastRow="0" w:firstColumn="0" w:lastColumn="0" w:noHBand="0" w:noVBand="0" w:val="0020"/>
        <w:jc w:val="start"/>
        <w:tblCaption w:val="Abstention prompt A3 (“I don’t know” allowed), Qwen reader, NQ, leading 200 queries of the seeded order (Phase 1)."/>
      </w:tblPr>
      <w:tblGrid>
        <w:gridCol w:w="990"/>
        <w:gridCol w:w="990"/>
        <w:gridCol w:w="990"/>
        <w:gridCol w:w="990"/>
        <w:gridCol w:w="990"/>
        <w:gridCol w:w="990"/>
        <w:gridCol w:w="990"/>
        <w:gridCol w:w="990"/>
      </w:tblGrid>
      <w:tr>
        <w:trPr>
          <w:tblHeader w:val="true"/>
        </w:trPr>
        <w:tc>
          <w:tcPr/>
          <w:p>
            <w:pPr>
              <w:pStyle w:val="Compact"/>
              <w:jc w:val="left"/>
            </w:pPr>
            <w:r>
              <w:t xml:space="preserve">Context</w:t>
            </w:r>
          </w:p>
        </w:tc>
        <w:tc>
          <w:tcPr/>
          <w:p>
            <w:pPr>
              <w:pStyle w:val="Compact"/>
              <w:jc w:val="right"/>
            </w:pPr>
            <m:oMath>
              <m:r>
                <m:t>n</m:t>
              </m:r>
            </m:oMath>
          </w:p>
        </w:tc>
        <w:tc>
          <w:tcPr/>
          <w:p>
            <w:pPr>
              <w:pStyle w:val="Compact"/>
              <w:jc w:val="center"/>
            </w:pPr>
            <w:r>
              <w:t xml:space="preserve">IDK rate</w:t>
            </w:r>
          </w:p>
        </w:tc>
        <w:tc>
          <w:tcPr/>
          <w:p>
            <w:pPr>
              <w:pStyle w:val="Compact"/>
              <w:jc w:val="center"/>
            </w:pPr>
            <w:r>
              <w:t xml:space="preserve">IDK</w:t>
            </w:r>
            <w:r>
              <w:t xml:space="preserve"> </w:t>
            </w:r>
            <m:oMath>
              <m:r>
                <m:rPr>
                  <m:sty m:val="p"/>
                </m:rPr>
                <m:t>∣</m:t>
              </m:r>
            </m:oMath>
            <w:r>
              <w:t xml:space="preserve"> </w:t>
            </w:r>
            <w:r>
              <w:t xml:space="preserve">hit (</w:t>
            </w:r>
            <m:oMath>
              <m:r>
                <m:t>n</m:t>
              </m:r>
            </m:oMath>
            <w:r>
              <w:t xml:space="preserve">)</w:t>
            </w:r>
          </w:p>
        </w:tc>
        <w:tc>
          <w:tcPr/>
          <w:p>
            <w:pPr>
              <w:pStyle w:val="Compact"/>
              <w:jc w:val="center"/>
            </w:pPr>
            <w:r>
              <w:t xml:space="preserve">IDK</w:t>
            </w:r>
            <w:r>
              <w:t xml:space="preserve"> </w:t>
            </w:r>
            <m:oMath>
              <m:r>
                <m:rPr>
                  <m:sty m:val="p"/>
                </m:rPr>
                <m:t>∣</m:t>
              </m:r>
            </m:oMath>
            <w:r>
              <w:t xml:space="preserve"> </w:t>
            </w:r>
            <w:r>
              <w:t xml:space="preserve">miss (</w:t>
            </w:r>
            <m:oMath>
              <m:r>
                <m:t>n</m:t>
              </m:r>
            </m:oMath>
            <w:r>
              <w:t xml:space="preserve">)</w:t>
            </w:r>
          </w:p>
        </w:tc>
        <w:tc>
          <w:tcPr/>
          <w:p>
            <w:pPr>
              <w:pStyle w:val="Compact"/>
              <w:jc w:val="center"/>
            </w:pPr>
            <w:r>
              <w:t xml:space="preserve">EM (A1)</w:t>
            </w:r>
          </w:p>
        </w:tc>
        <w:tc>
          <w:tcPr/>
          <w:p>
            <w:pPr>
              <w:pStyle w:val="Compact"/>
              <w:jc w:val="center"/>
            </w:pPr>
            <w:r>
              <w:t xml:space="preserve">EM (A3)</w:t>
            </w:r>
          </w:p>
        </w:tc>
        <w:tc>
          <w:tcPr/>
          <w:p>
            <w:pPr>
              <w:pStyle w:val="Compact"/>
              <w:jc w:val="center"/>
            </w:pPr>
            <m:oMath>
              <m:r>
                <m:t>p</m:t>
              </m:r>
            </m:oMath>
          </w:p>
        </w:tc>
      </w:tr>
      <w:tr>
        <w:tc>
          <w:tcPr/>
          <w:p>
            <w:pPr>
              <w:pStyle w:val="Compact"/>
              <w:jc w:val="left"/>
            </w:pPr>
            <w:r>
              <w:t xml:space="preserve">BM25</w:t>
            </w:r>
          </w:p>
        </w:tc>
        <w:tc>
          <w:tcPr/>
          <w:p>
            <w:pPr>
              <w:pStyle w:val="Compact"/>
              <w:jc w:val="right"/>
            </w:pPr>
            <w:r>
              <w:t xml:space="preserve">200</w:t>
            </w:r>
          </w:p>
        </w:tc>
        <w:tc>
          <w:tcPr/>
          <w:p>
            <w:pPr>
              <w:pStyle w:val="Compact"/>
              <w:jc w:val="center"/>
            </w:pPr>
            <w:r>
              <w:t xml:space="preserve">0.215</w:t>
            </w:r>
          </w:p>
        </w:tc>
        <w:tc>
          <w:tcPr/>
          <w:p>
            <w:pPr>
              <w:pStyle w:val="Compact"/>
              <w:jc w:val="center"/>
            </w:pPr>
            <w:r>
              <w:t xml:space="preserve">0.013 (79)</w:t>
            </w:r>
          </w:p>
        </w:tc>
        <w:tc>
          <w:tcPr/>
          <w:p>
            <w:pPr>
              <w:pStyle w:val="Compact"/>
              <w:jc w:val="center"/>
            </w:pPr>
            <w:r>
              <w:t xml:space="preserve">0.347 (121)</w:t>
            </w:r>
          </w:p>
        </w:tc>
        <w:tc>
          <w:tcPr/>
          <w:p>
            <w:pPr>
              <w:pStyle w:val="Compact"/>
              <w:jc w:val="center"/>
            </w:pPr>
            <w:r>
              <w:t xml:space="preserve">0.390</w:t>
            </w:r>
          </w:p>
        </w:tc>
        <w:tc>
          <w:tcPr/>
          <w:p>
            <w:pPr>
              <w:pStyle w:val="Compact"/>
              <w:jc w:val="center"/>
            </w:pPr>
            <w:r>
              <w:t xml:space="preserve">0.380</w:t>
            </w:r>
          </w:p>
        </w:tc>
        <w:tc>
          <w:tcPr/>
          <w:p>
            <w:pPr>
              <w:pStyle w:val="Compact"/>
              <w:jc w:val="center"/>
            </w:pPr>
            <w:r>
              <w:t xml:space="preserve">0.69</w:t>
            </w:r>
          </w:p>
        </w:tc>
      </w:tr>
      <w:tr>
        <w:tc>
          <w:tcPr/>
          <w:p>
            <w:pPr>
              <w:pStyle w:val="Compact"/>
              <w:jc w:val="left"/>
            </w:pPr>
            <w:r>
              <w:t xml:space="preserve">MiniLM-L6</w:t>
            </w:r>
          </w:p>
        </w:tc>
        <w:tc>
          <w:tcPr/>
          <w:p>
            <w:pPr>
              <w:pStyle w:val="Compact"/>
              <w:jc w:val="right"/>
            </w:pPr>
            <w:r>
              <w:t xml:space="preserve">200</w:t>
            </w:r>
          </w:p>
        </w:tc>
        <w:tc>
          <w:tcPr/>
          <w:p>
            <w:pPr>
              <w:pStyle w:val="Compact"/>
              <w:jc w:val="center"/>
            </w:pPr>
            <w:r>
              <w:t xml:space="preserve">0.115</w:t>
            </w:r>
          </w:p>
        </w:tc>
        <w:tc>
          <w:tcPr/>
          <w:p>
            <w:pPr>
              <w:pStyle w:val="Compact"/>
              <w:jc w:val="center"/>
            </w:pPr>
            <w:r>
              <w:t xml:space="preserve">0.016 (124)</w:t>
            </w:r>
          </w:p>
        </w:tc>
        <w:tc>
          <w:tcPr/>
          <w:p>
            <w:pPr>
              <w:pStyle w:val="Compact"/>
              <w:jc w:val="center"/>
            </w:pPr>
            <w:r>
              <w:t xml:space="preserve">0.276 (76)</w:t>
            </w:r>
          </w:p>
        </w:tc>
        <w:tc>
          <w:tcPr/>
          <w:p>
            <w:pPr>
              <w:pStyle w:val="Compact"/>
              <w:jc w:val="center"/>
            </w:pPr>
            <w:r>
              <w:t xml:space="preserve">0.470</w:t>
            </w:r>
          </w:p>
        </w:tc>
        <w:tc>
          <w:tcPr/>
          <w:p>
            <w:pPr>
              <w:pStyle w:val="Compact"/>
              <w:jc w:val="center"/>
            </w:pPr>
            <w:r>
              <w:t xml:space="preserve">0.455</w:t>
            </w:r>
          </w:p>
        </w:tc>
        <w:tc>
          <w:tcPr/>
          <w:p>
            <w:pPr>
              <w:pStyle w:val="Compact"/>
              <w:jc w:val="center"/>
            </w:pPr>
            <w:r>
              <w:t xml:space="preserve">0.45</w:t>
            </w:r>
          </w:p>
        </w:tc>
      </w:tr>
      <w:tr>
        <w:tc>
          <w:tcPr/>
          <w:p>
            <w:pPr>
              <w:pStyle w:val="Compact"/>
              <w:jc w:val="left"/>
            </w:pPr>
            <w:r>
              <w:t xml:space="preserve">bge-large</w:t>
            </w:r>
          </w:p>
        </w:tc>
        <w:tc>
          <w:tcPr/>
          <w:p>
            <w:pPr>
              <w:pStyle w:val="Compact"/>
              <w:jc w:val="right"/>
            </w:pPr>
            <w:r>
              <w:t xml:space="preserve">200</w:t>
            </w:r>
          </w:p>
        </w:tc>
        <w:tc>
          <w:tcPr/>
          <w:p>
            <w:pPr>
              <w:pStyle w:val="Compact"/>
              <w:jc w:val="center"/>
            </w:pPr>
            <w:r>
              <w:t xml:space="preserve">0.045</w:t>
            </w:r>
          </w:p>
        </w:tc>
        <w:tc>
          <w:tcPr/>
          <w:p>
            <w:pPr>
              <w:pStyle w:val="Compact"/>
              <w:jc w:val="center"/>
            </w:pPr>
            <w:r>
              <w:t xml:space="preserve">0.024 (164)</w:t>
            </w:r>
          </w:p>
        </w:tc>
        <w:tc>
          <w:tcPr/>
          <w:p>
            <w:pPr>
              <w:pStyle w:val="Compact"/>
              <w:jc w:val="center"/>
            </w:pPr>
            <w:r>
              <w:t xml:space="preserve">0.139 (36)</w:t>
            </w:r>
          </w:p>
        </w:tc>
        <w:tc>
          <w:tcPr/>
          <w:p>
            <w:pPr>
              <w:pStyle w:val="Compact"/>
              <w:jc w:val="center"/>
            </w:pPr>
            <w:r>
              <w:t xml:space="preserve">0.495</w:t>
            </w:r>
          </w:p>
        </w:tc>
        <w:tc>
          <w:tcPr/>
          <w:p>
            <w:pPr>
              <w:pStyle w:val="Compact"/>
              <w:jc w:val="center"/>
            </w:pPr>
            <w:r>
              <w:t xml:space="preserve">0.465</w:t>
            </w:r>
          </w:p>
        </w:tc>
        <w:tc>
          <w:tcPr/>
          <w:p>
            <w:pPr>
              <w:pStyle w:val="Compact"/>
              <w:jc w:val="center"/>
            </w:pPr>
            <w:r>
              <w:t xml:space="preserve">0.07</w:t>
            </w:r>
          </w:p>
        </w:tc>
      </w:tr>
      <w:tr>
        <w:tc>
          <w:tcPr/>
          <w:p>
            <w:pPr>
              <w:pStyle w:val="Compact"/>
              <w:jc w:val="left"/>
            </w:pPr>
            <w:r>
              <w:t xml:space="preserve">Gold passages</w:t>
            </w:r>
          </w:p>
        </w:tc>
        <w:tc>
          <w:tcPr/>
          <w:p>
            <w:pPr>
              <w:pStyle w:val="Compact"/>
              <w:jc w:val="right"/>
            </w:pPr>
            <w:r>
              <w:t xml:space="preserve">200</w:t>
            </w:r>
          </w:p>
        </w:tc>
        <w:tc>
          <w:tcPr/>
          <w:p>
            <w:pPr>
              <w:pStyle w:val="Compact"/>
              <w:jc w:val="center"/>
            </w:pPr>
            <w:r>
              <w:t xml:space="preserve">0.060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54"/>
    <w:p>
      <w:pPr>
        <w:pStyle w:val="BodyText"/>
      </w:pPr>
      <m:oMath>
        <m:r>
          <m:t>p</m:t>
        </m:r>
      </m:oMath>
      <w:r>
        <w:rPr>
          <w:iCs/>
          <w:i/>
        </w:rPr>
        <w:t xml:space="preserve">: exact McNemar test of EM under A3 against the main prompt A1, unadjusted.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m:oMath>
              <m:r>
                <m:t>k</m:t>
              </m:r>
              <m:r>
                <m:rPr>
                  <m:sty m:val="p"/>
                </m:rPr>
                <m:t>=</m:t>
              </m:r>
              <m:r>
                <m:t>1</m:t>
              </m:r>
            </m:oMath>
          </w:p>
        </w:tc>
        <w:tc>
          <w:tcPr/>
          <w:p>
            <w:pPr>
              <w:pStyle w:val="Compact"/>
              <w:jc w:val="center"/>
            </w:pPr>
            <m:oMath>
              <m:r>
                <m:t>k</m:t>
              </m:r>
              <m:r>
                <m:rPr>
                  <m:sty m:val="p"/>
                </m:rPr>
                <m:t>=</m:t>
              </m:r>
              <m:r>
                <m:t>3</m:t>
              </m:r>
            </m:oMath>
          </w:p>
        </w:tc>
        <w:tc>
          <w:tcPr/>
          <w:p>
            <w:pPr>
              <w:pStyle w:val="Compact"/>
              <w:jc w:val="center"/>
            </w:pPr>
            <m:oMath>
              <m:r>
                <m:t>k</m:t>
              </m:r>
              <m:r>
                <m:rPr>
                  <m:sty m:val="p"/>
                </m:rPr>
                <m:t>=</m:t>
              </m:r>
              <m:r>
                <m:t>5</m:t>
              </m:r>
            </m:oMath>
          </w:p>
        </w:tc>
        <w:tc>
          <w:tcPr/>
          <w:p>
            <w:pPr>
              <w:pStyle w:val="Compact"/>
              <w:jc w:val="center"/>
            </w:pPr>
            <m:oMath>
              <m:r>
                <m:t>k</m:t>
              </m:r>
              <m:r>
                <m:rPr>
                  <m:sty m:val="p"/>
                </m:rPr>
                <m:t>=</m:t>
              </m:r>
              <m:r>
                <m:t>10</m:t>
              </m:r>
            </m:oMath>
          </w:p>
        </w:tc>
      </w:tr>
      <w:tr>
        <w:tc>
          <w:tcPr/>
          <w:p>
            <w:pPr>
              <w:pStyle w:val="Compact"/>
              <w:jc w:val="left"/>
            </w:pPr>
            <w:r>
              <w:t xml:space="preserve">BM25</w:t>
            </w:r>
          </w:p>
        </w:tc>
        <w:tc>
          <w:tcPr/>
          <w:p>
            <w:pPr>
              <w:pStyle w:val="Compact"/>
              <w:jc w:val="center"/>
            </w:pPr>
            <w:r>
              <w:t xml:space="preserve">0.71 [0.61, 0.83]</w:t>
            </w:r>
          </w:p>
        </w:tc>
        <w:tc>
          <w:tcPr/>
          <w:p>
            <w:pPr>
              <w:pStyle w:val="Compact"/>
              <w:jc w:val="center"/>
            </w:pPr>
            <w:r>
              <w:t xml:space="preserve">0.48 [0.41, 0.55]</w:t>
            </w:r>
          </w:p>
        </w:tc>
        <w:tc>
          <w:tcPr/>
          <w:p>
            <w:pPr>
              <w:pStyle w:val="Compact"/>
              <w:jc w:val="center"/>
            </w:pPr>
            <w:r>
              <w:t xml:space="preserve">0.37 [0.31, 0.43]</w:t>
            </w:r>
          </w:p>
        </w:tc>
        <w:tc>
          <w:tcPr/>
          <w:p>
            <w:pPr>
              <w:pStyle w:val="Compact"/>
              <w:jc w:val="center"/>
            </w:pPr>
            <w:r>
              <w:t xml:space="preserve">0.32 [0.26, 0.38]</w:t>
            </w:r>
          </w:p>
        </w:tc>
      </w:tr>
      <w:tr>
        <w:tc>
          <w:tcPr/>
          <w:p>
            <w:pPr>
              <w:pStyle w:val="Compact"/>
              <w:jc w:val="left"/>
            </w:pPr>
            <w:r>
              <w:t xml:space="preserve">bge-small</w:t>
            </w:r>
          </w:p>
        </w:tc>
        <w:tc>
          <w:tcPr/>
          <w:p>
            <w:pPr>
              <w:pStyle w:val="Compact"/>
              <w:jc w:val="center"/>
            </w:pPr>
            <w:r>
              <w:t xml:space="preserve">0.83 [0.56, 1.22]</w:t>
            </w:r>
          </w:p>
        </w:tc>
        <w:tc>
          <w:tcPr/>
          <w:p>
            <w:pPr>
              <w:pStyle w:val="Compact"/>
              <w:jc w:val="center"/>
            </w:pPr>
            <w:r>
              <w:t xml:space="preserve">0.37 [0.16, 0.59]</w:t>
            </w:r>
          </w:p>
        </w:tc>
        <w:tc>
          <w:tcPr/>
          <w:p>
            <w:pPr>
              <w:pStyle w:val="Compact"/>
              <w:jc w:val="center"/>
            </w:pPr>
            <w:r>
              <w:t xml:space="preserve">0.19 [</w:t>
            </w:r>
            <m:oMath>
              <m:r>
                <m:rPr>
                  <m:sty m:val="p"/>
                </m:rPr>
                <m:t>−</m:t>
              </m:r>
            </m:oMath>
            <w:r>
              <w:t xml:space="preserve">0.07, 0.44]</w:t>
            </w:r>
          </w:p>
        </w:tc>
        <w:tc>
          <w:tcPr/>
          <w:p>
            <w:pPr>
              <w:pStyle w:val="Compact"/>
              <w:jc w:val="center"/>
            </w:pPr>
            <w:r>
              <w:t xml:space="preserve">0.10 [</w:t>
            </w:r>
            <m:oMath>
              <m:r>
                <m:rPr>
                  <m:sty m:val="p"/>
                </m:rPr>
                <m:t>−</m:t>
              </m:r>
            </m:oMath>
            <w:r>
              <w:t xml:space="preserve">0.24, 0.42]</w:t>
            </w:r>
          </w:p>
        </w:tc>
      </w:tr>
      <w:tr>
        <w:tc>
          <w:tcPr/>
          <w:p>
            <w:pPr>
              <w:pStyle w:val="Compact"/>
              <w:jc w:val="left"/>
            </w:pPr>
            <w:r>
              <w:t xml:space="preserve">bge-base</w:t>
            </w:r>
          </w:p>
        </w:tc>
        <w:tc>
          <w:tcPr/>
          <w:p>
            <w:pPr>
              <w:pStyle w:val="Compact"/>
              <w:jc w:val="center"/>
            </w:pPr>
            <w:r>
              <w:t xml:space="preserve">0.61 [0.45, 0.78]</w:t>
            </w:r>
          </w:p>
        </w:tc>
        <w:tc>
          <w:tcPr/>
          <w:p>
            <w:pPr>
              <w:pStyle w:val="Compact"/>
              <w:jc w:val="center"/>
            </w:pPr>
            <w:r>
              <w:t xml:space="preserve">0.32 [0.19, 0.46]</w:t>
            </w:r>
          </w:p>
        </w:tc>
        <w:tc>
          <w:tcPr/>
          <w:p>
            <w:pPr>
              <w:pStyle w:val="Compact"/>
              <w:jc w:val="center"/>
            </w:pPr>
            <w:r>
              <w:t xml:space="preserve">0.20 [0.04, 0.36]</w:t>
            </w:r>
          </w:p>
        </w:tc>
        <w:tc>
          <w:tcPr/>
          <w:p>
            <w:pPr>
              <w:pStyle w:val="Compact"/>
              <w:jc w:val="center"/>
            </w:pPr>
            <w:r>
              <w:t xml:space="preserve">0.05 [</w:t>
            </w:r>
            <m:oMath>
              <m:r>
                <m:rPr>
                  <m:sty m:val="p"/>
                </m:rPr>
                <m:t>−</m:t>
              </m:r>
            </m:oMath>
            <w:r>
              <w:t xml:space="preserve">0.13, 0.22]</w:t>
            </w:r>
          </w:p>
        </w:tc>
      </w:tr>
      <w:tr>
        <w:tc>
          <w:tcPr/>
          <w:p>
            <w:pPr>
              <w:pStyle w:val="Compact"/>
              <w:jc w:val="left"/>
            </w:pPr>
            <w:r>
              <w:t xml:space="preserve">bge-large</w:t>
            </w:r>
          </w:p>
        </w:tc>
        <w:tc>
          <w:tcPr/>
          <w:p>
            <w:pPr>
              <w:pStyle w:val="Compact"/>
              <w:jc w:val="center"/>
            </w:pPr>
            <w:r>
              <w:t xml:space="preserve">0.61 [0.47, 0.77]</w:t>
            </w:r>
          </w:p>
        </w:tc>
        <w:tc>
          <w:tcPr/>
          <w:p>
            <w:pPr>
              <w:pStyle w:val="Compact"/>
              <w:jc w:val="center"/>
            </w:pPr>
            <w:r>
              <w:t xml:space="preserve">0.33 [0.22, 0.44]</w:t>
            </w:r>
          </w:p>
        </w:tc>
        <w:tc>
          <w:tcPr/>
          <w:p>
            <w:pPr>
              <w:pStyle w:val="Compact"/>
              <w:jc w:val="center"/>
            </w:pPr>
            <w:r>
              <w:t xml:space="preserve">0.24 [0.11, 0.36]</w:t>
            </w:r>
          </w:p>
        </w:tc>
        <w:tc>
          <w:tcPr/>
          <w:p>
            <w:pPr>
              <w:pStyle w:val="Compact"/>
              <w:jc w:val="center"/>
            </w:pPr>
            <w:r>
              <w:t xml:space="preserve">0.19 [0.02, 0.35]</w:t>
            </w:r>
          </w:p>
        </w:tc>
      </w:tr>
      <w:tr>
        <w:tc>
          <w:tcPr/>
          <w:p>
            <w:pPr>
              <w:pStyle w:val="Compact"/>
              <w:jc w:val="left"/>
            </w:pPr>
            <w:r>
              <w:t xml:space="preserve">e5-base-v2</w:t>
            </w:r>
          </w:p>
        </w:tc>
        <w:tc>
          <w:tcPr/>
          <w:p>
            <w:pPr>
              <w:pStyle w:val="Compact"/>
              <w:jc w:val="center"/>
            </w:pPr>
            <w:r>
              <w:t xml:space="preserve">0.57 [0.45, 0.69]</w:t>
            </w:r>
          </w:p>
        </w:tc>
        <w:tc>
          <w:tcPr/>
          <w:p>
            <w:pPr>
              <w:pStyle w:val="Compact"/>
              <w:jc w:val="center"/>
            </w:pPr>
            <w:r>
              <w:t xml:space="preserve">0.32 [0.23, 0.41]</w:t>
            </w:r>
          </w:p>
        </w:tc>
        <w:tc>
          <w:tcPr/>
          <w:p>
            <w:pPr>
              <w:pStyle w:val="Compact"/>
              <w:jc w:val="center"/>
            </w:pPr>
            <w:r>
              <w:t xml:space="preserve">0.25 [0.15, 0.36]</w:t>
            </w:r>
          </w:p>
        </w:tc>
        <w:tc>
          <w:tcPr/>
          <w:p>
            <w:pPr>
              <w:pStyle w:val="Compact"/>
              <w:jc w:val="center"/>
            </w:pPr>
            <w:r>
              <w:t xml:space="preserve">0.05 [</w:t>
            </w:r>
            <m:oMath>
              <m:r>
                <m:rPr>
                  <m:sty m:val="p"/>
                </m:rPr>
                <m:t>−</m:t>
              </m:r>
            </m:oMath>
            <w:r>
              <w:t xml:space="preserve">0.09, 0.19]</w:t>
            </w:r>
          </w:p>
        </w:tc>
      </w:tr>
      <w:tr>
        <w:tc>
          <w:tcPr/>
          <w:p>
            <w:pPr>
              <w:pStyle w:val="Compact"/>
              <w:jc w:val="left"/>
            </w:pPr>
            <w:r>
              <w:t xml:space="preserve">Qwen3-Emb-0.6B</w:t>
            </w:r>
          </w:p>
        </w:tc>
        <w:tc>
          <w:tcPr/>
          <w:p>
            <w:pPr>
              <w:pStyle w:val="Compact"/>
              <w:jc w:val="center"/>
            </w:pPr>
            <w:r>
              <w:t xml:space="preserve">0.41 [0.21, 0.60]</w:t>
            </w:r>
          </w:p>
        </w:tc>
        <w:tc>
          <w:tcPr/>
          <w:p>
            <w:pPr>
              <w:pStyle w:val="Compact"/>
              <w:jc w:val="center"/>
            </w:pPr>
            <w:r>
              <w:t xml:space="preserve">0.35 [0.17, 0.53]</w:t>
            </w:r>
          </w:p>
        </w:tc>
        <w:tc>
          <w:tcPr/>
          <w:p>
            <w:pPr>
              <w:pStyle w:val="Compact"/>
              <w:jc w:val="center"/>
            </w:pPr>
            <w:r>
              <w:t xml:space="preserve">0.25 [0.05, 0.45]</w:t>
            </w:r>
          </w:p>
        </w:tc>
        <w:tc>
          <w:tcPr/>
          <w:p>
            <w:pPr>
              <w:pStyle w:val="Compact"/>
              <w:jc w:val="center"/>
            </w:pPr>
            <w:r>
              <w:t xml:space="preserve">0.08 [</w:t>
            </w:r>
            <m:oMath>
              <m:r>
                <m:rPr>
                  <m:sty m:val="p"/>
                </m:rPr>
                <m:t>−</m:t>
              </m:r>
            </m:oMath>
            <w:r>
              <w:t xml:space="preserve">0.27, 0.38]</w:t>
            </w:r>
          </w:p>
        </w:tc>
      </w:tr>
    </w:tbl>
    <w:p>
      <w:pPr>
        <w:pStyle w:val="BodyText"/>
      </w:pPr>
      <w:r>
        <w:rPr>
          <w:iCs/>
          <w:i/>
        </w:rPr>
        <w:t xml:space="preserve">Post hoc; the reporting rule of Section </w:t>
      </w:r>
      <w:hyperlink w:anchor="sec:ratio">
        <w:r>
          <w:rPr>
            <w:rStyle w:val="Hyperlink"/>
            <w:iCs/>
            <w:i/>
          </w:rPr>
          <w:t xml:space="preserve">3.1</w:t>
        </w:r>
      </w:hyperlink>
      <w:r>
        <w:rPr>
          <w:iCs/>
          <w:i/>
        </w:rPr>
        <w:t xml:space="preserve"> </w:t>
      </w:r>
      <w:r>
        <w:rPr>
          <w:iCs/>
          <w:i/>
        </w:rPr>
        <w:t xml:space="preserve">is not applied. For BM25 the ratio describes a retrieval loss.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Row</w:t>
            </w:r>
            <w:r>
              <w:t xml:space="preserve"> </w:t>
            </w:r>
            <m:oMath>
              <m:r>
                <m:rPr>
                  <m:sty m:val="p"/>
                </m:rPr>
                <m:t>−</m:t>
              </m:r>
            </m:oMath>
            <w:r>
              <w:t xml:space="preserve"> </w:t>
            </w:r>
            <w:r>
              <w:t xml:space="preserve">column</w:t>
            </w:r>
          </w:p>
        </w:tc>
        <w:tc>
          <w:tcPr/>
          <w:p>
            <w:pPr>
              <w:pStyle w:val="Compact"/>
              <w:jc w:val="right"/>
            </w:pPr>
            <w:r>
              <w:t xml:space="preserve">BM25</w:t>
            </w:r>
          </w:p>
        </w:tc>
        <w:tc>
          <w:tcPr/>
          <w:p>
            <w:pPr>
              <w:pStyle w:val="Compact"/>
              <w:jc w:val="right"/>
            </w:pPr>
            <w:r>
              <w:t xml:space="preserve">MiniLM-L6</w:t>
            </w:r>
          </w:p>
        </w:tc>
        <w:tc>
          <w:tcPr/>
          <w:p>
            <w:pPr>
              <w:pStyle w:val="Compact"/>
              <w:jc w:val="right"/>
            </w:pPr>
            <w:r>
              <w:t xml:space="preserve">bge-small</w:t>
            </w:r>
          </w:p>
        </w:tc>
        <w:tc>
          <w:tcPr/>
          <w:p>
            <w:pPr>
              <w:pStyle w:val="Compact"/>
              <w:jc w:val="right"/>
            </w:pPr>
            <w:r>
              <w:t xml:space="preserve">bge-base</w:t>
            </w:r>
          </w:p>
        </w:tc>
        <w:tc>
          <w:tcPr/>
          <w:p>
            <w:pPr>
              <w:pStyle w:val="Compact"/>
              <w:jc w:val="right"/>
            </w:pPr>
            <w:r>
              <w:t xml:space="preserve">bge-large</w:t>
            </w:r>
          </w:p>
        </w:tc>
        <w:tc>
          <w:tcPr/>
          <w:p>
            <w:pPr>
              <w:pStyle w:val="Compact"/>
              <w:jc w:val="right"/>
            </w:pPr>
            <w:r>
              <w:t xml:space="preserve">e5-base-v2</w:t>
            </w:r>
          </w:p>
        </w:tc>
      </w:tr>
      <w:tr>
        <w:tc>
          <w:tcPr>
            <w:gridSpan w:val="7"/>
          </w:tcPr>
          <w:p>
            <w:pPr>
              <w:pStyle w:val="Compact"/>
              <w:jc w:val="left"/>
            </w:pPr>
            <w:r>
              <w:rPr>
                <w:iCs/>
                <w:i/>
              </w:rPr>
              <w:t xml:space="preserve">NQ, Qwen</w:t>
            </w:r>
          </w:p>
        </w:tc>
      </w:tr>
      <w:tr>
        <w:tc>
          <w:tcPr/>
          <w:p>
            <w:pPr>
              <w:pStyle w:val="Compact"/>
              <w:jc w:val="left"/>
            </w:pPr>
            <w:r>
              <w:t xml:space="preserve">MiniLM-L6</w:t>
            </w:r>
          </w:p>
        </w:tc>
        <w:tc>
          <w:tcPr/>
          <w:p>
            <w:pPr>
              <w:pStyle w:val="Compact"/>
              <w:jc w:val="right"/>
            </w:pPr>
            <w:r>
              <w:t xml:space="preserve">+0.112</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+0.124</w:t>
            </w:r>
            <m:oMath>
              <m:sSup>
                <m:e>
                  <m:r>
                    <m:t>​</m:t>
                  </m:r>
                </m:e>
                <m:sup>
                  <m:r>
                    <m:rPr>
                      <m:sty m:val="p"/>
                    </m:rPr>
                    <m:t>*</m:t>
                  </m:r>
                </m:sup>
              </m:sSup>
            </m:oMath>
          </w:p>
        </w:tc>
        <w:tc>
          <w:tcPr/>
          <w:p>
            <w:pPr>
              <w:pStyle w:val="Compact"/>
              <w:jc w:val="right"/>
            </w:pPr>
            <w:r>
              <w:t xml:space="preserve">+0.012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+0.133</w:t>
            </w:r>
            <m:oMath>
              <m:sSup>
                <m:e>
                  <m:r>
                    <m:t>​</m:t>
                  </m:r>
                </m:e>
                <m:sup>
                  <m:r>
                    <m:rPr>
                      <m:sty m:val="p"/>
                    </m:rPr>
                    <m:t>*</m:t>
                  </m:r>
                </m:sup>
              </m:sSup>
            </m:oMath>
          </w:p>
        </w:tc>
        <w:tc>
          <w:tcPr/>
          <w:p>
            <w:pPr>
              <w:pStyle w:val="Compact"/>
              <w:jc w:val="right"/>
            </w:pPr>
            <w:r>
              <w:t xml:space="preserve">+0.022</w:t>
            </w:r>
          </w:p>
        </w:tc>
        <w:tc>
          <w:tcPr/>
          <w:p>
            <w:pPr>
              <w:pStyle w:val="Compact"/>
              <w:jc w:val="right"/>
            </w:pPr>
            <w:r>
              <w:t xml:space="preserve">+0.009</w:t>
            </w:r>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+0.144</w:t>
            </w:r>
            <m:oMath>
              <m:sSup>
                <m:e>
                  <m:r>
                    <m:t>​</m:t>
                  </m:r>
                </m:e>
                <m:sup>
                  <m:r>
                    <m:rPr>
                      <m:sty m:val="p"/>
                    </m:rPr>
                    <m:t>*</m:t>
                  </m:r>
                </m:sup>
              </m:sSup>
            </m:oMath>
          </w:p>
        </w:tc>
        <w:tc>
          <w:tcPr/>
          <w:p>
            <w:pPr>
              <w:pStyle w:val="Compact"/>
              <w:jc w:val="right"/>
            </w:pPr>
            <w:r>
              <w:t xml:space="preserve">+0.032</w:t>
            </w:r>
            <m:oMath>
              <m:sSup>
                <m:e>
                  <m:r>
                    <m:t>​</m:t>
                  </m:r>
                </m:e>
                <m:sup>
                  <m:r>
                    <m:rPr>
                      <m:sty m:val="p"/>
                    </m:rPr>
                    <m:t>*</m:t>
                  </m:r>
                </m:sup>
              </m:sSup>
            </m:oMath>
          </w:p>
        </w:tc>
        <w:tc>
          <w:tcPr/>
          <w:p>
            <w:pPr>
              <w:pStyle w:val="Compact"/>
              <w:jc w:val="right"/>
            </w:pPr>
            <w:r>
              <w:t xml:space="preserve">+0.020</w:t>
            </w:r>
          </w:p>
        </w:tc>
        <w:tc>
          <w:tcPr/>
          <w:p>
            <w:pPr>
              <w:pStyle w:val="Compact"/>
              <w:jc w:val="right"/>
            </w:pPr>
            <w:r>
              <w:t xml:space="preserve">+0.010</w:t>
            </w:r>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+0.150</w:t>
            </w:r>
            <m:oMath>
              <m:sSup>
                <m:e>
                  <m:r>
                    <m:t>​</m:t>
                  </m:r>
                </m:e>
                <m:sup>
                  <m:r>
                    <m:rPr>
                      <m:sty m:val="p"/>
                    </m:rPr>
                    <m:t>*</m:t>
                  </m:r>
                </m:sup>
              </m:sSup>
            </m:oMath>
          </w:p>
        </w:tc>
        <w:tc>
          <w:tcPr/>
          <w:p>
            <w:pPr>
              <w:pStyle w:val="Compact"/>
              <w:jc w:val="right"/>
            </w:pPr>
            <w:r>
              <w:t xml:space="preserve">+0.038</w:t>
            </w:r>
            <m:oMath>
              <m:sSup>
                <m:e>
                  <m:r>
                    <m:t>​</m:t>
                  </m:r>
                </m:e>
                <m:sup>
                  <m:r>
                    <m:rPr>
                      <m:sty m:val="p"/>
                    </m:rPr>
                    <m:t>*</m:t>
                  </m:r>
                </m:sup>
              </m:sSup>
            </m:oMath>
          </w:p>
        </w:tc>
        <w:tc>
          <w:tcPr/>
          <w:p>
            <w:pPr>
              <w:pStyle w:val="Compact"/>
              <w:jc w:val="right"/>
            </w:pPr>
            <w:r>
              <w:t xml:space="preserve">+0.026</w:t>
            </w:r>
            <m:oMath>
              <m:sSup>
                <m:e>
                  <m:r>
                    <m:t>​</m:t>
                  </m:r>
                </m:e>
                <m:sup>
                  <m:r>
                    <m:rPr>
                      <m:sty m:val="p"/>
                    </m:rPr>
                    <m:t>*</m:t>
                  </m:r>
                </m:sup>
              </m:sSup>
            </m:oMath>
          </w:p>
        </w:tc>
        <w:tc>
          <w:tcPr/>
          <w:p>
            <w:pPr>
              <w:pStyle w:val="Compact"/>
              <w:jc w:val="right"/>
            </w:pPr>
            <w:r>
              <w:t xml:space="preserve">+0.016</w:t>
            </w:r>
          </w:p>
        </w:tc>
        <w:tc>
          <w:tcPr/>
          <w:p>
            <w:pPr>
              <w:pStyle w:val="Compact"/>
              <w:jc w:val="right"/>
            </w:pPr>
            <w:r>
              <w:t xml:space="preserve">+0.006</w:t>
            </w:r>
          </w:p>
        </w:tc>
        <w:tc>
          <w:tcPr/>
          <w:p>
            <w:pPr>
              <w:pStyle w:val="Compact"/>
            </w:pPr>
          </w:p>
        </w:tc>
      </w:tr>
      <w:tr>
        <w:tc>
          <w:tcPr/>
          <w:p>
            <w:pPr>
              <w:pStyle w:val="Compact"/>
              <w:jc w:val="left"/>
            </w:pPr>
            <w:r>
              <w:t xml:space="preserve">Qwen3-Emb-0.6B</w:t>
            </w:r>
          </w:p>
        </w:tc>
        <w:tc>
          <w:tcPr/>
          <w:p>
            <w:pPr>
              <w:pStyle w:val="Compact"/>
              <w:jc w:val="right"/>
            </w:pPr>
            <w:r>
              <w:t xml:space="preserve">+0.132</w:t>
            </w:r>
            <m:oMath>
              <m:sSup>
                <m:e>
                  <m:r>
                    <m:t>​</m:t>
                  </m:r>
                </m:e>
                <m:sup>
                  <m:r>
                    <m:rPr>
                      <m:sty m:val="p"/>
                    </m:rPr>
                    <m:t>*</m:t>
                  </m:r>
                </m:sup>
              </m:sSup>
            </m:oMath>
          </w:p>
        </w:tc>
        <w:tc>
          <w:tcPr/>
          <w:p>
            <w:pPr>
              <w:pStyle w:val="Compact"/>
              <w:jc w:val="right"/>
            </w:pPr>
            <w:r>
              <w:t xml:space="preserve">+0.020</w:t>
            </w:r>
          </w:p>
        </w:tc>
        <w:tc>
          <w:tcPr/>
          <w:p>
            <w:pPr>
              <w:pStyle w:val="Compact"/>
              <w:jc w:val="right"/>
            </w:pPr>
            <w:r>
              <w:t xml:space="preserve">+0.008</w:t>
            </w:r>
          </w:p>
        </w:tc>
        <w:tc>
          <w:tcPr/>
          <w:p>
            <w:pPr>
              <w:pStyle w:val="Compact"/>
              <w:jc w:val="right"/>
            </w:pPr>
            <m:oMath>
              <m:r>
                <m:rPr>
                  <m:sty m:val="p"/>
                </m:rPr>
                <m:t>−</m:t>
              </m:r>
            </m:oMath>
            <w:r>
              <w:t xml:space="preserve">0.001</w:t>
            </w:r>
          </w:p>
        </w:tc>
        <w:tc>
          <w:tcPr/>
          <w:p>
            <w:pPr>
              <w:pStyle w:val="Compact"/>
              <w:jc w:val="right"/>
            </w:pPr>
            <m:oMath>
              <m:r>
                <m:rPr>
                  <m:sty m:val="p"/>
                </m:rPr>
                <m:t>−</m:t>
              </m:r>
            </m:oMath>
            <w:r>
              <w:t xml:space="preserve">0.012</w:t>
            </w:r>
          </w:p>
        </w:tc>
        <w:tc>
          <w:tcPr/>
          <w:p>
            <w:pPr>
              <w:pStyle w:val="Compact"/>
              <w:jc w:val="right"/>
            </w:pPr>
            <m:oMath>
              <m:r>
                <m:rPr>
                  <m:sty m:val="p"/>
                </m:rPr>
                <m:t>−</m:t>
              </m:r>
            </m:oMath>
            <w:r>
              <w:t xml:space="preserve">0.018</w:t>
            </w:r>
          </w:p>
        </w:tc>
      </w:tr>
      <w:tr>
        <w:tc>
          <w:tcPr>
            <w:gridSpan w:val="7"/>
          </w:tcPr>
          <w:p>
            <w:pPr>
              <w:pStyle w:val="Compact"/>
              <w:jc w:val="left"/>
            </w:pPr>
            <w:r>
              <w:rPr>
                <w:iCs/>
                <w:i/>
              </w:rPr>
              <w:t xml:space="preserve">NQ, Llama</w:t>
            </w:r>
          </w:p>
        </w:tc>
      </w:tr>
      <w:tr>
        <w:tc>
          <w:tcPr/>
          <w:p>
            <w:pPr>
              <w:pStyle w:val="Compact"/>
              <w:jc w:val="left"/>
            </w:pPr>
            <w:r>
              <w:t xml:space="preserve">MiniLM-L6</w:t>
            </w:r>
          </w:p>
        </w:tc>
        <w:tc>
          <w:tcPr/>
          <w:p>
            <w:pPr>
              <w:pStyle w:val="Compact"/>
              <w:jc w:val="right"/>
            </w:pPr>
            <w:r>
              <w:t xml:space="preserve">+0.108</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+0.120</w:t>
            </w:r>
            <m:oMath>
              <m:sSup>
                <m:e>
                  <m:r>
                    <m:t>​</m:t>
                  </m:r>
                </m:e>
                <m:sup>
                  <m:r>
                    <m:rPr>
                      <m:sty m:val="p"/>
                    </m:rPr>
                    <m:t>*</m:t>
                  </m:r>
                </m:sup>
              </m:sSup>
            </m:oMath>
          </w:p>
        </w:tc>
        <w:tc>
          <w:tcPr/>
          <w:p>
            <w:pPr>
              <w:pStyle w:val="Compact"/>
              <w:jc w:val="right"/>
            </w:pPr>
            <w:r>
              <w:t xml:space="preserve">+0.012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+0.137</w:t>
            </w:r>
            <m:oMath>
              <m:sSup>
                <m:e>
                  <m:r>
                    <m:t>​</m:t>
                  </m:r>
                </m:e>
                <m:sup>
                  <m:r>
                    <m:rPr>
                      <m:sty m:val="p"/>
                    </m:rPr>
                    <m:t>*</m:t>
                  </m:r>
                </m:sup>
              </m:sSup>
            </m:oMath>
          </w:p>
        </w:tc>
        <w:tc>
          <w:tcPr/>
          <w:p>
            <w:pPr>
              <w:pStyle w:val="Compact"/>
              <w:jc w:val="right"/>
            </w:pPr>
            <w:r>
              <w:t xml:space="preserve">+0.029</w:t>
            </w:r>
            <m:oMath>
              <m:sSup>
                <m:e>
                  <m:r>
                    <m:t>​</m:t>
                  </m:r>
                </m:e>
                <m:sup>
                  <m:r>
                    <m:rPr>
                      <m:sty m:val="p"/>
                    </m:rPr>
                    <m:t>*</m:t>
                  </m:r>
                </m:sup>
              </m:sSup>
            </m:oMath>
          </w:p>
        </w:tc>
        <w:tc>
          <w:tcPr/>
          <w:p>
            <w:pPr>
              <w:pStyle w:val="Compact"/>
              <w:jc w:val="right"/>
            </w:pPr>
            <w:r>
              <w:t xml:space="preserve">+0.017</w:t>
            </w:r>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+0.129</w:t>
            </w:r>
            <m:oMath>
              <m:sSup>
                <m:e>
                  <m:r>
                    <m:t>​</m:t>
                  </m:r>
                </m:e>
                <m:sup>
                  <m:r>
                    <m:rPr>
                      <m:sty m:val="p"/>
                    </m:rPr>
                    <m:t>*</m:t>
                  </m:r>
                </m:sup>
              </m:sSup>
            </m:oMath>
          </w:p>
        </w:tc>
        <w:tc>
          <w:tcPr/>
          <w:p>
            <w:pPr>
              <w:pStyle w:val="Compact"/>
              <w:jc w:val="right"/>
            </w:pPr>
            <w:r>
              <w:t xml:space="preserve">+0.021</w:t>
            </w:r>
          </w:p>
        </w:tc>
        <w:tc>
          <w:tcPr/>
          <w:p>
            <w:pPr>
              <w:pStyle w:val="Compact"/>
              <w:jc w:val="right"/>
            </w:pPr>
            <w:r>
              <w:t xml:space="preserve">+0.009</w:t>
            </w:r>
          </w:p>
        </w:tc>
        <w:tc>
          <w:tcPr/>
          <w:p>
            <w:pPr>
              <w:pStyle w:val="Compact"/>
              <w:jc w:val="right"/>
            </w:pPr>
            <m:oMath>
              <m:r>
                <m:rPr>
                  <m:sty m:val="p"/>
                </m:rPr>
                <m:t>−</m:t>
              </m:r>
            </m:oMath>
            <w:r>
              <w:t xml:space="preserve">0.008</w:t>
            </w:r>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+0.132</w:t>
            </w:r>
            <m:oMath>
              <m:sSup>
                <m:e>
                  <m:r>
                    <m:t>​</m:t>
                  </m:r>
                </m:e>
                <m:sup>
                  <m:r>
                    <m:rPr>
                      <m:sty m:val="p"/>
                    </m:rPr>
                    <m:t>*</m:t>
                  </m:r>
                </m:sup>
              </m:sSup>
            </m:oMath>
          </w:p>
        </w:tc>
        <w:tc>
          <w:tcPr/>
          <w:p>
            <w:pPr>
              <w:pStyle w:val="Compact"/>
              <w:jc w:val="right"/>
            </w:pPr>
            <w:r>
              <w:t xml:space="preserve">+0.024</w:t>
            </w:r>
          </w:p>
        </w:tc>
        <w:tc>
          <w:tcPr/>
          <w:p>
            <w:pPr>
              <w:pStyle w:val="Compact"/>
              <w:jc w:val="right"/>
            </w:pPr>
            <w:r>
              <w:t xml:space="preserve">+0.012</w:t>
            </w:r>
          </w:p>
        </w:tc>
        <w:tc>
          <w:tcPr/>
          <w:p>
            <w:pPr>
              <w:pStyle w:val="Compact"/>
              <w:jc w:val="right"/>
            </w:pPr>
            <m:oMath>
              <m:r>
                <m:rPr>
                  <m:sty m:val="p"/>
                </m:rPr>
                <m:t>−</m:t>
              </m:r>
            </m:oMath>
            <w:r>
              <w:t xml:space="preserve">0.004</w:t>
            </w:r>
          </w:p>
        </w:tc>
        <w:tc>
          <w:tcPr/>
          <w:p>
            <w:pPr>
              <w:pStyle w:val="Compact"/>
              <w:jc w:val="right"/>
            </w:pPr>
            <w:r>
              <w:t xml:space="preserve">+0.004</w:t>
            </w:r>
          </w:p>
        </w:tc>
        <w:tc>
          <w:tcPr/>
          <w:p>
            <w:pPr>
              <w:pStyle w:val="Compact"/>
            </w:pPr>
          </w:p>
        </w:tc>
      </w:tr>
      <w:tr>
        <w:tc>
          <w:tcPr/>
          <w:p>
            <w:pPr>
              <w:pStyle w:val="Compact"/>
              <w:jc w:val="left"/>
            </w:pPr>
            <w:r>
              <w:t xml:space="preserve">Qwen3-Emb-0.6B</w:t>
            </w:r>
          </w:p>
        </w:tc>
        <w:tc>
          <w:tcPr/>
          <w:p>
            <w:pPr>
              <w:pStyle w:val="Compact"/>
              <w:jc w:val="right"/>
            </w:pPr>
            <w:r>
              <w:t xml:space="preserve">+0.125</w:t>
            </w:r>
            <m:oMath>
              <m:sSup>
                <m:e>
                  <m:r>
                    <m:t>​</m:t>
                  </m:r>
                </m:e>
                <m:sup>
                  <m:r>
                    <m:rPr>
                      <m:sty m:val="p"/>
                    </m:rPr>
                    <m:t>*</m:t>
                  </m:r>
                </m:sup>
              </m:sSup>
            </m:oMath>
          </w:p>
        </w:tc>
        <w:tc>
          <w:tcPr/>
          <w:p>
            <w:pPr>
              <w:pStyle w:val="Compact"/>
              <w:jc w:val="right"/>
            </w:pPr>
            <w:r>
              <w:t xml:space="preserve">+0.018</w:t>
            </w:r>
          </w:p>
        </w:tc>
        <w:tc>
          <w:tcPr/>
          <w:p>
            <w:pPr>
              <w:pStyle w:val="Compact"/>
              <w:jc w:val="right"/>
            </w:pPr>
            <w:r>
              <w:t xml:space="preserve">+0.006</w:t>
            </w:r>
          </w:p>
        </w:tc>
        <w:tc>
          <w:tcPr/>
          <w:p>
            <w:pPr>
              <w:pStyle w:val="Compact"/>
              <w:jc w:val="right"/>
            </w:pPr>
            <m:oMath>
              <m:r>
                <m:rPr>
                  <m:sty m:val="p"/>
                </m:rPr>
                <m:t>−</m:t>
              </m:r>
            </m:oMath>
            <w:r>
              <w:t xml:space="preserve">0.011</w:t>
            </w:r>
          </w:p>
        </w:tc>
        <w:tc>
          <w:tcPr/>
          <w:p>
            <w:pPr>
              <w:pStyle w:val="Compact"/>
              <w:jc w:val="right"/>
            </w:pPr>
            <m:oMath>
              <m:r>
                <m:rPr>
                  <m:sty m:val="p"/>
                </m:rPr>
                <m:t>−</m:t>
              </m:r>
            </m:oMath>
            <w:r>
              <w:t xml:space="preserve">0.003</w:t>
            </w:r>
          </w:p>
        </w:tc>
        <w:tc>
          <w:tcPr/>
          <w:p>
            <w:pPr>
              <w:pStyle w:val="Compact"/>
              <w:jc w:val="right"/>
            </w:pPr>
            <m:oMath>
              <m:r>
                <m:rPr>
                  <m:sty m:val="p"/>
                </m:rPr>
                <m:t>−</m:t>
              </m:r>
            </m:oMath>
            <w:r>
              <w:t xml:space="preserve">0.007</w:t>
            </w:r>
          </w:p>
        </w:tc>
      </w:tr>
      <w:tr>
        <w:tc>
          <w:tcPr>
            <w:gridSpan w:val="7"/>
          </w:tcPr>
          <w:p>
            <w:pPr>
              <w:pStyle w:val="Compact"/>
              <w:jc w:val="left"/>
            </w:pPr>
            <w:r>
              <w:rPr>
                <w:iCs/>
                <w:i/>
              </w:rPr>
              <w:t xml:space="preserve">HotpotQA, Qwen</w:t>
            </w:r>
          </w:p>
        </w:tc>
      </w:tr>
      <w:tr>
        <w:tc>
          <w:tcPr/>
          <w:p>
            <w:pPr>
              <w:pStyle w:val="Compact"/>
              <w:jc w:val="left"/>
            </w:pPr>
            <w:r>
              <w:t xml:space="preserve">MiniLM-L6</w:t>
            </w:r>
          </w:p>
        </w:tc>
        <w:tc>
          <w:tcPr/>
          <w:p>
            <w:pPr>
              <w:pStyle w:val="Compact"/>
              <w:jc w:val="right"/>
            </w:pPr>
            <m:oMath>
              <m:r>
                <m:rPr>
                  <m:sty m:val="p"/>
                </m:rPr>
                <m:t>−</m:t>
              </m:r>
            </m:oMath>
            <w:r>
              <w:t xml:space="preserve">0.035</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+0.056</w:t>
            </w:r>
            <m:oMath>
              <m:sSup>
                <m:e>
                  <m:r>
                    <m:t>​</m:t>
                  </m:r>
                </m:e>
                <m:sup>
                  <m:r>
                    <m:rPr>
                      <m:sty m:val="p"/>
                    </m:rPr>
                    <m:t>*</m:t>
                  </m:r>
                </m:sup>
              </m:sSup>
            </m:oMath>
          </w:p>
        </w:tc>
        <w:tc>
          <w:tcPr/>
          <w:p>
            <w:pPr>
              <w:pStyle w:val="Compact"/>
              <w:jc w:val="right"/>
            </w:pPr>
            <w:r>
              <w:t xml:space="preserve">+0.090</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+0.066</w:t>
            </w:r>
            <m:oMath>
              <m:sSup>
                <m:e>
                  <m:r>
                    <m:t>​</m:t>
                  </m:r>
                </m:e>
                <m:sup>
                  <m:r>
                    <m:rPr>
                      <m:sty m:val="p"/>
                    </m:rPr>
                    <m:t>*</m:t>
                  </m:r>
                </m:sup>
              </m:sSup>
            </m:oMath>
          </w:p>
        </w:tc>
        <w:tc>
          <w:tcPr/>
          <w:p>
            <w:pPr>
              <w:pStyle w:val="Compact"/>
              <w:jc w:val="right"/>
            </w:pPr>
            <w:r>
              <w:t xml:space="preserve">+0.100</w:t>
            </w:r>
            <m:oMath>
              <m:sSup>
                <m:e>
                  <m:r>
                    <m:t>​</m:t>
                  </m:r>
                </m:e>
                <m:sup>
                  <m:r>
                    <m:rPr>
                      <m:sty m:val="p"/>
                    </m:rPr>
                    <m:t>*</m:t>
                  </m:r>
                </m:sup>
              </m:sSup>
            </m:oMath>
          </w:p>
        </w:tc>
        <w:tc>
          <w:tcPr/>
          <w:p>
            <w:pPr>
              <w:pStyle w:val="Compact"/>
              <w:jc w:val="right"/>
            </w:pPr>
            <w:r>
              <w:t xml:space="preserve">+0.010</w:t>
            </w:r>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+0.086</w:t>
            </w:r>
            <m:oMath>
              <m:sSup>
                <m:e>
                  <m:r>
                    <m:t>​</m:t>
                  </m:r>
                </m:e>
                <m:sup>
                  <m:r>
                    <m:rPr>
                      <m:sty m:val="p"/>
                    </m:rPr>
                    <m:t>*</m:t>
                  </m:r>
                </m:sup>
              </m:sSup>
            </m:oMath>
          </w:p>
        </w:tc>
        <w:tc>
          <w:tcPr/>
          <w:p>
            <w:pPr>
              <w:pStyle w:val="Compact"/>
              <w:jc w:val="right"/>
            </w:pPr>
            <w:r>
              <w:t xml:space="preserve">+0.120</w:t>
            </w:r>
            <m:oMath>
              <m:sSup>
                <m:e>
                  <m:r>
                    <m:t>​</m:t>
                  </m:r>
                </m:e>
                <m:sup>
                  <m:r>
                    <m:rPr>
                      <m:sty m:val="p"/>
                    </m:rPr>
                    <m:t>*</m:t>
                  </m:r>
                </m:sup>
              </m:sSup>
            </m:oMath>
          </w:p>
        </w:tc>
        <w:tc>
          <w:tcPr/>
          <w:p>
            <w:pPr>
              <w:pStyle w:val="Compact"/>
              <w:jc w:val="right"/>
            </w:pPr>
            <w:r>
              <w:t xml:space="preserve">+0.030</w:t>
            </w:r>
            <m:oMath>
              <m:sSup>
                <m:e>
                  <m:r>
                    <m:t>​</m:t>
                  </m:r>
                </m:e>
                <m:sup>
                  <m:r>
                    <m:rPr>
                      <m:sty m:val="p"/>
                    </m:rPr>
                    <m:t>*</m:t>
                  </m:r>
                </m:sup>
              </m:sSup>
            </m:oMath>
          </w:p>
        </w:tc>
        <w:tc>
          <w:tcPr/>
          <w:p>
            <w:pPr>
              <w:pStyle w:val="Compact"/>
              <w:jc w:val="right"/>
            </w:pPr>
            <w:r>
              <w:t xml:space="preserve">+0.020</w:t>
            </w:r>
            <m:oMath>
              <m:sSup>
                <m:e>
                  <m:r>
                    <m:t>​</m:t>
                  </m:r>
                </m:e>
                <m:sup>
                  <m:r>
                    <m:rPr>
                      <m:sty m:val="p"/>
                    </m:rPr>
                    <m:t>*</m:t>
                  </m:r>
                </m:sup>
              </m:sSup>
            </m:oMath>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+0.058</w:t>
            </w:r>
            <m:oMath>
              <m:sSup>
                <m:e>
                  <m:r>
                    <m:t>​</m:t>
                  </m:r>
                </m:e>
                <m:sup>
                  <m:r>
                    <m:rPr>
                      <m:sty m:val="p"/>
                    </m:rPr>
                    <m:t>*</m:t>
                  </m:r>
                </m:sup>
              </m:sSup>
            </m:oMath>
          </w:p>
        </w:tc>
        <w:tc>
          <w:tcPr/>
          <w:p>
            <w:pPr>
              <w:pStyle w:val="Compact"/>
              <w:jc w:val="right"/>
            </w:pPr>
            <w:r>
              <w:t xml:space="preserve">+0.092</w:t>
            </w:r>
            <m:oMath>
              <m:sSup>
                <m:e>
                  <m:r>
                    <m:t>​</m:t>
                  </m:r>
                </m:e>
                <m:sup>
                  <m:r>
                    <m:rPr>
                      <m:sty m:val="p"/>
                    </m:rPr>
                    <m:t>*</m:t>
                  </m:r>
                </m:sup>
              </m:sSup>
            </m:oMath>
          </w:p>
        </w:tc>
        <w:tc>
          <w:tcPr/>
          <w:p>
            <w:pPr>
              <w:pStyle w:val="Compact"/>
              <w:jc w:val="right"/>
            </w:pPr>
            <w:r>
              <w:t xml:space="preserve">+0.002</w:t>
            </w:r>
          </w:p>
        </w:tc>
        <w:tc>
          <w:tcPr/>
          <w:p>
            <w:pPr>
              <w:pStyle w:val="Compact"/>
              <w:jc w:val="right"/>
            </w:pPr>
            <m:oMath>
              <m:r>
                <m:rPr>
                  <m:sty m:val="p"/>
                </m:rPr>
                <m:t>−</m:t>
              </m:r>
            </m:oMath>
            <w:r>
              <w:t xml:space="preserve">0.008</w:t>
            </w:r>
          </w:p>
        </w:tc>
        <w:tc>
          <w:tcPr/>
          <w:p>
            <w:pPr>
              <w:pStyle w:val="Compact"/>
              <w:jc w:val="right"/>
            </w:pPr>
            <m:oMath>
              <m:r>
                <m:rPr>
                  <m:sty m:val="p"/>
                </m:rPr>
                <m:t>−</m:t>
              </m:r>
            </m:oMath>
            <w:r>
              <w:t xml:space="preserve">0.028</w:t>
            </w:r>
            <m:oMath>
              <m:sSup>
                <m:e>
                  <m:r>
                    <m:t>​</m:t>
                  </m:r>
                </m:e>
                <m:sup>
                  <m:r>
                    <m:rPr>
                      <m:sty m:val="p"/>
                    </m:rPr>
                    <m:t>*</m:t>
                  </m:r>
                </m:sup>
              </m:sSup>
            </m:oMath>
          </w:p>
        </w:tc>
        <w:tc>
          <w:tcPr/>
          <w:p>
            <w:pPr>
              <w:pStyle w:val="Compact"/>
            </w:pPr>
          </w:p>
        </w:tc>
      </w:tr>
      <w:tr>
        <w:tc>
          <w:tcPr/>
          <w:p>
            <w:pPr>
              <w:pStyle w:val="Compact"/>
              <w:jc w:val="left"/>
            </w:pPr>
            <w:r>
              <w:t xml:space="preserve">Qwen3-Emb-0.6B</w:t>
            </w:r>
          </w:p>
        </w:tc>
        <w:tc>
          <w:tcPr/>
          <w:p>
            <w:pPr>
              <w:pStyle w:val="Compact"/>
              <w:jc w:val="right"/>
            </w:pPr>
            <w:r>
              <w:t xml:space="preserve">+0.028</w:t>
            </w:r>
            <m:oMath>
              <m:sSup>
                <m:e>
                  <m:r>
                    <m:t>​</m:t>
                  </m:r>
                </m:e>
                <m:sup>
                  <m:r>
                    <m:rPr>
                      <m:sty m:val="p"/>
                    </m:rPr>
                    <m:t>*</m:t>
                  </m:r>
                </m:sup>
              </m:sSup>
            </m:oMath>
          </w:p>
        </w:tc>
        <w:tc>
          <w:tcPr/>
          <w:p>
            <w:pPr>
              <w:pStyle w:val="Compact"/>
              <w:jc w:val="right"/>
            </w:pPr>
            <w:r>
              <w:t xml:space="preserve">+0.062</w:t>
            </w:r>
            <m:oMath>
              <m:sSup>
                <m:e>
                  <m:r>
                    <m:t>​</m:t>
                  </m:r>
                </m:e>
                <m:sup>
                  <m:r>
                    <m:rPr>
                      <m:sty m:val="p"/>
                    </m:rPr>
                    <m:t>*</m:t>
                  </m:r>
                </m:sup>
              </m:sSup>
            </m:oMath>
          </w:p>
        </w:tc>
        <w:tc>
          <w:tcPr/>
          <w:p>
            <w:pPr>
              <w:pStyle w:val="Compact"/>
              <w:jc w:val="right"/>
            </w:pPr>
            <m:oMath>
              <m:r>
                <m:rPr>
                  <m:sty m:val="p"/>
                </m:rPr>
                <m:t>−</m:t>
              </m:r>
            </m:oMath>
            <w:r>
              <w:t xml:space="preserve">0.028</w:t>
            </w:r>
            <m:oMath>
              <m:sSup>
                <m:e>
                  <m:r>
                    <m:t>​</m:t>
                  </m:r>
                </m:e>
                <m:sup>
                  <m:r>
                    <m:rPr>
                      <m:sty m:val="p"/>
                    </m:rPr>
                    <m:t>*</m:t>
                  </m:r>
                </m:sup>
              </m:sSup>
            </m:oMath>
          </w:p>
        </w:tc>
        <w:tc>
          <w:tcPr/>
          <w:p>
            <w:pPr>
              <w:pStyle w:val="Compact"/>
              <w:jc w:val="right"/>
            </w:pPr>
            <m:oMath>
              <m:r>
                <m:rPr>
                  <m:sty m:val="p"/>
                </m:rPr>
                <m:t>−</m:t>
              </m:r>
            </m:oMath>
            <w:r>
              <w:t xml:space="preserve">0.037</w:t>
            </w:r>
            <m:oMath>
              <m:sSup>
                <m:e>
                  <m:r>
                    <m:t>​</m:t>
                  </m:r>
                </m:e>
                <m:sup>
                  <m:r>
                    <m:rPr>
                      <m:sty m:val="p"/>
                    </m:rPr>
                    <m:t>*</m:t>
                  </m:r>
                </m:sup>
              </m:sSup>
            </m:oMath>
          </w:p>
        </w:tc>
        <w:tc>
          <w:tcPr/>
          <w:p>
            <w:pPr>
              <w:pStyle w:val="Compact"/>
              <w:jc w:val="right"/>
            </w:pPr>
            <m:oMath>
              <m:r>
                <m:rPr>
                  <m:sty m:val="p"/>
                </m:rPr>
                <m:t>−</m:t>
              </m:r>
            </m:oMath>
            <w:r>
              <w:t xml:space="preserve">0.058</w:t>
            </w:r>
            <m:oMath>
              <m:sSup>
                <m:e>
                  <m:r>
                    <m:t>​</m:t>
                  </m:r>
                </m:e>
                <m:sup>
                  <m:r>
                    <m:rPr>
                      <m:sty m:val="p"/>
                    </m:rPr>
                    <m:t>*</m:t>
                  </m:r>
                </m:sup>
              </m:sSup>
            </m:oMath>
          </w:p>
        </w:tc>
        <w:tc>
          <w:tcPr/>
          <w:p>
            <w:pPr>
              <w:pStyle w:val="Compact"/>
              <w:jc w:val="right"/>
            </w:pPr>
            <m:oMath>
              <m:r>
                <m:rPr>
                  <m:sty m:val="p"/>
                </m:rPr>
                <m:t>−</m:t>
              </m:r>
            </m:oMath>
            <w:r>
              <w:t xml:space="preserve">0.029</w:t>
            </w:r>
            <m:oMath>
              <m:sSup>
                <m:e>
                  <m:r>
                    <m:t>​</m:t>
                  </m:r>
                </m:e>
                <m:sup>
                  <m:r>
                    <m:rPr>
                      <m:sty m:val="p"/>
                    </m:rPr>
                    <m:t>*</m:t>
                  </m:r>
                </m:sup>
              </m:sSup>
            </m:oMath>
          </w:p>
        </w:tc>
      </w:tr>
      <w:tr>
        <w:tc>
          <w:tcPr>
            <w:gridSpan w:val="7"/>
          </w:tcPr>
          <w:p>
            <w:pPr>
              <w:pStyle w:val="Compact"/>
              <w:jc w:val="left"/>
            </w:pPr>
            <w:r>
              <w:rPr>
                <w:iCs/>
                <w:i/>
              </w:rPr>
              <w:t xml:space="preserve">HotpotQA, Llama</w:t>
            </w:r>
          </w:p>
        </w:tc>
      </w:tr>
      <w:tr>
        <w:tc>
          <w:tcPr/>
          <w:p>
            <w:pPr>
              <w:pStyle w:val="Compact"/>
              <w:jc w:val="left"/>
            </w:pPr>
            <w:r>
              <w:t xml:space="preserve">MiniLM-L6</w:t>
            </w:r>
          </w:p>
        </w:tc>
        <w:tc>
          <w:tcPr/>
          <w:p>
            <w:pPr>
              <w:pStyle w:val="Compact"/>
              <w:jc w:val="right"/>
            </w:pPr>
            <m:oMath>
              <m:r>
                <m:rPr>
                  <m:sty m:val="p"/>
                </m:rPr>
                <m:t>−</m:t>
              </m:r>
            </m:oMath>
            <w:r>
              <w:t xml:space="preserve">0.038</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+0.057</w:t>
            </w:r>
            <m:oMath>
              <m:sSup>
                <m:e>
                  <m:r>
                    <m:t>​</m:t>
                  </m:r>
                </m:e>
                <m:sup>
                  <m:r>
                    <m:rPr>
                      <m:sty m:val="p"/>
                    </m:rPr>
                    <m:t>*</m:t>
                  </m:r>
                </m:sup>
              </m:sSup>
            </m:oMath>
          </w:p>
        </w:tc>
        <w:tc>
          <w:tcPr/>
          <w:p>
            <w:pPr>
              <w:pStyle w:val="Compact"/>
              <w:jc w:val="right"/>
            </w:pPr>
            <w:r>
              <w:t xml:space="preserve">+0.095</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+0.080</w:t>
            </w:r>
            <m:oMath>
              <m:sSup>
                <m:e>
                  <m:r>
                    <m:t>​</m:t>
                  </m:r>
                </m:e>
                <m:sup>
                  <m:r>
                    <m:rPr>
                      <m:sty m:val="p"/>
                    </m:rPr>
                    <m:t>*</m:t>
                  </m:r>
                </m:sup>
              </m:sSup>
            </m:oMath>
          </w:p>
        </w:tc>
        <w:tc>
          <w:tcPr/>
          <w:p>
            <w:pPr>
              <w:pStyle w:val="Compact"/>
              <w:jc w:val="right"/>
            </w:pPr>
            <w:r>
              <w:t xml:space="preserve">+0.118</w:t>
            </w:r>
            <m:oMath>
              <m:sSup>
                <m:e>
                  <m:r>
                    <m:t>​</m:t>
                  </m:r>
                </m:e>
                <m:sup>
                  <m:r>
                    <m:rPr>
                      <m:sty m:val="p"/>
                    </m:rPr>
                    <m:t>*</m:t>
                  </m:r>
                </m:sup>
              </m:sSup>
            </m:oMath>
          </w:p>
        </w:tc>
        <w:tc>
          <w:tcPr/>
          <w:p>
            <w:pPr>
              <w:pStyle w:val="Compact"/>
              <w:jc w:val="right"/>
            </w:pPr>
            <w:r>
              <w:t xml:space="preserve">+0.024</w:t>
            </w:r>
            <m:oMath>
              <m:sSup>
                <m:e>
                  <m:r>
                    <m:t>​</m:t>
                  </m:r>
                </m:e>
                <m:sup>
                  <m:r>
                    <m:rPr>
                      <m:sty m:val="p"/>
                    </m:rPr>
                    <m:t>*</m:t>
                  </m:r>
                </m:sup>
              </m:sSup>
            </m:oMath>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+0.095</w:t>
            </w:r>
            <m:oMath>
              <m:sSup>
                <m:e>
                  <m:r>
                    <m:t>​</m:t>
                  </m:r>
                </m:e>
                <m:sup>
                  <m:r>
                    <m:rPr>
                      <m:sty m:val="p"/>
                    </m:rPr>
                    <m:t>*</m:t>
                  </m:r>
                </m:sup>
              </m:sSup>
            </m:oMath>
          </w:p>
        </w:tc>
        <w:tc>
          <w:tcPr/>
          <w:p>
            <w:pPr>
              <w:pStyle w:val="Compact"/>
              <w:jc w:val="right"/>
            </w:pPr>
            <w:r>
              <w:t xml:space="preserve">+0.133</w:t>
            </w:r>
            <m:oMath>
              <m:sSup>
                <m:e>
                  <m:r>
                    <m:t>​</m:t>
                  </m:r>
                </m:e>
                <m:sup>
                  <m:r>
                    <m:rPr>
                      <m:sty m:val="p"/>
                    </m:rPr>
                    <m:t>*</m:t>
                  </m:r>
                </m:sup>
              </m:sSup>
            </m:oMath>
          </w:p>
        </w:tc>
        <w:tc>
          <w:tcPr/>
          <w:p>
            <w:pPr>
              <w:pStyle w:val="Compact"/>
              <w:jc w:val="right"/>
            </w:pPr>
            <w:r>
              <w:t xml:space="preserve">+0.038</w:t>
            </w:r>
            <m:oMath>
              <m:sSup>
                <m:e>
                  <m:r>
                    <m:t>​</m:t>
                  </m:r>
                </m:e>
                <m:sup>
                  <m:r>
                    <m:rPr>
                      <m:sty m:val="p"/>
                    </m:rPr>
                    <m:t>*</m:t>
                  </m:r>
                </m:sup>
              </m:sSup>
            </m:oMath>
          </w:p>
        </w:tc>
        <w:tc>
          <w:tcPr/>
          <w:p>
            <w:pPr>
              <w:pStyle w:val="Compact"/>
              <w:jc w:val="right"/>
            </w:pPr>
            <w:r>
              <w:t xml:space="preserve">+0.015</w:t>
            </w:r>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+0.073</w:t>
            </w:r>
            <m:oMath>
              <m:sSup>
                <m:e>
                  <m:r>
                    <m:t>​</m:t>
                  </m:r>
                </m:e>
                <m:sup>
                  <m:r>
                    <m:rPr>
                      <m:sty m:val="p"/>
                    </m:rPr>
                    <m:t>*</m:t>
                  </m:r>
                </m:sup>
              </m:sSup>
            </m:oMath>
          </w:p>
        </w:tc>
        <w:tc>
          <w:tcPr/>
          <w:p>
            <w:pPr>
              <w:pStyle w:val="Compact"/>
              <w:jc w:val="right"/>
            </w:pPr>
            <w:r>
              <w:t xml:space="preserve">+0.111</w:t>
            </w:r>
            <m:oMath>
              <m:sSup>
                <m:e>
                  <m:r>
                    <m:t>​</m:t>
                  </m:r>
                </m:e>
                <m:sup>
                  <m:r>
                    <m:rPr>
                      <m:sty m:val="p"/>
                    </m:rPr>
                    <m:t>*</m:t>
                  </m:r>
                </m:sup>
              </m:sSup>
            </m:oMath>
          </w:p>
        </w:tc>
        <w:tc>
          <w:tcPr/>
          <w:p>
            <w:pPr>
              <w:pStyle w:val="Compact"/>
              <w:jc w:val="right"/>
            </w:pPr>
            <w:r>
              <w:t xml:space="preserve">+0.017</w:t>
            </w:r>
          </w:p>
        </w:tc>
        <w:tc>
          <w:tcPr/>
          <w:p>
            <w:pPr>
              <w:pStyle w:val="Compact"/>
              <w:jc w:val="right"/>
            </w:pPr>
            <m:oMath>
              <m:r>
                <m:rPr>
                  <m:sty m:val="p"/>
                </m:rPr>
                <m:t>−</m:t>
              </m:r>
            </m:oMath>
            <w:r>
              <w:t xml:space="preserve">0.007</w:t>
            </w:r>
          </w:p>
        </w:tc>
        <w:tc>
          <w:tcPr/>
          <w:p>
            <w:pPr>
              <w:pStyle w:val="Compact"/>
              <w:jc w:val="right"/>
            </w:pPr>
            <m:oMath>
              <m:r>
                <m:rPr>
                  <m:sty m:val="p"/>
                </m:rPr>
                <m:t>−</m:t>
              </m:r>
            </m:oMath>
            <w:r>
              <w:t xml:space="preserve">0.022</w:t>
            </w:r>
            <m:oMath>
              <m:sSup>
                <m:e>
                  <m:r>
                    <m:t>​</m:t>
                  </m:r>
                </m:e>
                <m:sup>
                  <m:r>
                    <m:rPr>
                      <m:sty m:val="p"/>
                    </m:rPr>
                    <m:t>*</m:t>
                  </m:r>
                </m:sup>
              </m:sSup>
            </m:oMath>
          </w:p>
        </w:tc>
        <w:tc>
          <w:tcPr/>
          <w:p>
            <w:pPr>
              <w:pStyle w:val="Compact"/>
            </w:pPr>
          </w:p>
        </w:tc>
      </w:tr>
      <w:tr>
        <w:tc>
          <w:tcPr/>
          <w:p>
            <w:pPr>
              <w:pStyle w:val="Compact"/>
              <w:jc w:val="left"/>
            </w:pPr>
            <w:r>
              <w:t xml:space="preserve">Qwen3-Emb-0.6B</w:t>
            </w:r>
          </w:p>
        </w:tc>
        <w:tc>
          <w:tcPr/>
          <w:p>
            <w:pPr>
              <w:pStyle w:val="Compact"/>
              <w:jc w:val="right"/>
            </w:pPr>
            <w:r>
              <w:t xml:space="preserve">+0.030</w:t>
            </w:r>
            <m:oMath>
              <m:sSup>
                <m:e>
                  <m:r>
                    <m:t>​</m:t>
                  </m:r>
                </m:e>
                <m:sup>
                  <m:r>
                    <m:rPr>
                      <m:sty m:val="p"/>
                    </m:rPr>
                    <m:t>*</m:t>
                  </m:r>
                </m:sup>
              </m:sSup>
            </m:oMath>
          </w:p>
        </w:tc>
        <w:tc>
          <w:tcPr/>
          <w:p>
            <w:pPr>
              <w:pStyle w:val="Compact"/>
              <w:jc w:val="right"/>
            </w:pPr>
            <w:r>
              <w:t xml:space="preserve">+0.069</w:t>
            </w:r>
            <m:oMath>
              <m:sSup>
                <m:e>
                  <m:r>
                    <m:t>​</m:t>
                  </m:r>
                </m:e>
                <m:sup>
                  <m:r>
                    <m:rPr>
                      <m:sty m:val="p"/>
                    </m:rPr>
                    <m:t>*</m:t>
                  </m:r>
                </m:sup>
              </m:sSup>
            </m:oMath>
          </w:p>
        </w:tc>
        <w:tc>
          <w:tcPr/>
          <w:p>
            <w:pPr>
              <w:pStyle w:val="Compact"/>
              <w:jc w:val="right"/>
            </w:pPr>
            <m:oMath>
              <m:r>
                <m:rPr>
                  <m:sty m:val="p"/>
                </m:rPr>
                <m:t>−</m:t>
              </m:r>
            </m:oMath>
            <w:r>
              <w:t xml:space="preserve">0.026</w:t>
            </w:r>
            <m:oMath>
              <m:sSup>
                <m:e>
                  <m:r>
                    <m:t>​</m:t>
                  </m:r>
                </m:e>
                <m:sup>
                  <m:r>
                    <m:rPr>
                      <m:sty m:val="p"/>
                    </m:rPr>
                    <m:t>*</m:t>
                  </m:r>
                </m:sup>
              </m:sSup>
            </m:oMath>
          </w:p>
        </w:tc>
        <w:tc>
          <w:tcPr/>
          <w:p>
            <w:pPr>
              <w:pStyle w:val="Compact"/>
              <w:jc w:val="right"/>
            </w:pPr>
            <m:oMath>
              <m:r>
                <m:rPr>
                  <m:sty m:val="p"/>
                </m:rPr>
                <m:t>−</m:t>
              </m:r>
            </m:oMath>
            <w:r>
              <w:t xml:space="preserve">0.050</w:t>
            </w:r>
            <m:oMath>
              <m:sSup>
                <m:e>
                  <m:r>
                    <m:t>​</m:t>
                  </m:r>
                </m:e>
                <m:sup>
                  <m:r>
                    <m:rPr>
                      <m:sty m:val="p"/>
                    </m:rPr>
                    <m:t>*</m:t>
                  </m:r>
                </m:sup>
              </m:sSup>
            </m:oMath>
          </w:p>
        </w:tc>
        <w:tc>
          <w:tcPr/>
          <w:p>
            <w:pPr>
              <w:pStyle w:val="Compact"/>
              <w:jc w:val="right"/>
            </w:pPr>
            <m:oMath>
              <m:r>
                <m:rPr>
                  <m:sty m:val="p"/>
                </m:rPr>
                <m:t>−</m:t>
              </m:r>
            </m:oMath>
            <w:r>
              <w:t xml:space="preserve">0.065</w:t>
            </w:r>
            <m:oMath>
              <m:sSup>
                <m:e>
                  <m:r>
                    <m:t>​</m:t>
                  </m:r>
                </m:e>
                <m:sup>
                  <m:r>
                    <m:rPr>
                      <m:sty m:val="p"/>
                    </m:rPr>
                    <m:t>*</m:t>
                  </m:r>
                </m:sup>
              </m:sSup>
            </m:oMath>
          </w:p>
        </w:tc>
        <w:tc>
          <w:tcPr/>
          <w:p>
            <w:pPr>
              <w:pStyle w:val="Compact"/>
              <w:jc w:val="right"/>
            </w:pPr>
            <m:oMath>
              <m:r>
                <m:rPr>
                  <m:sty m:val="p"/>
                </m:rPr>
                <m:t>−</m:t>
              </m:r>
            </m:oMath>
            <w:r>
              <w:t xml:space="preserve">0.043</w:t>
            </w:r>
            <m:oMath>
              <m:sSup>
                <m:e>
                  <m:r>
                    <m:t>​</m:t>
                  </m:r>
                </m:e>
                <m:sup>
                  <m:r>
                    <m:rPr>
                      <m:sty m:val="p"/>
                    </m:rPr>
                    <m:t>*</m:t>
                  </m:r>
                </m:sup>
              </m:sSup>
            </m:oMath>
          </w:p>
        </w:tc>
      </w:tr>
    </w:tbl>
    <w:p>
      <w:pPr>
        <w:pStyle w:val="BodyText"/>
      </w:pPr>
      <m:oMath>
        <m:sSup>
          <m:e>
            <m:r>
              <m:t>​</m:t>
            </m:r>
          </m:e>
          <m:sup>
            <m:r>
              <m:rPr>
                <m:sty m:val="p"/>
              </m:rPr>
              <m:t>*</m:t>
            </m:r>
          </m:sup>
        </m:sSup>
      </m:oMath>
      <w:r>
        <w:rPr>
          <w:iCs/>
          <w:i/>
        </w:rPr>
        <w:t xml:space="preserve">: exact McNemar test significant after Holm correction over the 21 pairs of the cell (</w:t>
      </w:r>
      <m:oMath>
        <m:r>
          <m:t>p</m:t>
        </m:r>
        <m:r>
          <m:rPr>
            <m:sty m:val="p"/>
          </m:rPr>
          <m:t>&lt;</m:t>
        </m:r>
        <m:r>
          <m:t>0.05</m:t>
        </m:r>
      </m:oMath>
      <w:r>
        <w:rPr>
          <w:iCs/>
          <w:i/>
        </w:rPr>
        <w:t xml:space="preserve">).</w:t>
      </w:r>
    </w:p>
    <w:bookmarkStart w:id="155" w:name="tab:judgerates"/>
    <w:p>
      <w:pPr>
        <w:pStyle w:val="TableCaption"/>
      </w:pPr>
      <w:r>
        <w:t xml:space="preserve">Phase 1 LLM-judge labels (Mistral-7B-Instruct-v0.3, zero-shot prompt of Appendix </w:t>
      </w:r>
      <w:hyperlink w:anchor="app:judge">
        <w:r>
          <w:rPr>
            <w:rStyle w:val="Hyperlink"/>
          </w:rPr>
          <w:t xml:space="preserve">10</w:t>
        </w:r>
      </w:hyperlink>
      <w:r>
        <w:t xml:space="preserve">), Qwen reader, NQ.</w:t>
      </w:r>
      <w:r>
        <w:t xml:space="preserve"> </w:t>
      </w:r>
      <w:r>
        <w:rPr>
          <w:bCs/>
          <w:b/>
        </w:rPr>
        <w:t xml:space="preserve">Excluded from all conclusions</w:t>
      </w:r>
      <w:r>
        <w:t xml:space="preserve"> </w:t>
      </w:r>
      <w:r>
        <w:t xml:space="preserve">because agreement with human labels was slight (</w:t>
      </w:r>
      <m:oMath>
        <m:r>
          <m:t>κ</m:t>
        </m:r>
      </m:oMath>
      <w:r>
        <w:t xml:space="preserve"> </w:t>
      </w:r>
      <w:r>
        <w:t xml:space="preserve">= 0.127).</w:t>
      </w:r>
    </w:p>
    <w:tbl>
      <w:tblPr>
        <w:tblStyle w:val="Table"/>
        <w:tblW w:type="auto" w:w="0"/>
        <w:tblLook w:firstRow="1" w:lastRow="0" w:firstColumn="0" w:lastColumn="0" w:noHBand="0" w:noVBand="0" w:val="0020"/>
        <w:jc w:val="start"/>
        <w:tblCaption w:val="Phase 1 LLM-judge labels (Mistral-7B-Instruct-v0.3, zero-shot prompt of Appendix 10), Qwen reader, NQ. Excluded from all conclusions because agreement with human labels was slight (\kappa = 0.127)."/>
      </w:tblPr>
      <w:tblGrid>
        <w:gridCol w:w="2640"/>
        <w:gridCol w:w="2640"/>
        <w:gridCol w:w="2640"/>
      </w:tblGrid>
      <w:tr>
        <w:trPr>
          <w:tblHeader w:val="true"/>
        </w:trPr>
        <w:tc>
          <w:tcPr/>
          <w:p>
            <w:pPr>
              <w:pStyle w:val="Compact"/>
              <w:jc w:val="left"/>
            </w:pPr>
            <w:r>
              <w:t xml:space="preserve">Context</w:t>
            </w:r>
          </w:p>
        </w:tc>
        <w:tc>
          <w:tcPr/>
          <w:p>
            <w:pPr>
              <w:pStyle w:val="Compact"/>
              <w:jc w:val="right"/>
            </w:pPr>
            <m:oMath>
              <m:r>
                <m:t>n</m:t>
              </m:r>
            </m:oMath>
          </w:p>
        </w:tc>
        <w:tc>
          <w:tcPr/>
          <w:p>
            <w:pPr>
              <w:pStyle w:val="Compact"/>
              <w:jc w:val="center"/>
            </w:pPr>
            <w:r>
              <w:t xml:space="preserve">Share judged SUPPORTED [95% CI]</w:t>
            </w:r>
          </w:p>
        </w:tc>
      </w:tr>
      <w:tr>
        <w:tc>
          <w:tcPr/>
          <w:p>
            <w:pPr>
              <w:pStyle w:val="Compact"/>
              <w:jc w:val="left"/>
            </w:pPr>
            <w:r>
              <w:t xml:space="preserve">BM25</w:t>
            </w:r>
          </w:p>
        </w:tc>
        <w:tc>
          <w:tcPr/>
          <w:p>
            <w:pPr>
              <w:pStyle w:val="Compact"/>
              <w:jc w:val="right"/>
            </w:pPr>
            <w:r>
              <w:t xml:space="preserve">500</w:t>
            </w:r>
          </w:p>
        </w:tc>
        <w:tc>
          <w:tcPr/>
          <w:p>
            <w:pPr>
              <w:pStyle w:val="Compact"/>
              <w:jc w:val="center"/>
            </w:pPr>
            <w:r>
              <w:t xml:space="preserve">0.790 [0.754, 0.826]</w:t>
            </w:r>
          </w:p>
        </w:tc>
      </w:tr>
      <w:tr>
        <w:tc>
          <w:tcPr/>
          <w:p>
            <w:pPr>
              <w:pStyle w:val="Compact"/>
              <w:jc w:val="left"/>
            </w:pPr>
            <w:r>
              <w:t xml:space="preserve">MiniLM-L6</w:t>
            </w:r>
          </w:p>
        </w:tc>
        <w:tc>
          <w:tcPr/>
          <w:p>
            <w:pPr>
              <w:pStyle w:val="Compact"/>
              <w:jc w:val="right"/>
            </w:pPr>
            <w:r>
              <w:t xml:space="preserve">500</w:t>
            </w:r>
          </w:p>
        </w:tc>
        <w:tc>
          <w:tcPr/>
          <w:p>
            <w:pPr>
              <w:pStyle w:val="Compact"/>
              <w:jc w:val="center"/>
            </w:pPr>
            <w:r>
              <w:t xml:space="preserve">0.886 [0.858, 0.914]</w:t>
            </w:r>
          </w:p>
        </w:tc>
      </w:tr>
      <w:tr>
        <w:tc>
          <w:tcPr/>
          <w:p>
            <w:pPr>
              <w:pStyle w:val="Compact"/>
              <w:jc w:val="left"/>
            </w:pPr>
            <w:r>
              <w:t xml:space="preserve">bge-small</w:t>
            </w:r>
          </w:p>
        </w:tc>
        <w:tc>
          <w:tcPr/>
          <w:p>
            <w:pPr>
              <w:pStyle w:val="Compact"/>
              <w:jc w:val="right"/>
            </w:pPr>
            <w:r>
              <w:t xml:space="preserve">500</w:t>
            </w:r>
          </w:p>
        </w:tc>
        <w:tc>
          <w:tcPr/>
          <w:p>
            <w:pPr>
              <w:pStyle w:val="Compact"/>
              <w:jc w:val="center"/>
            </w:pPr>
            <w:r>
              <w:t xml:space="preserve">0.898 [0.870, 0.924]</w:t>
            </w:r>
          </w:p>
        </w:tc>
      </w:tr>
      <w:tr>
        <w:tc>
          <w:tcPr/>
          <w:p>
            <w:pPr>
              <w:pStyle w:val="Compact"/>
              <w:jc w:val="left"/>
            </w:pPr>
            <w:r>
              <w:t xml:space="preserve">bge-base</w:t>
            </w:r>
          </w:p>
        </w:tc>
        <w:tc>
          <w:tcPr/>
          <w:p>
            <w:pPr>
              <w:pStyle w:val="Compact"/>
              <w:jc w:val="right"/>
            </w:pPr>
            <w:r>
              <w:t xml:space="preserve">500</w:t>
            </w:r>
          </w:p>
        </w:tc>
        <w:tc>
          <w:tcPr/>
          <w:p>
            <w:pPr>
              <w:pStyle w:val="Compact"/>
              <w:jc w:val="center"/>
            </w:pPr>
            <w:r>
              <w:t xml:space="preserve">0.902 [0.876, 0.928]</w:t>
            </w:r>
          </w:p>
        </w:tc>
      </w:tr>
      <w:tr>
        <w:tc>
          <w:tcPr/>
          <w:p>
            <w:pPr>
              <w:pStyle w:val="Compact"/>
              <w:jc w:val="left"/>
            </w:pPr>
            <w:r>
              <w:t xml:space="preserve">bge-large</w:t>
            </w:r>
          </w:p>
        </w:tc>
        <w:tc>
          <w:tcPr/>
          <w:p>
            <w:pPr>
              <w:pStyle w:val="Compact"/>
              <w:jc w:val="right"/>
            </w:pPr>
            <w:r>
              <w:t xml:space="preserve">500</w:t>
            </w:r>
          </w:p>
        </w:tc>
        <w:tc>
          <w:tcPr/>
          <w:p>
            <w:pPr>
              <w:pStyle w:val="Compact"/>
              <w:jc w:val="center"/>
            </w:pPr>
            <w:r>
              <w:t xml:space="preserve">0.912 [0.886, 0.936]</w:t>
            </w:r>
          </w:p>
        </w:tc>
      </w:tr>
      <w:tr>
        <w:tc>
          <w:tcPr/>
          <w:p>
            <w:pPr>
              <w:pStyle w:val="Compact"/>
              <w:jc w:val="left"/>
            </w:pPr>
            <w:r>
              <w:t xml:space="preserve">e5-base-v2</w:t>
            </w:r>
          </w:p>
        </w:tc>
        <w:tc>
          <w:tcPr/>
          <w:p>
            <w:pPr>
              <w:pStyle w:val="Compact"/>
              <w:jc w:val="right"/>
            </w:pPr>
            <w:r>
              <w:t xml:space="preserve">500</w:t>
            </w:r>
          </w:p>
        </w:tc>
        <w:tc>
          <w:tcPr/>
          <w:p>
            <w:pPr>
              <w:pStyle w:val="Compact"/>
              <w:jc w:val="center"/>
            </w:pPr>
            <w:r>
              <w:t xml:space="preserve">0.916 [0.890, 0.940]</w:t>
            </w:r>
          </w:p>
        </w:tc>
      </w:tr>
      <w:tr>
        <w:tc>
          <w:tcPr/>
          <w:p>
            <w:pPr>
              <w:pStyle w:val="Compact"/>
              <w:jc w:val="left"/>
            </w:pPr>
            <w:r>
              <w:t xml:space="preserve">Qwen3-Emb-0.6B</w:t>
            </w:r>
          </w:p>
        </w:tc>
        <w:tc>
          <w:tcPr/>
          <w:p>
            <w:pPr>
              <w:pStyle w:val="Compact"/>
              <w:jc w:val="right"/>
            </w:pPr>
            <w:r>
              <w:t xml:space="preserve">500</w:t>
            </w:r>
          </w:p>
        </w:tc>
        <w:tc>
          <w:tcPr/>
          <w:p>
            <w:pPr>
              <w:pStyle w:val="Compact"/>
              <w:jc w:val="center"/>
            </w:pPr>
            <w:r>
              <w:t xml:space="preserve">0.896 [0.870, 0.922]</w:t>
            </w:r>
          </w:p>
        </w:tc>
      </w:tr>
      <w:tr>
        <w:tc>
          <w:tcPr/>
          <w:p>
            <w:pPr>
              <w:pStyle w:val="Compact"/>
              <w:jc w:val="left"/>
            </w:pPr>
            <w:r>
              <w:t xml:space="preserve">Gold passages</w:t>
            </w:r>
          </w:p>
        </w:tc>
        <w:tc>
          <w:tcPr/>
          <w:p>
            <w:pPr>
              <w:pStyle w:val="Compact"/>
              <w:jc w:val="right"/>
            </w:pPr>
            <w:r>
              <w:t xml:space="preserve">499</w:t>
            </w:r>
          </w:p>
        </w:tc>
        <w:tc>
          <w:tcPr/>
          <w:p>
            <w:pPr>
              <w:pStyle w:val="Compact"/>
              <w:jc w:val="center"/>
            </w:pPr>
            <w:r>
              <w:t xml:space="preserve">0.966 [0.950, 0.980]</w:t>
            </w:r>
          </w:p>
        </w:tc>
      </w:tr>
    </w:tbl>
    <w:bookmarkEnd w:id="155"/>
    <w:p>
      <w:pPr>
        <w:pStyle w:val="BodyText"/>
      </w:pPr>
      <w:r>
        <w:rPr>
          <w:iCs/>
          <w:i/>
        </w:rPr>
        <w:t xml:space="preserve">3,999 judgements; one gold-passage output reached the token limit, so the gold row has 499 items.</w:t>
      </w:r>
    </w:p>
    <w:p>
      <w:pPr>
        <w:pStyle w:val="CaptionedFigure"/>
      </w:pPr>
      <w:r>
        <w:drawing>
          <wp:inline>
            <wp:extent cx="5334000" cy="1649855"/>
            <wp:effectExtent b="0" l="0" r="0" t="0"/>
            <wp:docPr descr="" title="" id="157" name="Picture"/>
            <a:graphic>
              <a:graphicData uri="http://schemas.openxmlformats.org/drawingml/2006/picture">
                <pic:pic>
                  <pic:nvPicPr>
                    <pic:cNvPr descr="/home/claude/rag-embed-transfer/paper_figures/out/fig12_latency.png" id="158" name="Picture"/>
                    <pic:cNvPicPr>
                      <a:picLocks noChangeArrowheads="1" noChangeAspect="1"/>
                    </pic:cNvPicPr>
                  </pic:nvPicPr>
                  <pic:blipFill>
                    <a:blip r:embed="rId156"/>
                    <a:stretch>
                      <a:fillRect/>
                    </a:stretch>
                  </pic:blipFill>
                  <pic:spPr bwMode="auto">
                    <a:xfrm>
                      <a:off x="0" y="0"/>
                      <a:ext cx="5334000" cy="1649855"/>
                    </a:xfrm>
                    <a:prstGeom prst="rect">
                      <a:avLst/>
                    </a:prstGeom>
                    <a:noFill/>
                    <a:ln w="9525">
                      <a:noFill/>
                      <a:headEnd/>
                      <a:tailEnd/>
                    </a:ln>
                  </pic:spPr>
                </pic:pic>
              </a:graphicData>
            </a:graphic>
          </wp:inline>
        </w:drawing>
      </w:r>
    </w:p>
    <w:p>
      <w:pPr>
        <w:pStyle w:val="ImageCaption"/>
      </w:pPr>
      <w:r>
        <w:t xml:space="preserve">NQ nDCG@10 against per-query latency (Phase 1 batch-1 medians, log scale): (a) query encoding on the T4 and exact search on the CPU; (b) both on the CPU.</w:t>
      </w:r>
    </w:p>
    <w:bookmarkStart w:id="257" w:name="refs"/>
    <w:bookmarkStart w:id="160" w:name="ref-amiraz2025distracting"/>
    <w:p>
      <w:pPr>
        <w:pStyle w:val="Bibliography"/>
      </w:pPr>
      <w:r>
        <w:t xml:space="preserve">Amiraz, Chen, Florin Cuconasu, Simone Filice, and Zohar Karnin. 2025.</w:t>
      </w:r>
      <w:r>
        <w:t xml:space="preserve"> </w:t>
      </w:r>
      <w:r>
        <w:t xml:space="preserve">“</w:t>
      </w:r>
      <w:r>
        <w:t xml:space="preserve">The Distracting Effect: Understanding Irrelevant Passages in RAG</w:t>
      </w:r>
      <w:r>
        <w:t xml:space="preserve">.”</w:t>
      </w:r>
      <w:r>
        <w:t xml:space="preserve"> </w:t>
      </w:r>
      <w:r>
        <w:t xml:space="preserve">In</w:t>
      </w:r>
      <w:r>
        <w:t xml:space="preserve"> </w:t>
      </w:r>
      <w:r>
        <w:rPr>
          <w:iCs/>
          <w:i/>
        </w:rPr>
        <w:t xml:space="preserve">Proceedings of the 63rd Annual Meeting of the Association for Computational Linguistics (ACL 2025)</w:t>
      </w:r>
      <w:r>
        <w:t xml:space="preserve">.</w:t>
      </w:r>
      <w:r>
        <w:t xml:space="preserve"> </w:t>
      </w:r>
      <w:hyperlink r:id="rId159">
        <w:r>
          <w:rPr>
            <w:rStyle w:val="Hyperlink"/>
          </w:rPr>
          <w:t xml:space="preserve">https://doi.org/10.18653/v1/2025.acl-long.892</w:t>
        </w:r>
      </w:hyperlink>
      <w:r>
        <w:t xml:space="preserve">.</w:t>
      </w:r>
    </w:p>
    <w:bookmarkEnd w:id="160"/>
    <w:bookmarkStart w:id="161" w:name="ref-elassadi2026embedder"/>
    <w:p>
      <w:pPr>
        <w:pStyle w:val="Bibliography"/>
      </w:pPr>
      <w:r>
        <w:t xml:space="preserve">Assadi, Adnan El, Niklas Muennighoff, and Jinhyuk Lee. 2026.</w:t>
      </w:r>
      <w:r>
        <w:t xml:space="preserve"> </w:t>
      </w:r>
      <w:r>
        <w:t xml:space="preserve">“</w:t>
      </w:r>
      <w:r>
        <w:t xml:space="preserve">The Embedder’s Dilemma: LLMs Are Better, but at What Cost?</w:t>
      </w:r>
      <w:r>
        <w:t xml:space="preserve">”</w:t>
      </w:r>
      <w:r>
        <w:t xml:space="preserve"> arXiv preprint arXiv:2608.12875.</w:t>
      </w:r>
    </w:p>
    <w:bookmarkEnd w:id="161"/>
    <w:bookmarkStart w:id="162" w:name="ref-bala2026recall"/>
    <w:p>
      <w:pPr>
        <w:pStyle w:val="Bibliography"/>
      </w:pPr>
      <w:r>
        <w:t xml:space="preserve">Bala, Ananto Nayan. 2026.</w:t>
      </w:r>
      <w:r>
        <w:t xml:space="preserve"> </w:t>
      </w:r>
      <w:r>
        <w:t xml:space="preserve">“</w:t>
      </w:r>
      <w:r>
        <w:t xml:space="preserve">Recall Is Not Enough: A Reader-Context Diagnostic for Budget-Constrained Retrieval-Augmented Generation</w:t>
      </w:r>
      <w:r>
        <w:t xml:space="preserve">.”</w:t>
      </w:r>
      <w:r>
        <w:t xml:space="preserve"> </w:t>
      </w:r>
      <w:r>
        <w:t xml:space="preserve">arXiv preprint arXiv:2607.00725.</w:t>
      </w:r>
    </w:p>
    <w:bookmarkEnd w:id="162"/>
    <w:bookmarkStart w:id="164" w:name="ref-cohen1960kappa"/>
    <w:p>
      <w:pPr>
        <w:pStyle w:val="Bibliography"/>
      </w:pPr>
      <w:r>
        <w:t xml:space="preserve">Cohen, Jacob.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 (1): 37–46.</w:t>
      </w:r>
      <w:r>
        <w:t xml:space="preserve"> </w:t>
      </w:r>
      <w:hyperlink r:id="rId163">
        <w:r>
          <w:rPr>
            <w:rStyle w:val="Hyperlink"/>
          </w:rPr>
          <w:t xml:space="preserve">https://doi.org/10.1177/001316446002000104</w:t>
        </w:r>
      </w:hyperlink>
      <w:r>
        <w:t xml:space="preserve">.</w:t>
      </w:r>
    </w:p>
    <w:bookmarkEnd w:id="164"/>
    <w:bookmarkStart w:id="166" w:name="ref-cuconasu2025positional"/>
    <w:p>
      <w:pPr>
        <w:pStyle w:val="Bibliography"/>
      </w:pPr>
      <w:r>
        <w:t xml:space="preserve">Cuconasu, Florin, Simone Filice, Guy Horowitz, Yoelle Maarek, and Fabrizio Silvestri. 2025.</w:t>
      </w:r>
      <w:r>
        <w:t xml:space="preserve"> </w:t>
      </w:r>
      <w:r>
        <w:t xml:space="preserve">“</w:t>
      </w:r>
      <w:r>
        <w:t xml:space="preserve">Do RAG Systems Really Suffer From Positional Bias?</w:t>
      </w:r>
      <w:r>
        <w:t xml:space="preserve">”</w:t>
      </w:r>
      <w:r>
        <w:t xml:space="preserve"> In</w:t>
      </w:r>
      <w:r>
        <w:t xml:space="preserve"> </w:t>
      </w:r>
      <w:r>
        <w:rPr>
          <w:iCs/>
          <w:i/>
        </w:rPr>
        <w:t xml:space="preserve">Proceedings of the 2025 Conference on Empirical Methods in Natural Language Processing</w:t>
      </w:r>
      <w:r>
        <w:t xml:space="preserve">, 28022–36.</w:t>
      </w:r>
      <w:r>
        <w:t xml:space="preserve"> </w:t>
      </w:r>
      <w:hyperlink r:id="rId165">
        <w:r>
          <w:rPr>
            <w:rStyle w:val="Hyperlink"/>
          </w:rPr>
          <w:t xml:space="preserve">https://doi.org/10.18653/v1/2025.emnlp-main.1422</w:t>
        </w:r>
      </w:hyperlink>
      <w:r>
        <w:t xml:space="preserve">.</w:t>
      </w:r>
    </w:p>
    <w:bookmarkEnd w:id="166"/>
    <w:bookmarkStart w:id="168" w:name="ref-cuconasu2024power"/>
    <w:p>
      <w:pPr>
        <w:pStyle w:val="Bibliography"/>
      </w:pPr>
      <w:r>
        <w:t xml:space="preserve">Cuconasu, Florin, Giovanni Trappolini, Federico Siciliano, Simone Filice, Cesare Campagnano, Yoelle Maarek, Nicola Tonellotto, and Fabrizio Silvestri. 2024.</w:t>
      </w:r>
      <w:r>
        <w:t xml:space="preserve"> </w:t>
      </w:r>
      <w:r>
        <w:t xml:space="preserve">“</w:t>
      </w:r>
      <w:r>
        <w:t xml:space="preserve">The Power of Noise: Redefining Retrieval for RAG Systems</w:t>
      </w:r>
      <w:r>
        <w:t xml:space="preserve">.”</w:t>
      </w:r>
      <w:r>
        <w:t xml:space="preserve"> </w:t>
      </w:r>
      <w:r>
        <w:t xml:space="preserve">In</w:t>
      </w:r>
      <w:r>
        <w:t xml:space="preserve"> </w:t>
      </w:r>
      <w:r>
        <w:rPr>
          <w:iCs/>
          <w:i/>
        </w:rPr>
        <w:t xml:space="preserve">Proceedings of the 47th International ACM SIGIR Conference on Research and Development in Information Retrieval</w:t>
      </w:r>
      <w:r>
        <w:t xml:space="preserve">, 719–29. ACM.</w:t>
      </w:r>
      <w:r>
        <w:t xml:space="preserve"> </w:t>
      </w:r>
      <w:hyperlink r:id="rId167">
        <w:r>
          <w:rPr>
            <w:rStyle w:val="Hyperlink"/>
          </w:rPr>
          <w:t xml:space="preserve">https://doi.org/10.1145/3626772.3657834</w:t>
        </w:r>
      </w:hyperlink>
      <w:r>
        <w:t xml:space="preserve">.</w:t>
      </w:r>
    </w:p>
    <w:bookmarkEnd w:id="168"/>
    <w:bookmarkStart w:id="170" w:name="ref-dror2018"/>
    <w:p>
      <w:pPr>
        <w:pStyle w:val="Bibliography"/>
      </w:pPr>
      <w:r>
        <w:t xml:space="preserve">Dror, Rotem, Gili Baumer, Segev Shlomov, and Roi Reichart. 2018.</w:t>
      </w:r>
      <w:r>
        <w:t xml:space="preserve"> </w:t>
      </w:r>
      <w:r>
        <w:t xml:space="preserve">“</w:t>
      </w:r>
      <w:r>
        <w:t xml:space="preserve">The Hitchhiker’s Guide to Testing Statistical Significance in Natural Language Processing</w:t>
      </w:r>
      <w:r>
        <w:t xml:space="preserve">.”</w:t>
      </w:r>
      <w:r>
        <w:t xml:space="preserve"> </w:t>
      </w:r>
      <w:r>
        <w:t xml:space="preserve">In</w:t>
      </w:r>
      <w:r>
        <w:t xml:space="preserve"> </w:t>
      </w:r>
      <w:r>
        <w:rPr>
          <w:iCs/>
          <w:i/>
        </w:rPr>
        <w:t xml:space="preserve">Proceedings of the 56th Annual Meeting of the Association for Computational Linguistics (Volume 1: Long Papers)</w:t>
      </w:r>
      <w:r>
        <w:t xml:space="preserve">, 1383–92. Association for Computational Linguistics.</w:t>
      </w:r>
      <w:r>
        <w:t xml:space="preserve"> </w:t>
      </w:r>
      <w:hyperlink r:id="rId169">
        <w:r>
          <w:rPr>
            <w:rStyle w:val="Hyperlink"/>
          </w:rPr>
          <w:t xml:space="preserve">https://doi.org/10.18653/v1/p18-1128</w:t>
        </w:r>
      </w:hyperlink>
      <w:r>
        <w:t xml:space="preserve">.</w:t>
      </w:r>
    </w:p>
    <w:bookmarkEnd w:id="170"/>
    <w:bookmarkStart w:id="172" w:name="ref-efron1993bootstrap"/>
    <w:p>
      <w:pPr>
        <w:pStyle w:val="Bibliography"/>
      </w:pPr>
      <w:r>
        <w:t xml:space="preserve">Efron, Bradley, and Robert J. Tibshirani. 1993.</w:t>
      </w:r>
      <w:r>
        <w:t xml:space="preserve"> </w:t>
      </w:r>
      <w:r>
        <w:rPr>
          <w:iCs/>
          <w:i/>
        </w:rPr>
        <w:t xml:space="preserve">An Introduction to the Bootstrap</w:t>
      </w:r>
      <w:r>
        <w:t xml:space="preserve">. Springer US.</w:t>
      </w:r>
      <w:r>
        <w:t xml:space="preserve"> </w:t>
      </w:r>
      <w:hyperlink r:id="rId171">
        <w:r>
          <w:rPr>
            <w:rStyle w:val="Hyperlink"/>
          </w:rPr>
          <w:t xml:space="preserve">https://doi.org/10.1007/978-1-4899-4541-9</w:t>
        </w:r>
      </w:hyperlink>
      <w:r>
        <w:t xml:space="preserve">.</w:t>
      </w:r>
    </w:p>
    <w:bookmarkEnd w:id="172"/>
    <w:bookmarkStart w:id="174" w:name="ref-es2024ragas"/>
    <w:p>
      <w:pPr>
        <w:pStyle w:val="Bibliography"/>
      </w:pPr>
      <w:r>
        <w:t xml:space="preserve">Es, Shahul, Jithin James, Luis Espinosa Anke, and Steven Schockaert. 2024.</w:t>
      </w:r>
      <w:r>
        <w:t xml:space="preserve"> </w:t>
      </w:r>
      <w:r>
        <w:t xml:space="preserve">“</w:t>
      </w:r>
      <w:r>
        <w:t xml:space="preserve">RAGAs: Automated Evaluation of Retrieval Augmented Generation</w:t>
      </w:r>
      <w:r>
        <w:t xml:space="preserve">.”</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150–58. Association for Computational Linguistics.</w:t>
      </w:r>
      <w:r>
        <w:t xml:space="preserve"> </w:t>
      </w:r>
      <w:hyperlink r:id="rId173">
        <w:r>
          <w:rPr>
            <w:rStyle w:val="Hyperlink"/>
          </w:rPr>
          <w:t xml:space="preserve">https://doi.org/10.18653/v1/2024.eacl-demo.16</w:t>
        </w:r>
      </w:hyperlink>
      <w:r>
        <w:t xml:space="preserve">.</w:t>
      </w:r>
    </w:p>
    <w:bookmarkEnd w:id="174"/>
    <w:bookmarkStart w:id="175" w:name="ref-ghosh2026evidence"/>
    <w:p>
      <w:pPr>
        <w:pStyle w:val="Bibliography"/>
      </w:pPr>
      <w:r>
        <w:t xml:space="preserve">Ghosh, Utshab Kumar, Debayan Mukhopadhyay, and Shubham Chatterjee. 2026.</w:t>
      </w:r>
      <w:r>
        <w:t xml:space="preserve"> </w:t>
      </w:r>
      <w:r>
        <w:t xml:space="preserve">“</w:t>
      </w:r>
      <w:r>
        <w:t xml:space="preserve">Assessing the Downstream Utility of Evidence-Aware Retrieval in RAG</w:t>
      </w:r>
      <w:r>
        <w:t xml:space="preserve">.”</w:t>
      </w:r>
      <w:r>
        <w:t xml:space="preserve"> </w:t>
      </w:r>
      <w:r>
        <w:t xml:space="preserve">arXiv preprint arXiv:2608.26379.</w:t>
      </w:r>
    </w:p>
    <w:bookmarkEnd w:id="175"/>
    <w:bookmarkStart w:id="176" w:name="ref-grattafiori2024llama3"/>
    <w:p>
      <w:pPr>
        <w:pStyle w:val="Bibliography"/>
      </w:pPr>
      <w:r>
        <w:t xml:space="preserve">Grattafiori, Aaron, Abhimanyu Dubey, Abhinav Jauhri, Abhinav Pandey, Abhishek Kadian, Ahmad Al-Dahle, Aiesha Letman, et al. 2024.</w:t>
      </w:r>
      <w:r>
        <w:t xml:space="preserve"> </w:t>
      </w:r>
      <w:r>
        <w:t xml:space="preserve">“</w:t>
      </w:r>
      <w:r>
        <w:t xml:space="preserve">The Llama 3 Herd of Models</w:t>
      </w:r>
      <w:r>
        <w:t xml:space="preserve">.”</w:t>
      </w:r>
      <w:r>
        <w:t xml:space="preserve"> </w:t>
      </w:r>
      <w:r>
        <w:t xml:space="preserve">arXiv preprint arXiv:2407.21783.</w:t>
      </w:r>
    </w:p>
    <w:bookmarkEnd w:id="176"/>
    <w:bookmarkStart w:id="178" w:name="ref-hitl2026comparative"/>
    <w:p>
      <w:pPr>
        <w:pStyle w:val="Bibliography"/>
      </w:pPr>
      <w:r>
        <w:t xml:space="preserve">Hitl, Mateo, Marina Bagić Babac, and Vedran Mornar. 2026.</w:t>
      </w:r>
      <w:r>
        <w:t xml:space="preserve"> </w:t>
      </w:r>
      <w:r>
        <w:t xml:space="preserve">“</w:t>
      </w:r>
      <w:r>
        <w:t xml:space="preserve">Comparative evaluation of embedding and generative model combinations in retrieval-augmented generation pipelines</w:t>
      </w:r>
      <w:r>
        <w:t xml:space="preserve">.”</w:t>
      </w:r>
      <w:r>
        <w:t xml:space="preserve"> </w:t>
      </w:r>
      <w:r>
        <w:rPr>
          <w:iCs/>
          <w:i/>
        </w:rPr>
        <w:t xml:space="preserve">Data Technologies and Applications</w:t>
      </w:r>
      <w:r>
        <w:t xml:space="preserve">.</w:t>
      </w:r>
      <w:r>
        <w:t xml:space="preserve"> </w:t>
      </w:r>
      <w:hyperlink r:id="rId177">
        <w:r>
          <w:rPr>
            <w:rStyle w:val="Hyperlink"/>
          </w:rPr>
          <w:t xml:space="preserve">https://doi.org/10.1108/DTA-07-2025-0609</w:t>
        </w:r>
      </w:hyperlink>
      <w:r>
        <w:t xml:space="preserve">.</w:t>
      </w:r>
    </w:p>
    <w:bookmarkEnd w:id="178"/>
    <w:bookmarkStart w:id="180" w:name="ref-holm1979"/>
    <w:p>
      <w:pPr>
        <w:pStyle w:val="Bibliography"/>
      </w:pPr>
      <w:r>
        <w:t xml:space="preserve">Holm, Sture. 1979.</w:t>
      </w:r>
      <w:r>
        <w:t xml:space="preserve"> </w:t>
      </w:r>
      <w:r>
        <w:t xml:space="preserve">“A Simple Sequentially Rejective Multiple Test Procedure.”</w:t>
      </w:r>
      <w:r>
        <w:t xml:space="preserve"> </w:t>
      </w:r>
      <w:r>
        <w:rPr>
          <w:iCs/>
          <w:i/>
        </w:rPr>
        <w:t xml:space="preserve">Scandinavian Journal of Statistics</w:t>
      </w:r>
      <w:r>
        <w:t xml:space="preserve"> </w:t>
      </w:r>
      <w:r>
        <w:t xml:space="preserve">6 (2): 65–70.</w:t>
      </w:r>
      <w:r>
        <w:t xml:space="preserve"> </w:t>
      </w:r>
      <w:hyperlink r:id="rId179">
        <w:r>
          <w:rPr>
            <w:rStyle w:val="Hyperlink"/>
          </w:rPr>
          <w:t xml:space="preserve">https://www.jstor.org/stable/4615733</w:t>
        </w:r>
      </w:hyperlink>
      <w:r>
        <w:t xml:space="preserve">.</w:t>
      </w:r>
    </w:p>
    <w:bookmarkEnd w:id="180"/>
    <w:bookmarkStart w:id="181" w:name="ref-hsia2025ragged"/>
    <w:p>
      <w:pPr>
        <w:pStyle w:val="Bibliography"/>
      </w:pPr>
      <w:r>
        <w:t xml:space="preserve">Hsia, Jennifer, Afreen Shaikh, Zhiruo Wang, and Graham Neubig. 2025.</w:t>
      </w:r>
      <w:r>
        <w:t xml:space="preserve"> </w:t>
      </w:r>
      <w:r>
        <w:t xml:space="preserve">“</w:t>
      </w:r>
      <w:r>
        <w:t xml:space="preserve">RAGGED: Towards Informed Design of Scalable and Stable RAG Systems</w:t>
      </w:r>
      <w:r>
        <w:t xml:space="preserve">.”</w:t>
      </w:r>
      <w:r>
        <w:t xml:space="preserve"> </w:t>
      </w:r>
      <w:r>
        <w:t xml:space="preserve">In</w:t>
      </w:r>
      <w:r>
        <w:t xml:space="preserve"> </w:t>
      </w:r>
      <w:r>
        <w:rPr>
          <w:iCs/>
          <w:i/>
        </w:rPr>
        <w:t xml:space="preserve">Proceedings of the 42nd International Conference on Machine Learning (ICML 2025)</w:t>
      </w:r>
      <w:r>
        <w:t xml:space="preserve">.</w:t>
      </w:r>
    </w:p>
    <w:bookmarkEnd w:id="181"/>
    <w:bookmarkStart w:id="183" w:name="ref-izacard2021fid"/>
    <w:p>
      <w:pPr>
        <w:pStyle w:val="Bibliography"/>
      </w:pPr>
      <w:r>
        <w:t xml:space="preserve">Izacard, Gautier, and Edouard Grave. 2021.</w:t>
      </w:r>
      <w:r>
        <w:t xml:space="preserve"> </w:t>
      </w:r>
      <w:r>
        <w:t xml:space="preserve">“</w:t>
      </w:r>
      <w:r>
        <w:t xml:space="preserve">Leveraging Passage Retrieval with Generative Models for Open Domain Question Answering</w:t>
      </w:r>
      <w:r>
        <w:t xml:space="preserve">.”</w:t>
      </w:r>
      <w:r>
        <w:t xml:space="preserve"> </w:t>
      </w:r>
      <w:r>
        <w:t xml:space="preserve">In</w:t>
      </w:r>
      <w:r>
        <w:t xml:space="preserve"> </w:t>
      </w:r>
      <w:r>
        <w:rPr>
          <w:iCs/>
          <w:i/>
        </w:rPr>
        <w:t xml:space="preserve">Proceedings of the 16th Conference of the European Chapter of the Association for Computational Linguistics: Main Volume</w:t>
      </w:r>
      <w:r>
        <w:t xml:space="preserve">, 874–80. Association for Computational Linguistics.</w:t>
      </w:r>
      <w:r>
        <w:t xml:space="preserve"> </w:t>
      </w:r>
      <w:hyperlink r:id="rId182">
        <w:r>
          <w:rPr>
            <w:rStyle w:val="Hyperlink"/>
          </w:rPr>
          <w:t xml:space="preserve">https://doi.org/10.18653/v1/2021.eacl-main.74</w:t>
        </w:r>
      </w:hyperlink>
      <w:r>
        <w:t xml:space="preserve">.</w:t>
      </w:r>
    </w:p>
    <w:bookmarkEnd w:id="183"/>
    <w:bookmarkStart w:id="184" w:name="ref-jiang2023mistral"/>
    <w:p>
      <w:pPr>
        <w:pStyle w:val="Bibliography"/>
      </w:pPr>
      <w:r>
        <w:t xml:space="preserve">Jiang, Albert Q., Alexandre Sablayrolles, Arthur Mensch, Chris Bamford, Devendra Singh Chaplot, Diego de las Casas, Florian Bressand, et al. 2023.</w:t>
      </w:r>
      <w:r>
        <w:t xml:space="preserve"> </w:t>
      </w:r>
      <w:r>
        <w:t xml:space="preserve">“</w:t>
      </w:r>
      <w:r>
        <w:t xml:space="preserve">Mistral 7B</w:t>
      </w:r>
      <w:r>
        <w:t xml:space="preserve">.”</w:t>
      </w:r>
      <w:r>
        <w:t xml:space="preserve"> </w:t>
      </w:r>
      <w:r>
        <w:t xml:space="preserve">arXiv preprint arXiv:2310.06825.</w:t>
      </w:r>
    </w:p>
    <w:bookmarkEnd w:id="184"/>
    <w:bookmarkStart w:id="185" w:name="ref-jin2024longcontext"/>
    <w:p>
      <w:pPr>
        <w:pStyle w:val="Bibliography"/>
      </w:pPr>
      <w:r>
        <w:t xml:space="preserve">Jin, Bowen, Jinsung Yoon, Jiawei Han, and Sercan O. Arik. 2024.</w:t>
      </w:r>
      <w:r>
        <w:t xml:space="preserve"> </w:t>
      </w:r>
      <w:r>
        <w:t xml:space="preserve">“</w:t>
      </w:r>
      <w:r>
        <w:t xml:space="preserve">Long-Context LLMs Meet RAG: Overcoming Challenges for Long Inputs in RAG</w:t>
      </w:r>
      <w:r>
        <w:t xml:space="preserve">.”</w:t>
      </w:r>
      <w:r>
        <w:t xml:space="preserve"> </w:t>
      </w:r>
      <w:r>
        <w:t xml:space="preserve">arXiv preprint arXiv:2410.05983.</w:t>
      </w:r>
    </w:p>
    <w:bookmarkEnd w:id="185"/>
    <w:bookmarkStart w:id="187" w:name="ref-johnson2021faiss"/>
    <w:p>
      <w:pPr>
        <w:pStyle w:val="Bibliography"/>
      </w:pPr>
      <w:r>
        <w:t xml:space="preserve">Johnson, Jeff, Matthijs Douze, and Herve Jegou. 2021.</w:t>
      </w:r>
      <w:r>
        <w:t xml:space="preserve"> </w:t>
      </w:r>
      <w:r>
        <w:t xml:space="preserve">“</w:t>
      </w:r>
      <w:r>
        <w:t xml:space="preserve">Billion-Scale Similarity Search with GPUs</w:t>
      </w:r>
      <w:r>
        <w:t xml:space="preserve">.”</w:t>
      </w:r>
      <w:r>
        <w:t xml:space="preserve"> </w:t>
      </w:r>
      <w:r>
        <w:rPr>
          <w:iCs/>
          <w:i/>
        </w:rPr>
        <w:t xml:space="preserve">IEEE Transactions on Big Data</w:t>
      </w:r>
      <w:r>
        <w:t xml:space="preserve"> </w:t>
      </w:r>
      <w:r>
        <w:t xml:space="preserve">7 (3): 535–47.</w:t>
      </w:r>
      <w:r>
        <w:t xml:space="preserve"> </w:t>
      </w:r>
      <w:hyperlink r:id="rId186">
        <w:r>
          <w:rPr>
            <w:rStyle w:val="Hyperlink"/>
          </w:rPr>
          <w:t xml:space="preserve">https://doi.org/10.1109/tbdata.2019.2921572</w:t>
        </w:r>
      </w:hyperlink>
      <w:r>
        <w:t xml:space="preserve">.</w:t>
      </w:r>
    </w:p>
    <w:bookmarkEnd w:id="187"/>
    <w:bookmarkStart w:id="189" w:name="ref-kamalloo2023"/>
    <w:p>
      <w:pPr>
        <w:pStyle w:val="Bibliography"/>
      </w:pPr>
      <w:r>
        <w:t xml:space="preserve">Kamalloo, Ehsan, Nouha Dziri, Charles Clarke, and Davood Rafiei. 2023.</w:t>
      </w:r>
      <w:r>
        <w:t xml:space="preserve"> </w:t>
      </w:r>
      <w:r>
        <w:t xml:space="preserve">“</w:t>
      </w:r>
      <w:r>
        <w:t xml:space="preserve">Evaluating Open-Domain Question Answering in the Era of Large Language Models</w:t>
      </w:r>
      <w:r>
        <w:t xml:space="preserve">.”</w:t>
      </w:r>
      <w:r>
        <w:t xml:space="preserve"> </w:t>
      </w:r>
      <w:r>
        <w:t xml:space="preserve">In</w:t>
      </w:r>
      <w:r>
        <w:t xml:space="preserve"> </w:t>
      </w:r>
      <w:r>
        <w:rPr>
          <w:iCs/>
          <w:i/>
        </w:rPr>
        <w:t xml:space="preserve">Proceedings of the 61st Annual Meeting of the Association for Computational Linguistics (Volume 1: Long Papers)</w:t>
      </w:r>
      <w:r>
        <w:t xml:space="preserve">, 5591–5606. Association for Computational Linguistics.</w:t>
      </w:r>
      <w:r>
        <w:t xml:space="preserve"> </w:t>
      </w:r>
      <w:hyperlink r:id="rId188">
        <w:r>
          <w:rPr>
            <w:rStyle w:val="Hyperlink"/>
          </w:rPr>
          <w:t xml:space="preserve">https://doi.org/10.18653/v1/2023.acl-long.307</w:t>
        </w:r>
      </w:hyperlink>
      <w:r>
        <w:t xml:space="preserve">.</w:t>
      </w:r>
    </w:p>
    <w:bookmarkEnd w:id="189"/>
    <w:bookmarkStart w:id="191" w:name="ref-karpukhin2020dpr"/>
    <w:p>
      <w:pPr>
        <w:pStyle w:val="Bibliography"/>
      </w:pPr>
      <w:r>
        <w:t xml:space="preserve">Karpukhin, Vladimir, Barlas Oguz, Sewon Min, Patrick Lewis, Ledell Wu, Sergey Edunov, Danqi Chen, and Wen-tau Yih. 2020.</w:t>
      </w:r>
      <w:r>
        <w:t xml:space="preserve"> </w:t>
      </w:r>
      <w:r>
        <w:t xml:space="preserve">“</w:t>
      </w:r>
      <w:r>
        <w:t xml:space="preserve">Dense Passage Retrieval for Open-Domain Question Answering</w:t>
      </w:r>
      <w:r>
        <w:t xml:space="preserve">.”</w:t>
      </w:r>
      <w:r>
        <w:t xml:space="preserve"> </w:t>
      </w:r>
      <w:r>
        <w:t xml:space="preserve">In</w:t>
      </w:r>
      <w:r>
        <w:t xml:space="preserve"> </w:t>
      </w:r>
      <w:r>
        <w:rPr>
          <w:iCs/>
          <w:i/>
        </w:rPr>
        <w:t xml:space="preserve">Proceedings of the 2020 Conference on Empirical Methods in Natural Language Processing (EMNLP)</w:t>
      </w:r>
      <w:r>
        <w:t xml:space="preserve">, 6769–81. Association for Computational Linguistics.</w:t>
      </w:r>
      <w:r>
        <w:t xml:space="preserve"> </w:t>
      </w:r>
      <w:hyperlink r:id="rId190">
        <w:r>
          <w:rPr>
            <w:rStyle w:val="Hyperlink"/>
          </w:rPr>
          <w:t xml:space="preserve">https://doi.org/10.18653/v1/2020.emnlp-main.550</w:t>
        </w:r>
      </w:hyperlink>
      <w:r>
        <w:t xml:space="preserve">.</w:t>
      </w:r>
    </w:p>
    <w:bookmarkEnd w:id="191"/>
    <w:bookmarkStart w:id="193" w:name="ref-kwiatkowski2019nq"/>
    <w:p>
      <w:pPr>
        <w:pStyle w:val="Bibliography"/>
      </w:pPr>
      <w:r>
        <w:t xml:space="preserve">Kwiatkowski, Tom, Jennimaria Palomaki, Olivia Redfield, Michael Collins, Ankur Parikh, Chris Alberti, Danielle Epstein, et al. 2019.</w:t>
      </w:r>
      <w:r>
        <w:t xml:space="preserve"> </w:t>
      </w:r>
      <w:r>
        <w:t xml:space="preserve">“</w:t>
      </w:r>
      <w:r>
        <w:t xml:space="preserve">Natural Questions: A Benchmark for Question Answering Research</w:t>
      </w:r>
      <w:r>
        <w:t xml:space="preserve">.”</w:t>
      </w:r>
      <w:r>
        <w:t xml:space="preserve"> </w:t>
      </w:r>
      <w:r>
        <w:rPr>
          <w:iCs/>
          <w:i/>
        </w:rPr>
        <w:t xml:space="preserve">Transactions of the Association for Computational Linguistics</w:t>
      </w:r>
      <w:r>
        <w:t xml:space="preserve"> </w:t>
      </w:r>
      <w:r>
        <w:t xml:space="preserve">7: 453–66.</w:t>
      </w:r>
      <w:r>
        <w:t xml:space="preserve"> </w:t>
      </w:r>
      <w:hyperlink r:id="rId192">
        <w:r>
          <w:rPr>
            <w:rStyle w:val="Hyperlink"/>
          </w:rPr>
          <w:t xml:space="preserve">https://doi.org/10.1162/tacl_a_00276</w:t>
        </w:r>
      </w:hyperlink>
      <w:r>
        <w:t xml:space="preserve">.</w:t>
      </w:r>
    </w:p>
    <w:bookmarkEnd w:id="193"/>
    <w:bookmarkStart w:id="195" w:name="ref-kwon2023vllm"/>
    <w:p>
      <w:pPr>
        <w:pStyle w:val="Bibliography"/>
      </w:pPr>
      <w:r>
        <w:t xml:space="preserve">Kwon, Woosuk, Zhuohan Li, Siyuan Zhuang, Ying Sheng, Lianmin Zheng, Cody Hao Yu, Joseph Gonzalez, Hao Zhang, and Ion Stoica. 2023.</w:t>
      </w:r>
      <w:r>
        <w:t xml:space="preserve"> </w:t>
      </w:r>
      <w:r>
        <w:t xml:space="preserve">“</w:t>
      </w:r>
      <w:r>
        <w:t xml:space="preserve">Efficient Memory Management for Large Language Model Serving with PagedAttention</w:t>
      </w:r>
      <w:r>
        <w:t xml:space="preserve">.”</w:t>
      </w:r>
      <w:r>
        <w:t xml:space="preserve"> </w:t>
      </w:r>
      <w:r>
        <w:t xml:space="preserve">In</w:t>
      </w:r>
      <w:r>
        <w:t xml:space="preserve"> </w:t>
      </w:r>
      <w:r>
        <w:rPr>
          <w:iCs/>
          <w:i/>
        </w:rPr>
        <w:t xml:space="preserve">Proceedings of the 29th Symposium on Operating Systems Principles</w:t>
      </w:r>
      <w:r>
        <w:t xml:space="preserve">, 611–26. ACM.</w:t>
      </w:r>
      <w:r>
        <w:t xml:space="preserve"> </w:t>
      </w:r>
      <w:hyperlink r:id="rId194">
        <w:r>
          <w:rPr>
            <w:rStyle w:val="Hyperlink"/>
          </w:rPr>
          <w:t xml:space="preserve">https://doi.org/10.1145/3600006.3613165</w:t>
        </w:r>
      </w:hyperlink>
      <w:r>
        <w:t xml:space="preserve">.</w:t>
      </w:r>
    </w:p>
    <w:bookmarkEnd w:id="195"/>
    <w:bookmarkStart w:id="197" w:name="ref-landis1977"/>
    <w:p>
      <w:pPr>
        <w:pStyle w:val="Bibliography"/>
      </w:pPr>
      <w:r>
        <w:t xml:space="preserve">Landis, J. Richard, and Gary G. Koch. 1977.</w:t>
      </w:r>
      <w:r>
        <w:t xml:space="preserve"> </w:t>
      </w:r>
      <w:r>
        <w:t xml:space="preserve">“</w:t>
      </w:r>
      <w:r>
        <w:t xml:space="preserve">The Measurement of Observer Agreement for Categorical Data</w:t>
      </w:r>
      <w:r>
        <w:t xml:space="preserve">.”</w:t>
      </w:r>
      <w:r>
        <w:t xml:space="preserve"> </w:t>
      </w:r>
      <w:r>
        <w:rPr>
          <w:iCs/>
          <w:i/>
        </w:rPr>
        <w:t xml:space="preserve">Biometrics</w:t>
      </w:r>
      <w:r>
        <w:t xml:space="preserve"> </w:t>
      </w:r>
      <w:r>
        <w:t xml:space="preserve">33 (1): 159.</w:t>
      </w:r>
      <w:r>
        <w:t xml:space="preserve"> </w:t>
      </w:r>
      <w:hyperlink r:id="rId196">
        <w:r>
          <w:rPr>
            <w:rStyle w:val="Hyperlink"/>
          </w:rPr>
          <w:t xml:space="preserve">https://doi.org/10.2307/2529310</w:t>
        </w:r>
      </w:hyperlink>
      <w:r>
        <w:t xml:space="preserve">.</w:t>
      </w:r>
    </w:p>
    <w:bookmarkEnd w:id="197"/>
    <w:bookmarkStart w:id="199" w:name="ref-lee2019orqa"/>
    <w:p>
      <w:pPr>
        <w:pStyle w:val="Bibliography"/>
      </w:pPr>
      <w:r>
        <w:t xml:space="preserve">Lee, Kenton, Ming-Wei Chang, and Kristina Toutanova. 2019.</w:t>
      </w:r>
      <w:r>
        <w:t xml:space="preserve"> </w:t>
      </w:r>
      <w:r>
        <w:t xml:space="preserve">“</w:t>
      </w:r>
      <w:r>
        <w:t xml:space="preserve">Latent Retrieval for Weakly Supervised Open Domain Question Answering</w:t>
      </w:r>
      <w:r>
        <w:t xml:space="preserve">.”</w:t>
      </w:r>
      <w:r>
        <w:t xml:space="preserve"> </w:t>
      </w:r>
      <w:r>
        <w:t xml:space="preserve">In</w:t>
      </w:r>
      <w:r>
        <w:t xml:space="preserve"> </w:t>
      </w:r>
      <w:r>
        <w:rPr>
          <w:iCs/>
          <w:i/>
        </w:rPr>
        <w:t xml:space="preserve">Proceedings of the 57th Annual Meeting of the Association for Computational Linguistics</w:t>
      </w:r>
      <w:r>
        <w:t xml:space="preserve">, 6086–96. Association for Computational Linguistics.</w:t>
      </w:r>
      <w:r>
        <w:t xml:space="preserve"> </w:t>
      </w:r>
      <w:hyperlink r:id="rId198">
        <w:r>
          <w:rPr>
            <w:rStyle w:val="Hyperlink"/>
          </w:rPr>
          <w:t xml:space="preserve">https://doi.org/10.18653/v1/p19-1612</w:t>
        </w:r>
      </w:hyperlink>
      <w:r>
        <w:t xml:space="preserve">.</w:t>
      </w:r>
    </w:p>
    <w:bookmarkEnd w:id="199"/>
    <w:bookmarkStart w:id="200" w:name="ref-leto2024toward"/>
    <w:p>
      <w:pPr>
        <w:pStyle w:val="Bibliography"/>
      </w:pPr>
      <w:r>
        <w:t xml:space="preserve">Leto, Alexandria, Cecilia Aguerrebere, Ishwar Bhati, Ted Willke, Mariano Tepper, and Vy Ai Vo. 2024.</w:t>
      </w:r>
      <w:r>
        <w:t xml:space="preserve"> </w:t>
      </w:r>
      <w:r>
        <w:t xml:space="preserve">“</w:t>
      </w:r>
      <w:r>
        <w:t xml:space="preserve">Toward Optimal Search and Retrieval for RAG</w:t>
      </w:r>
      <w:r>
        <w:t xml:space="preserve">.”</w:t>
      </w:r>
      <w:r>
        <w:t xml:space="preserve"> </w:t>
      </w:r>
      <w:r>
        <w:t xml:space="preserve">arXiv preprint arXiv:2411.07396.</w:t>
      </w:r>
    </w:p>
    <w:bookmarkEnd w:id="200"/>
    <w:bookmarkStart w:id="201" w:name="ref-lewis2020rag"/>
    <w:p>
      <w:pPr>
        <w:pStyle w:val="Bibliography"/>
      </w:pPr>
      <w:r>
        <w:t xml:space="preserve">Lewis, Patrick, Ethan Perez, Aleksandra Piktus, Fabio Petroni, Vladimir Karpukhin, Naman Goyal, Heinrich Küttler, et al. 2020.</w:t>
      </w:r>
      <w:r>
        <w:t xml:space="preserve"> </w:t>
      </w:r>
      <w:r>
        <w:t xml:space="preserve">“</w:t>
      </w:r>
      <w:r>
        <w:t xml:space="preserve">Retrieval-Augmented Generation for Knowledge-Intensive NLP Tasks</w:t>
      </w:r>
      <w:r>
        <w:t xml:space="preserve">.”</w:t>
      </w:r>
      <w:r>
        <w:t xml:space="preserve"> </w:t>
      </w:r>
      <w:r>
        <w:t xml:space="preserve">In</w:t>
      </w:r>
      <w:r>
        <w:t xml:space="preserve"> </w:t>
      </w:r>
      <w:r>
        <w:rPr>
          <w:iCs/>
          <w:i/>
        </w:rPr>
        <w:t xml:space="preserve">Advances in Neural Information Processing Systems 33 (NeurIPS 2020)</w:t>
      </w:r>
      <w:r>
        <w:t xml:space="preserve">.</w:t>
      </w:r>
    </w:p>
    <w:bookmarkEnd w:id="201"/>
    <w:bookmarkStart w:id="203" w:name="ref-liang1986gee"/>
    <w:p>
      <w:pPr>
        <w:pStyle w:val="Bibliography"/>
      </w:pPr>
      <w:r>
        <w:t xml:space="preserve">Liang, Kung-Yee, and Scott L. Zeger. 1986.</w:t>
      </w:r>
      <w:r>
        <w:t xml:space="preserve"> </w:t>
      </w:r>
      <w:r>
        <w:t xml:space="preserve">“</w:t>
      </w:r>
      <w:r>
        <w:t xml:space="preserve">Longitudinal data analysis using generalized linear models</w:t>
      </w:r>
      <w:r>
        <w:t xml:space="preserve">.”</w:t>
      </w:r>
      <w:r>
        <w:t xml:space="preserve"> </w:t>
      </w:r>
      <w:r>
        <w:rPr>
          <w:iCs/>
          <w:i/>
        </w:rPr>
        <w:t xml:space="preserve">Biometrika</w:t>
      </w:r>
      <w:r>
        <w:t xml:space="preserve"> </w:t>
      </w:r>
      <w:r>
        <w:t xml:space="preserve">73 (1): 13–22.</w:t>
      </w:r>
      <w:r>
        <w:t xml:space="preserve"> </w:t>
      </w:r>
      <w:hyperlink r:id="rId202">
        <w:r>
          <w:rPr>
            <w:rStyle w:val="Hyperlink"/>
          </w:rPr>
          <w:t xml:space="preserve">https://doi.org/10.1093/biomet/73.1.13</w:t>
        </w:r>
      </w:hyperlink>
      <w:r>
        <w:t xml:space="preserve">.</w:t>
      </w:r>
    </w:p>
    <w:bookmarkEnd w:id="203"/>
    <w:bookmarkStart w:id="204" w:name="ref-lin2024awq"/>
    <w:p>
      <w:pPr>
        <w:pStyle w:val="Bibliography"/>
      </w:pPr>
      <w:r>
        <w:t xml:space="preserve">Lin, Ji, Jiaming Tang, Haotian Tang, Shang Yang, Wei-Ming Chen, Wei-Chen Wang, Guangxuan Xiao, Xingyu Dang, Chuang Gan, and Song Han. 2024.</w:t>
      </w:r>
      <w:r>
        <w:t xml:space="preserve"> </w:t>
      </w:r>
      <w:r>
        <w:t xml:space="preserve">“</w:t>
      </w:r>
      <w:r>
        <w:t xml:space="preserve">AWQ: Activation-aware Weight Quantization for LLM Compression and Acceleration</w:t>
      </w:r>
      <w:r>
        <w:t xml:space="preserve">.”</w:t>
      </w:r>
      <w:r>
        <w:t xml:space="preserve"> </w:t>
      </w:r>
      <w:r>
        <w:t xml:space="preserve">In</w:t>
      </w:r>
      <w:r>
        <w:t xml:space="preserve"> </w:t>
      </w:r>
      <w:r>
        <w:rPr>
          <w:iCs/>
          <w:i/>
        </w:rPr>
        <w:t xml:space="preserve">Proceedings of Machine Learning and Systems 6 (MLSys 2024)</w:t>
      </w:r>
      <w:r>
        <w:t xml:space="preserve">.</w:t>
      </w:r>
    </w:p>
    <w:bookmarkEnd w:id="204"/>
    <w:bookmarkStart w:id="206" w:name="ref-liu2024lost"/>
    <w:p>
      <w:pPr>
        <w:pStyle w:val="Bibliography"/>
      </w:pPr>
      <w:r>
        <w:t xml:space="preserve">Liu, Nelson F., Kevin Lin, John Hewitt, Ashwin Paranjape, Michele Bevilacqua, Fabio Petroni, and Percy Liang. 2024.</w:t>
      </w:r>
      <w:r>
        <w:t xml:space="preserve"> </w:t>
      </w:r>
      <w:r>
        <w:t xml:space="preserve">“</w:t>
      </w:r>
      <w:r>
        <w:t xml:space="preserve">Lost in the Middle: How Language Models Use Long Contexts</w:t>
      </w:r>
      <w:r>
        <w:t xml:space="preserve">.”</w:t>
      </w:r>
      <w:r>
        <w:t xml:space="preserve"> </w:t>
      </w:r>
      <w:r>
        <w:rPr>
          <w:iCs/>
          <w:i/>
        </w:rPr>
        <w:t xml:space="preserve">Transactions of the Association for Computational Linguistics</w:t>
      </w:r>
      <w:r>
        <w:t xml:space="preserve"> </w:t>
      </w:r>
      <w:r>
        <w:t xml:space="preserve">12: 157–73.</w:t>
      </w:r>
      <w:r>
        <w:t xml:space="preserve"> </w:t>
      </w:r>
      <w:hyperlink r:id="rId205">
        <w:r>
          <w:rPr>
            <w:rStyle w:val="Hyperlink"/>
          </w:rPr>
          <w:t xml:space="preserve">https://doi.org/10.1162/tacl_a_00638</w:t>
        </w:r>
      </w:hyperlink>
      <w:r>
        <w:t xml:space="preserve">.</w:t>
      </w:r>
    </w:p>
    <w:bookmarkEnd w:id="206"/>
    <w:bookmarkStart w:id="207" w:name="ref-lu2024bm25s"/>
    <w:p>
      <w:pPr>
        <w:pStyle w:val="Bibliography"/>
      </w:pPr>
      <w:r>
        <w:t xml:space="preserve">Lù, Xing Han. 2024.</w:t>
      </w:r>
      <w:r>
        <w:t xml:space="preserve"> </w:t>
      </w:r>
      <w:r>
        <w:t xml:space="preserve">“</w:t>
      </w:r>
      <w:r>
        <w:t xml:space="preserve">BM25S: Orders of magnitude faster lexical search via eager sparse scoring</w:t>
      </w:r>
      <w:r>
        <w:t xml:space="preserve">.”</w:t>
      </w:r>
      <w:r>
        <w:t xml:space="preserve"> </w:t>
      </w:r>
      <w:r>
        <w:t xml:space="preserve">arXiv preprint arXiv:2407.03618.</w:t>
      </w:r>
    </w:p>
    <w:bookmarkEnd w:id="207"/>
    <w:bookmarkStart w:id="209" w:name="ref-lyu2025crud"/>
    <w:p>
      <w:pPr>
        <w:pStyle w:val="Bibliography"/>
      </w:pPr>
      <w:r>
        <w:t xml:space="preserve">Lyu, Yuanjie, Zhiyu Li, Simin Niu, Feiyu Xiong, Bo Tang, Wenjin Wang, Hao Wu, Huanyong Liu, Tong Xu, and Enhong Chen. 2025.</w:t>
      </w:r>
      <w:r>
        <w:t xml:space="preserve"> </w:t>
      </w:r>
      <w:r>
        <w:t xml:space="preserve">“</w:t>
      </w:r>
      <w:r>
        <w:t xml:space="preserve">CRUD-RAG: A Comprehensive Chinese Benchmark for Retrieval-Augmented Generation of Large Language Models</w:t>
      </w:r>
      <w:r>
        <w:t xml:space="preserve">.”</w:t>
      </w:r>
      <w:r>
        <w:t xml:space="preserve"> </w:t>
      </w:r>
      <w:r>
        <w:rPr>
          <w:iCs/>
          <w:i/>
        </w:rPr>
        <w:t xml:space="preserve">ACM Transactions on Information Systems</w:t>
      </w:r>
      <w:r>
        <w:t xml:space="preserve"> </w:t>
      </w:r>
      <w:r>
        <w:t xml:space="preserve">43 (2): 1–32.</w:t>
      </w:r>
      <w:r>
        <w:t xml:space="preserve"> </w:t>
      </w:r>
      <w:hyperlink r:id="rId208">
        <w:r>
          <w:rPr>
            <w:rStyle w:val="Hyperlink"/>
          </w:rPr>
          <w:t xml:space="preserve">https://doi.org/10.1145/3701228</w:t>
        </w:r>
      </w:hyperlink>
      <w:r>
        <w:t xml:space="preserve">.</w:t>
      </w:r>
    </w:p>
    <w:bookmarkEnd w:id="209"/>
    <w:bookmarkStart w:id="211" w:name="ref-malkov2020hnsw"/>
    <w:p>
      <w:pPr>
        <w:pStyle w:val="Bibliography"/>
      </w:pPr>
      <w:r>
        <w:t xml:space="preserve">Malkov, Yu A., and D. A. Yashunin. 2020.</w:t>
      </w:r>
      <w:r>
        <w:t xml:space="preserve"> </w:t>
      </w:r>
      <w:r>
        <w:t xml:space="preserve">“</w:t>
      </w:r>
      <w:r>
        <w:t xml:space="preserve">Efficient and Robust Approximate Nearest Neighbor Search Using Hierarchical Navigable Small World Graphs</w:t>
      </w:r>
      <w:r>
        <w:t xml:space="preserve">.”</w:t>
      </w:r>
      <w:r>
        <w:t xml:space="preserve"> </w:t>
      </w:r>
      <w:r>
        <w:rPr>
          <w:iCs/>
          <w:i/>
        </w:rPr>
        <w:t xml:space="preserve">IEEE Transactions on Pattern Analysis and Machine Intelligence</w:t>
      </w:r>
      <w:r>
        <w:t xml:space="preserve"> </w:t>
      </w:r>
      <w:r>
        <w:t xml:space="preserve">42 (4): 824–36.</w:t>
      </w:r>
      <w:r>
        <w:t xml:space="preserve"> </w:t>
      </w:r>
      <w:hyperlink r:id="rId210">
        <w:r>
          <w:rPr>
            <w:rStyle w:val="Hyperlink"/>
          </w:rPr>
          <w:t xml:space="preserve">https://doi.org/10.1109/tpami.2018.2889473</w:t>
        </w:r>
      </w:hyperlink>
      <w:r>
        <w:t xml:space="preserve">.</w:t>
      </w:r>
    </w:p>
    <w:bookmarkEnd w:id="211"/>
    <w:bookmarkStart w:id="212" w:name="ref-mathur2026policy"/>
    <w:p>
      <w:pPr>
        <w:pStyle w:val="Bibliography"/>
      </w:pPr>
      <w:r>
        <w:t xml:space="preserve">Mathur, Saahil, Ryan David Rittner, Vedant Ajit Thakur, Daniel Stuart Schiff, and Tunazzina Islam. 2026.</w:t>
      </w:r>
      <w:r>
        <w:t xml:space="preserve"> </w:t>
      </w:r>
      <w:r>
        <w:t xml:space="preserve">“</w:t>
      </w:r>
      <w:r>
        <w:t xml:space="preserve">Retrieval Improvements Do Not Guarantee Better Answers: A Study of RAG for AI Policy QA</w:t>
      </w:r>
      <w:r>
        <w:t xml:space="preserve">.”</w:t>
      </w:r>
      <w:r>
        <w:t xml:space="preserve"> </w:t>
      </w:r>
      <w:r>
        <w:t xml:space="preserve">arXiv preprint arXiv:2603.24580.</w:t>
      </w:r>
    </w:p>
    <w:bookmarkEnd w:id="212"/>
    <w:bookmarkStart w:id="214" w:name="ref-mcnemar1947"/>
    <w:p>
      <w:pPr>
        <w:pStyle w:val="Bibliography"/>
      </w:pPr>
      <w:r>
        <w:t xml:space="preserve">McNemar, Quinn. 1947.</w:t>
      </w:r>
      <w:r>
        <w:t xml:space="preserve"> </w:t>
      </w:r>
      <w:r>
        <w:t xml:space="preserve">“</w:t>
      </w:r>
      <w:r>
        <w:t xml:space="preserve">Note on the Sampling Error of the Difference Between Correlated Proportions or Percentages</w:t>
      </w:r>
      <w:r>
        <w:t xml:space="preserve">.”</w:t>
      </w:r>
      <w:r>
        <w:t xml:space="preserve"> </w:t>
      </w:r>
      <w:r>
        <w:rPr>
          <w:iCs/>
          <w:i/>
        </w:rPr>
        <w:t xml:space="preserve">Psychometrika</w:t>
      </w:r>
      <w:r>
        <w:t xml:space="preserve"> </w:t>
      </w:r>
      <w:r>
        <w:t xml:space="preserve">12 (2): 153–57.</w:t>
      </w:r>
      <w:r>
        <w:t xml:space="preserve"> </w:t>
      </w:r>
      <w:hyperlink r:id="rId213">
        <w:r>
          <w:rPr>
            <w:rStyle w:val="Hyperlink"/>
          </w:rPr>
          <w:t xml:space="preserve">https://doi.org/10.1007/bf02295996</w:t>
        </w:r>
      </w:hyperlink>
      <w:r>
        <w:t xml:space="preserve">.</w:t>
      </w:r>
    </w:p>
    <w:bookmarkEnd w:id="214"/>
    <w:bookmarkStart w:id="215" w:name="ref-medrano2026fusion"/>
    <w:p>
      <w:pPr>
        <w:pStyle w:val="Bibliography"/>
      </w:pPr>
      <w:r>
        <w:t xml:space="preserve">Medrano, Luigi, Arush Verma, and Mukul Chhabra. 2026.</w:t>
      </w:r>
      <w:r>
        <w:t xml:space="preserve"> </w:t>
      </w:r>
      <w:r>
        <w:t xml:space="preserve">“</w:t>
      </w:r>
      <w:r>
        <w:t xml:space="preserve">Scaling Retrieval Augmented Generation with RAG Fusion: Lessons from an Industry Deployment</w:t>
      </w:r>
      <w:r>
        <w:t xml:space="preserve">.”</w:t>
      </w:r>
      <w:r>
        <w:t xml:space="preserve"> </w:t>
      </w:r>
      <w:r>
        <w:t xml:space="preserve">arXiv preprint arXiv:2603.02153.</w:t>
      </w:r>
    </w:p>
    <w:bookmarkEnd w:id="215"/>
    <w:bookmarkStart w:id="217" w:name="ref-muennighoff2023mteb"/>
    <w:p>
      <w:pPr>
        <w:pStyle w:val="Bibliography"/>
      </w:pPr>
      <w:r>
        <w:t xml:space="preserve">Muennighoff, Niklas, Nouamane Tazi, Loic Magne, and Nils Reimers. 2023.</w:t>
      </w:r>
      <w:r>
        <w:t xml:space="preserve"> </w:t>
      </w:r>
      <w:r>
        <w:t xml:space="preserve">“</w:t>
      </w:r>
      <w:r>
        <w:t xml:space="preserve">MTEB: Massive Text Embedding Benchmark</w:t>
      </w:r>
      <w:r>
        <w:t xml:space="preserve">.”</w:t>
      </w:r>
      <w:r>
        <w:t xml:space="preserve"> </w:t>
      </w:r>
      <w:r>
        <w:t xml:space="preserve">In</w:t>
      </w:r>
      <w:r>
        <w:t xml:space="preserve"> </w:t>
      </w:r>
      <w:r>
        <w:rPr>
          <w:iCs/>
          <w:i/>
        </w:rPr>
        <w:t xml:space="preserve">Proceedings of the 17th Conference of the European Chapter of the Association for Computational Linguistics</w:t>
      </w:r>
      <w:r>
        <w:t xml:space="preserve">, 2014–37. Association for Computational Linguistics.</w:t>
      </w:r>
      <w:r>
        <w:t xml:space="preserve"> </w:t>
      </w:r>
      <w:hyperlink r:id="rId216">
        <w:r>
          <w:rPr>
            <w:rStyle w:val="Hyperlink"/>
          </w:rPr>
          <w:t xml:space="preserve">https://doi.org/10.18653/v1/2023.eacl-main.148</w:t>
        </w:r>
      </w:hyperlink>
      <w:r>
        <w:t xml:space="preserve">.</w:t>
      </w:r>
    </w:p>
    <w:bookmarkEnd w:id="217"/>
    <w:bookmarkStart w:id="218" w:name="ref-muthyam2026systems"/>
    <w:p>
      <w:pPr>
        <w:pStyle w:val="Bibliography"/>
      </w:pPr>
      <w:r>
        <w:t xml:space="preserve">Muthyam, Bharath Simha Reddy. 2026.</w:t>
      </w:r>
      <w:r>
        <w:t xml:space="preserve"> </w:t>
      </w:r>
      <w:r>
        <w:t xml:space="preserve">“</w:t>
      </w:r>
      <w:r>
        <w:t xml:space="preserve">A Systems-Level Analysis of Sensitivity, Robustness, and Stability in Retrieval-Augmented Generation</w:t>
      </w:r>
      <w:r>
        <w:t xml:space="preserve">.”</w:t>
      </w:r>
      <w:r>
        <w:t xml:space="preserve"> </w:t>
      </w:r>
      <w:r>
        <w:t xml:space="preserve">arXiv preprint arXiv:2606.28337.</w:t>
      </w:r>
    </w:p>
    <w:bookmarkEnd w:id="218"/>
    <w:bookmarkStart w:id="219" w:name="ref-nogueira2019passage"/>
    <w:p>
      <w:pPr>
        <w:pStyle w:val="Bibliography"/>
      </w:pPr>
      <w:r>
        <w:t xml:space="preserve">Nogueira, Rodrigo, and Kyunghyun Cho. 2019.</w:t>
      </w:r>
      <w:r>
        <w:t xml:space="preserve"> </w:t>
      </w:r>
      <w:r>
        <w:t xml:space="preserve">“</w:t>
      </w:r>
      <w:r>
        <w:t xml:space="preserve">Passage Re-ranking with BERT</w:t>
      </w:r>
      <w:r>
        <w:t xml:space="preserve">.”</w:t>
      </w:r>
      <w:r>
        <w:t xml:space="preserve"> </w:t>
      </w:r>
      <w:r>
        <w:t xml:space="preserve">arXiv preprint arXiv:1901.04085.</w:t>
      </w:r>
    </w:p>
    <w:bookmarkEnd w:id="219"/>
    <w:bookmarkStart w:id="221" w:name="ref-peng2026neocorrag"/>
    <w:p>
      <w:pPr>
        <w:pStyle w:val="Bibliography"/>
      </w:pPr>
      <w:r>
        <w:t xml:space="preserve">Peng, Shiyao, Qianhe Zheng, Zhuodi Hao, Zichen Tang, Rongjin Li, Qing Huang, Jiayu Huang, Jiacheng Liu, Yifan Zhu, and Haihong E. 2026.</w:t>
      </w:r>
      <w:r>
        <w:t xml:space="preserve"> </w:t>
      </w:r>
      <w:r>
        <w:t xml:space="preserve">“</w:t>
      </w:r>
      <w:r>
        <w:t xml:space="preserve">NeocorRAG: Less Irrelevant Information, More Explicit Evidence, and More Effective Recall via Evidence Chains</w:t>
      </w:r>
      <w:r>
        <w:t xml:space="preserve">.”</w:t>
      </w:r>
      <w:r>
        <w:t xml:space="preserve"> </w:t>
      </w:r>
      <w:r>
        <w:t xml:space="preserve">In</w:t>
      </w:r>
      <w:r>
        <w:t xml:space="preserve"> </w:t>
      </w:r>
      <w:r>
        <w:rPr>
          <w:iCs/>
          <w:i/>
        </w:rPr>
        <w:t xml:space="preserve">Proceedings of the ACM Web Conference 2026 (WWW ’26)</w:t>
      </w:r>
      <w:r>
        <w:t xml:space="preserve">, 1899–1910.</w:t>
      </w:r>
      <w:r>
        <w:t xml:space="preserve"> </w:t>
      </w:r>
      <w:hyperlink r:id="rId220">
        <w:r>
          <w:rPr>
            <w:rStyle w:val="Hyperlink"/>
          </w:rPr>
          <w:t xml:space="preserve">https://doi.org/10.1145/3774904.3792093</w:t>
        </w:r>
      </w:hyperlink>
      <w:r>
        <w:t xml:space="preserve">.</w:t>
      </w:r>
    </w:p>
    <w:bookmarkEnd w:id="221"/>
    <w:bookmarkStart w:id="223" w:name="ref-petroni2021kilt"/>
    <w:p>
      <w:pPr>
        <w:pStyle w:val="Bibliography"/>
      </w:pPr>
      <w:r>
        <w:t xml:space="preserve">Petroni, Fabio, Aleksandra Piktus, Angela Fan, Patrick Lewis, Majid Yazdani, Nicola De Cao, James Thorne, et al. 2021.</w:t>
      </w:r>
      <w:r>
        <w:t xml:space="preserve"> </w:t>
      </w:r>
      <w:r>
        <w:t xml:space="preserve">“</w:t>
      </w:r>
      <w:r>
        <w:t xml:space="preserve">KILT: a Benchmark for Knowledge Intensive Language Tasks</w:t>
      </w:r>
      <w:r>
        <w:t xml:space="preserve">.”</w:t>
      </w:r>
      <w:r>
        <w:t xml:space="preserve"> </w:t>
      </w:r>
      <w:r>
        <w:t xml:space="preserve">In</w:t>
      </w:r>
      <w:r>
        <w:t xml:space="preserve"> </w:t>
      </w:r>
      <w:r>
        <w:rPr>
          <w:iCs/>
          <w:i/>
        </w:rPr>
        <w:t xml:space="preserve">Proceedings of the 2021 Conference of the North American Chapter of the Association for Computational Linguistics: Human Language Technologies</w:t>
      </w:r>
      <w:r>
        <w:t xml:space="preserve">, 2523–44. Association for Computational Linguistics.</w:t>
      </w:r>
      <w:r>
        <w:t xml:space="preserve"> </w:t>
      </w:r>
      <w:hyperlink r:id="rId222">
        <w:r>
          <w:rPr>
            <w:rStyle w:val="Hyperlink"/>
          </w:rPr>
          <w:t xml:space="preserve">https://doi.org/10.18653/v1/2021.naacl-main.200</w:t>
        </w:r>
      </w:hyperlink>
      <w:r>
        <w:t xml:space="preserve">.</w:t>
      </w:r>
    </w:p>
    <w:bookmarkEnd w:id="223"/>
    <w:bookmarkStart w:id="224" w:name="ref-qwen2025qwen25"/>
    <w:p>
      <w:pPr>
        <w:pStyle w:val="Bibliography"/>
      </w:pPr>
      <w:r>
        <w:t xml:space="preserve">Qwen, An Yang, Baosong Yang, Beichen Zhang, Binyuan Hui, Bo Zheng, Bowen Yu, et al. 2024.</w:t>
      </w:r>
      <w:r>
        <w:t xml:space="preserve"> </w:t>
      </w:r>
      <w:r>
        <w:t xml:space="preserve">“</w:t>
      </w:r>
      <w:r>
        <w:t xml:space="preserve">Qwen2.5 Technical Report</w:t>
      </w:r>
      <w:r>
        <w:t xml:space="preserve">.”</w:t>
      </w:r>
      <w:r>
        <w:t xml:space="preserve"> </w:t>
      </w:r>
      <w:r>
        <w:t xml:space="preserve">arXiv preprint arXiv:2412.15115.</w:t>
      </w:r>
    </w:p>
    <w:bookmarkEnd w:id="224"/>
    <w:bookmarkStart w:id="226" w:name="ref-ram2023incontext"/>
    <w:p>
      <w:pPr>
        <w:pStyle w:val="Bibliography"/>
      </w:pPr>
      <w:r>
        <w:t xml:space="preserve">Ram, Ori, Yoav Levine, Itay Dalmedigos, Dor Muhlgay, Amnon Shashua, Kevin Leyton-Brown, and Yoav Shoham. 2023.</w:t>
      </w:r>
      <w:r>
        <w:t xml:space="preserve"> </w:t>
      </w:r>
      <w:r>
        <w:t xml:space="preserve">“</w:t>
      </w:r>
      <w:r>
        <w:t xml:space="preserve">In-Context Retrieval-Augmented Language Models</w:t>
      </w:r>
      <w:r>
        <w:t xml:space="preserve">.”</w:t>
      </w:r>
      <w:r>
        <w:t xml:space="preserve"> </w:t>
      </w:r>
      <w:r>
        <w:rPr>
          <w:iCs/>
          <w:i/>
        </w:rPr>
        <w:t xml:space="preserve">Transactions of the Association for Computational Linguistics</w:t>
      </w:r>
      <w:r>
        <w:t xml:space="preserve"> </w:t>
      </w:r>
      <w:r>
        <w:t xml:space="preserve">11: 1316–31.</w:t>
      </w:r>
      <w:r>
        <w:t xml:space="preserve"> </w:t>
      </w:r>
      <w:hyperlink r:id="rId225">
        <w:r>
          <w:rPr>
            <w:rStyle w:val="Hyperlink"/>
          </w:rPr>
          <w:t xml:space="preserve">https://doi.org/10.1162/tacl_a_00605</w:t>
        </w:r>
      </w:hyperlink>
      <w:r>
        <w:t xml:space="preserve">.</w:t>
      </w:r>
    </w:p>
    <w:bookmarkEnd w:id="226"/>
    <w:bookmarkStart w:id="228" w:name="ref-rau2024bergen"/>
    <w:p>
      <w:pPr>
        <w:pStyle w:val="Bibliography"/>
      </w:pPr>
      <w:r>
        <w:t xml:space="preserve">Rau, David, Hervé Déjean, Nadezhda Chirkova, Thibault Formal, Shuai Wang, Stéphane Clinchant, and Vassilina Nikoulina. 2024.</w:t>
      </w:r>
      <w:r>
        <w:t xml:space="preserve"> </w:t>
      </w:r>
      <w:r>
        <w:t xml:space="preserve">“</w:t>
      </w:r>
      <w:r>
        <w:t xml:space="preserve">BERGEN: A Benchmarking Library for Retrieval-Augmented Generation</w:t>
      </w:r>
      <w:r>
        <w:t xml:space="preserve">.”</w:t>
      </w:r>
      <w:r>
        <w:t xml:space="preserve"> </w:t>
      </w:r>
      <w:r>
        <w:t xml:space="preserve">In</w:t>
      </w:r>
      <w:r>
        <w:t xml:space="preserve"> </w:t>
      </w:r>
      <w:r>
        <w:rPr>
          <w:iCs/>
          <w:i/>
        </w:rPr>
        <w:t xml:space="preserve">Findings of the Association for Computational Linguistics: EMNLP 2024</w:t>
      </w:r>
      <w:r>
        <w:t xml:space="preserve">, 7640–63. Association for Computational Linguistics.</w:t>
      </w:r>
      <w:r>
        <w:t xml:space="preserve"> </w:t>
      </w:r>
      <w:hyperlink r:id="rId227">
        <w:r>
          <w:rPr>
            <w:rStyle w:val="Hyperlink"/>
          </w:rPr>
          <w:t xml:space="preserve">https://doi.org/10.18653/v1/2024.findings-emnlp.449</w:t>
        </w:r>
      </w:hyperlink>
      <w:r>
        <w:t xml:space="preserve">.</w:t>
      </w:r>
    </w:p>
    <w:bookmarkEnd w:id="228"/>
    <w:bookmarkStart w:id="230" w:name="ref-reimers2019sbert"/>
    <w:p>
      <w:pPr>
        <w:pStyle w:val="Bibliography"/>
      </w:pPr>
      <w:r>
        <w:t xml:space="preserve">Reimers, Nils, and Iryna Gurevych. 2019.</w:t>
      </w:r>
      <w:r>
        <w:t xml:space="preserve"> </w:t>
      </w:r>
      <w:r>
        <w:t xml:space="preserve">“</w:t>
      </w:r>
      <w:r>
        <w:t xml:space="preserve">Sentence-BERT: Sentence Embeddings using Siamese BERT-Networks</w:t>
      </w:r>
      <w:r>
        <w:t xml:space="preserve">.”</w:t>
      </w:r>
      <w:r>
        <w:t xml:space="preserve"> </w:t>
      </w:r>
      <w:r>
        <w:t xml:space="preserve">In</w:t>
      </w:r>
      <w:r>
        <w:t xml:space="preserve"> </w:t>
      </w:r>
      <w:r>
        <w:rPr>
          <w:iCs/>
          <w:i/>
        </w:rPr>
        <w:t xml:space="preserve">Proceedings of the 2019 Conference on Empirical Methods in Natural Language Processing and the 9th International Joint Conference on Natural Language Processing (EMNLP-IJCNLP)</w:t>
      </w:r>
      <w:r>
        <w:t xml:space="preserve">, 3980–90. Association for Computational Linguistics.</w:t>
      </w:r>
      <w:r>
        <w:t xml:space="preserve"> </w:t>
      </w:r>
      <w:hyperlink r:id="rId229">
        <w:r>
          <w:rPr>
            <w:rStyle w:val="Hyperlink"/>
          </w:rPr>
          <w:t xml:space="preserve">https://doi.org/10.18653/v1/d19-1410</w:t>
        </w:r>
      </w:hyperlink>
      <w:r>
        <w:t xml:space="preserve">.</w:t>
      </w:r>
    </w:p>
    <w:bookmarkEnd w:id="230"/>
    <w:bookmarkStart w:id="231" w:name="ref-repantis2026competition"/>
    <w:p>
      <w:pPr>
        <w:pStyle w:val="Bibliography"/>
      </w:pPr>
      <w:r>
        <w:t xml:space="preserve">Repantis, Vyzantinos, Ameya Gawde, Harshvardhan Singh, Rohit Alekar, Cien Zhang, Svetlana Karslioglu, and Akash Vishwakarma. 2026.</w:t>
      </w:r>
      <w:r>
        <w:t xml:space="preserve"> </w:t>
      </w:r>
      <w:r>
        <w:t xml:space="preserve">“</w:t>
      </w:r>
      <w:r>
        <w:t xml:space="preserve">Separating Semantic Competition from Context Length in RAG Reading</w:t>
      </w:r>
      <w:r>
        <w:t xml:space="preserve">.”</w:t>
      </w:r>
      <w:r>
        <w:t xml:space="preserve"> </w:t>
      </w:r>
      <w:r>
        <w:t xml:space="preserve">arXiv preprint arXiv:2605.27294.</w:t>
      </w:r>
    </w:p>
    <w:bookmarkEnd w:id="231"/>
    <w:bookmarkStart w:id="233" w:name="ref-robertson2009bm25"/>
    <w:p>
      <w:pPr>
        <w:pStyle w:val="Bibliography"/>
      </w:pPr>
      <w:r>
        <w:t xml:space="preserve">Robertson, Stephen, and Hugo Zaragoza. 2009.</w:t>
      </w:r>
      <w:r>
        <w:t xml:space="preserve"> </w:t>
      </w:r>
      <w:r>
        <w:t xml:space="preserve">“</w:t>
      </w:r>
      <w:r>
        <w:t xml:space="preserve">The Probabilistic Relevance Framework: BM25 and Beyond</w:t>
      </w:r>
      <w:r>
        <w:t xml:space="preserve">.”</w:t>
      </w:r>
      <w:r>
        <w:t xml:space="preserve"> </w:t>
      </w:r>
      <w:r>
        <w:rPr>
          <w:iCs/>
          <w:i/>
        </w:rPr>
        <w:t xml:space="preserve">Foundations and Trends in Information Retrieval</w:t>
      </w:r>
      <w:r>
        <w:t xml:space="preserve"> </w:t>
      </w:r>
      <w:r>
        <w:t xml:space="preserve">4 (1-2): 1–174.</w:t>
      </w:r>
      <w:r>
        <w:t xml:space="preserve"> </w:t>
      </w:r>
      <w:hyperlink r:id="rId232">
        <w:r>
          <w:rPr>
            <w:rStyle w:val="Hyperlink"/>
          </w:rPr>
          <w:t xml:space="preserve">https://doi.org/10.1561/1500000019</w:t>
        </w:r>
      </w:hyperlink>
      <w:r>
        <w:t xml:space="preserve">.</w:t>
      </w:r>
    </w:p>
    <w:bookmarkEnd w:id="233"/>
    <w:bookmarkStart w:id="235" w:name="ref-saadfalcon2024ares"/>
    <w:p>
      <w:pPr>
        <w:pStyle w:val="Bibliography"/>
      </w:pPr>
      <w:r>
        <w:t xml:space="preserve">Saad-Falcon, Jon, Omar Khattab, Christopher Potts, and Matei Zaharia. 2024.</w:t>
      </w:r>
      <w:r>
        <w:t xml:space="preserve"> </w:t>
      </w:r>
      <w:r>
        <w:t xml:space="preserve">“</w:t>
      </w:r>
      <w:r>
        <w:t xml:space="preserve">ARES: An Automated Evaluation Framework for Retrieval-Augmented Generation Systems</w:t>
      </w:r>
      <w:r>
        <w:t xml:space="preserve">.”</w:t>
      </w:r>
      <w:r>
        <w:t xml:space="preserve"> </w:t>
      </w:r>
      <w:r>
        <w:t xml:space="preserve">In</w:t>
      </w:r>
      <w:r>
        <w:t xml:space="preserve"> </w:t>
      </w:r>
      <w:r>
        <w:rPr>
          <w:iCs/>
          <w:i/>
        </w:rPr>
        <w:t xml:space="preserve">Proceedings of the 2024 Conference of the North American Chapter of the Association for Computational Linguistics: Human Language Technologies (Volume 1: Long Papers)</w:t>
      </w:r>
      <w:r>
        <w:t xml:space="preserve">, 338–54. Association for Computational Linguistics.</w:t>
      </w:r>
      <w:r>
        <w:t xml:space="preserve"> </w:t>
      </w:r>
      <w:hyperlink r:id="rId234">
        <w:r>
          <w:rPr>
            <w:rStyle w:val="Hyperlink"/>
          </w:rPr>
          <w:t xml:space="preserve">https://doi.org/10.18653/v1/2024.naacl-long.20</w:t>
        </w:r>
      </w:hyperlink>
      <w:r>
        <w:t xml:space="preserve">.</w:t>
      </w:r>
    </w:p>
    <w:bookmarkEnd w:id="235"/>
    <w:bookmarkStart w:id="237" w:name="ref-sakai2014"/>
    <w:p>
      <w:pPr>
        <w:pStyle w:val="Bibliography"/>
      </w:pPr>
      <w:r>
        <w:t xml:space="preserve">Sakai, Tetsuya. 2014.</w:t>
      </w:r>
      <w:r>
        <w:t xml:space="preserve"> </w:t>
      </w:r>
      <w:r>
        <w:t xml:space="preserve">“</w:t>
      </w:r>
      <w:r>
        <w:t xml:space="preserve">Statistical reform in information retrieval?</w:t>
      </w:r>
      <w:r>
        <w:t xml:space="preserve">”</w:t>
      </w:r>
      <w:r>
        <w:t xml:space="preserve"> </w:t>
      </w:r>
      <w:r>
        <w:rPr>
          <w:iCs/>
          <w:i/>
        </w:rPr>
        <w:t xml:space="preserve">ACM SIGIR Forum</w:t>
      </w:r>
      <w:r>
        <w:t xml:space="preserve"> </w:t>
      </w:r>
      <w:r>
        <w:t xml:space="preserve">48 (1): 3–12.</w:t>
      </w:r>
      <w:r>
        <w:t xml:space="preserve"> </w:t>
      </w:r>
      <w:hyperlink r:id="rId236">
        <w:r>
          <w:rPr>
            <w:rStyle w:val="Hyperlink"/>
          </w:rPr>
          <w:t xml:space="preserve">https://doi.org/10.1145/2641383.2641385</w:t>
        </w:r>
      </w:hyperlink>
      <w:r>
        <w:t xml:space="preserve">.</w:t>
      </w:r>
    </w:p>
    <w:bookmarkEnd w:id="237"/>
    <w:bookmarkStart w:id="239" w:name="ref-salemi2024erag"/>
    <w:p>
      <w:pPr>
        <w:pStyle w:val="Bibliography"/>
      </w:pPr>
      <w:r>
        <w:t xml:space="preserve">Salemi, Alireza, and Hamed Zamani. 2024.</w:t>
      </w:r>
      <w:r>
        <w:t xml:space="preserve"> </w:t>
      </w:r>
      <w:r>
        <w:t xml:space="preserve">“</w:t>
      </w:r>
      <w:r>
        <w:t xml:space="preserve">Evaluating Retrieval Quality in Retrieval-Augmented Generation</w:t>
      </w:r>
      <w:r>
        <w:t xml:space="preserve">.”</w:t>
      </w:r>
      <w:r>
        <w:t xml:space="preserve"> </w:t>
      </w:r>
      <w:r>
        <w:t xml:space="preserve">In</w:t>
      </w:r>
      <w:r>
        <w:t xml:space="preserve"> </w:t>
      </w:r>
      <w:r>
        <w:rPr>
          <w:iCs/>
          <w:i/>
        </w:rPr>
        <w:t xml:space="preserve">Proceedings of the 47th International ACM SIGIR Conference on Research and Development in Information Retrieval</w:t>
      </w:r>
      <w:r>
        <w:t xml:space="preserve">, 2395–2400. ACM.</w:t>
      </w:r>
      <w:r>
        <w:t xml:space="preserve"> </w:t>
      </w:r>
      <w:hyperlink r:id="rId238">
        <w:r>
          <w:rPr>
            <w:rStyle w:val="Hyperlink"/>
          </w:rPr>
          <w:t xml:space="preserve">https://doi.org/10.1145/3626772.3657957</w:t>
        </w:r>
      </w:hyperlink>
      <w:r>
        <w:t xml:space="preserve">.</w:t>
      </w:r>
    </w:p>
    <w:bookmarkEnd w:id="239"/>
    <w:bookmarkStart w:id="241" w:name="ref-samuel2026beyond"/>
    <w:p>
      <w:pPr>
        <w:pStyle w:val="Bibliography"/>
      </w:pPr>
      <w:r>
        <w:t xml:space="preserve">Samuel, Saron, Alexander Martin, Eugene Yang, Andrew Yates, Dawn Lawrie, Ian Soboroff, Laura Dietz, and Benjamin Van Durme. 2026.</w:t>
      </w:r>
      <w:r>
        <w:t xml:space="preserve"> </w:t>
      </w:r>
      <w:r>
        <w:t xml:space="preserve">“</w:t>
      </w:r>
      <w:r>
        <w:t xml:space="preserve">Beyond Relevance: On the Relationship Between Retrieval and RAG Information Coverage</w:t>
      </w:r>
      <w:r>
        <w:t xml:space="preserve">.”</w:t>
      </w:r>
      <w:r>
        <w:t xml:space="preserve"> </w:t>
      </w:r>
      <w:r>
        <w:t xml:space="preserve">In</w:t>
      </w:r>
      <w:r>
        <w:t xml:space="preserve"> </w:t>
      </w:r>
      <w:r>
        <w:rPr>
          <w:iCs/>
          <w:i/>
        </w:rPr>
        <w:t xml:space="preserve">Proceedings of the 2026 ACM SIGIR International Conference on Innovative Concepts and Theories in Information Retrieval (ICTIR ’26)</w:t>
      </w:r>
      <w:r>
        <w:t xml:space="preserve">.</w:t>
      </w:r>
      <w:r>
        <w:t xml:space="preserve"> </w:t>
      </w:r>
      <w:hyperlink r:id="rId240">
        <w:r>
          <w:rPr>
            <w:rStyle w:val="Hyperlink"/>
          </w:rPr>
          <w:t xml:space="preserve">https://doi.org/10.1145/3805713.3820424</w:t>
        </w:r>
      </w:hyperlink>
      <w:r>
        <w:t xml:space="preserve">.</w:t>
      </w:r>
    </w:p>
    <w:bookmarkEnd w:id="241"/>
    <w:bookmarkStart w:id="242" w:name="ref-shi2023distracted"/>
    <w:p>
      <w:pPr>
        <w:pStyle w:val="Bibliography"/>
      </w:pPr>
      <w:r>
        <w:t xml:space="preserve">Shi, Freda, Xinyun Chen, Kanishka Misra, Nathan Scales, David Dohan, Ed Chi, Nathanael Schärli, and Denny Zhou. 2023.</w:t>
      </w:r>
      <w:r>
        <w:t xml:space="preserve"> </w:t>
      </w:r>
      <w:r>
        <w:t xml:space="preserve">“</w:t>
      </w:r>
      <w:r>
        <w:t xml:space="preserve">Large Language Models Can Be Easily Distracted by Irrelevant Context</w:t>
      </w:r>
      <w:r>
        <w:t xml:space="preserve">.”</w:t>
      </w:r>
      <w:r>
        <w:t xml:space="preserve"> </w:t>
      </w:r>
      <w:r>
        <w:t xml:space="preserve">In</w:t>
      </w:r>
      <w:r>
        <w:t xml:space="preserve"> </w:t>
      </w:r>
      <w:r>
        <w:rPr>
          <w:iCs/>
          <w:i/>
        </w:rPr>
        <w:t xml:space="preserve">Proceedings of the 40th International Conference on Machine Learning (ICML 2023)</w:t>
      </w:r>
      <w:r>
        <w:t xml:space="preserve">, 202:31210–27. PMLR.</w:t>
      </w:r>
    </w:p>
    <w:bookmarkEnd w:id="242"/>
    <w:bookmarkStart w:id="244" w:name="ref-smucker2007"/>
    <w:p>
      <w:pPr>
        <w:pStyle w:val="Bibliography"/>
      </w:pPr>
      <w:r>
        <w:t xml:space="preserve">Smucker, Mark D., James Allan, and Ben Carterette. 2007.</w:t>
      </w:r>
      <w:r>
        <w:t xml:space="preserve"> </w:t>
      </w:r>
      <w:r>
        <w:t xml:space="preserve">“</w:t>
      </w:r>
      <w:r>
        <w:t xml:space="preserve">A comparison of statistical significance tests for information retrieval evaluation</w:t>
      </w:r>
      <w:r>
        <w:t xml:space="preserve">.”</w:t>
      </w:r>
      <w:r>
        <w:t xml:space="preserve"> </w:t>
      </w:r>
      <w:r>
        <w:t xml:space="preserve">In</w:t>
      </w:r>
      <w:r>
        <w:t xml:space="preserve"> </w:t>
      </w:r>
      <w:r>
        <w:rPr>
          <w:iCs/>
          <w:i/>
        </w:rPr>
        <w:t xml:space="preserve">Proceedings of the Sixteenth ACM Conference on Conference on Information and Knowledge Management</w:t>
      </w:r>
      <w:r>
        <w:t xml:space="preserve">, 623–32. ACM.</w:t>
      </w:r>
      <w:r>
        <w:t xml:space="preserve"> </w:t>
      </w:r>
      <w:hyperlink r:id="rId243">
        <w:r>
          <w:rPr>
            <w:rStyle w:val="Hyperlink"/>
          </w:rPr>
          <w:t xml:space="preserve">https://doi.org/10.1145/1321440.1321528</w:t>
        </w:r>
      </w:hyperlink>
      <w:r>
        <w:t xml:space="preserve">.</w:t>
      </w:r>
    </w:p>
    <w:bookmarkEnd w:id="244"/>
    <w:bookmarkStart w:id="245" w:name="ref-thakur2021beir"/>
    <w:p>
      <w:pPr>
        <w:pStyle w:val="Bibliography"/>
      </w:pPr>
      <w:r>
        <w:t xml:space="preserve">Thakur, Nandan, Nils Reimers, Andreas Rücklé, Abhishek Srivastava, and Iryna Gurevych. 2021.</w:t>
      </w:r>
      <w:r>
        <w:t xml:space="preserve"> </w:t>
      </w:r>
      <w:r>
        <w:t xml:space="preserve">“</w:t>
      </w:r>
      <w:r>
        <w:t xml:space="preserve">BEIR: A Heterogeneous Benchmark for Zero-shot Evaluation of Information Retrieval Models</w:t>
      </w:r>
      <w:r>
        <w:t xml:space="preserve">.”</w:t>
      </w:r>
      <w:r>
        <w:t xml:space="preserve"> </w:t>
      </w:r>
      <w:r>
        <w:t xml:space="preserve">In</w:t>
      </w:r>
      <w:r>
        <w:t xml:space="preserve"> </w:t>
      </w:r>
      <w:r>
        <w:rPr>
          <w:iCs/>
          <w:i/>
        </w:rPr>
        <w:t xml:space="preserve">Proceedings of the Neural Information Processing Systems Track on Datasets and Benchmarks</w:t>
      </w:r>
      <w:r>
        <w:t xml:space="preserve">.</w:t>
      </w:r>
    </w:p>
    <w:bookmarkEnd w:id="245"/>
    <w:bookmarkStart w:id="246" w:name="ref-trappolini2025udcg"/>
    <w:p>
      <w:pPr>
        <w:pStyle w:val="Bibliography"/>
      </w:pPr>
      <w:r>
        <w:t xml:space="preserve">Trappolini, Giovanni, Florin Cuconasu, Simone Filice, Yoelle Maarek, and Fabrizio Silvestri. 2025.</w:t>
      </w:r>
      <w:r>
        <w:t xml:space="preserve"> </w:t>
      </w:r>
      <w:r>
        <w:t xml:space="preserve">“</w:t>
      </w:r>
      <w:r>
        <w:t xml:space="preserve">Redefining Retrieval Evaluation in the Era of LLMs</w:t>
      </w:r>
      <w:r>
        <w:t xml:space="preserve">.”</w:t>
      </w:r>
      <w:r>
        <w:t xml:space="preserve"> </w:t>
      </w:r>
      <w:r>
        <w:t xml:space="preserve">arXiv preprint arXiv:2510.21440.</w:t>
      </w:r>
    </w:p>
    <w:bookmarkEnd w:id="246"/>
    <w:bookmarkStart w:id="247" w:name="ref-wang2022e5"/>
    <w:p>
      <w:pPr>
        <w:pStyle w:val="Bibliography"/>
      </w:pPr>
      <w:r>
        <w:t xml:space="preserve">Wang, Liang, Nan Yang, Xiaolong Huang, Binxing Jiao, Linjun Yang, Daxin Jiang, Rangan Majumder, and Furu Wei. 2022.</w:t>
      </w:r>
      <w:r>
        <w:t xml:space="preserve"> </w:t>
      </w:r>
      <w:r>
        <w:t xml:space="preserve">“</w:t>
      </w:r>
      <w:r>
        <w:t xml:space="preserve">Text Embeddings by Weakly-Supervised Contrastive Pre-training</w:t>
      </w:r>
      <w:r>
        <w:t xml:space="preserve">.”</w:t>
      </w:r>
      <w:r>
        <w:t xml:space="preserve"> </w:t>
      </w:r>
      <w:r>
        <w:t xml:space="preserve">arXiv preprint arXiv:2212.03533.</w:t>
      </w:r>
    </w:p>
    <w:bookmarkEnd w:id="247"/>
    <w:bookmarkStart w:id="248" w:name="ref-wang2020minilm"/>
    <w:p>
      <w:pPr>
        <w:pStyle w:val="Bibliography"/>
      </w:pPr>
      <w:r>
        <w:t xml:space="preserve">Wang, Wenhui, Furu Wei, Li Dong, Hangbo Bao, Nan Yang, and Ming Zhou. 2020.</w:t>
      </w:r>
      <w:r>
        <w:t xml:space="preserve"> </w:t>
      </w:r>
      <w:r>
        <w:t xml:space="preserve">“</w:t>
      </w:r>
      <w:r>
        <w:t xml:space="preserve">MiniLM: Deep Self-Attention Distillation for Task-Agnostic Compression of Pre-Trained Transformers</w:t>
      </w:r>
      <w:r>
        <w:t xml:space="preserve">.”</w:t>
      </w:r>
      <w:r>
        <w:t xml:space="preserve"> </w:t>
      </w:r>
      <w:r>
        <w:t xml:space="preserve">In</w:t>
      </w:r>
      <w:r>
        <w:t xml:space="preserve"> </w:t>
      </w:r>
      <w:r>
        <w:rPr>
          <w:iCs/>
          <w:i/>
        </w:rPr>
        <w:t xml:space="preserve">Advances in Neural Information Processing Systems 33 (NeurIPS 2020)</w:t>
      </w:r>
      <w:r>
        <w:t xml:space="preserve">.</w:t>
      </w:r>
    </w:p>
    <w:bookmarkEnd w:id="248"/>
    <w:bookmarkStart w:id="250" w:name="ref-xiao2024cpack"/>
    <w:p>
      <w:pPr>
        <w:pStyle w:val="Bibliography"/>
      </w:pPr>
      <w:r>
        <w:t xml:space="preserve">Xiao, Shitao, Zheng Liu, Peitian Zhang, Niklas Muennighoff, Defu Lian, and Jian-Yun Nie. 2024.</w:t>
      </w:r>
      <w:r>
        <w:t xml:space="preserve"> </w:t>
      </w:r>
      <w:r>
        <w:t xml:space="preserve">“</w:t>
      </w:r>
      <w:r>
        <w:t xml:space="preserve">C-Pack: Packed Resources For General Chinese Embeddings</w:t>
      </w:r>
      <w:r>
        <w:t xml:space="preserve">.”</w:t>
      </w:r>
      <w:r>
        <w:t xml:space="preserve"> </w:t>
      </w:r>
      <w:r>
        <w:t xml:space="preserve">In</w:t>
      </w:r>
      <w:r>
        <w:t xml:space="preserve"> </w:t>
      </w:r>
      <w:r>
        <w:rPr>
          <w:iCs/>
          <w:i/>
        </w:rPr>
        <w:t xml:space="preserve">Proceedings of the 47th International ACM SIGIR Conference on Research and Development in Information Retrieval</w:t>
      </w:r>
      <w:r>
        <w:t xml:space="preserve">, 641–49. ACM.</w:t>
      </w:r>
      <w:r>
        <w:t xml:space="preserve"> </w:t>
      </w:r>
      <w:hyperlink r:id="rId249">
        <w:r>
          <w:rPr>
            <w:rStyle w:val="Hyperlink"/>
          </w:rPr>
          <w:t xml:space="preserve">https://doi.org/10.1145/3626772.3657878</w:t>
        </w:r>
      </w:hyperlink>
      <w:r>
        <w:t xml:space="preserve">.</w:t>
      </w:r>
    </w:p>
    <w:bookmarkEnd w:id="250"/>
    <w:bookmarkStart w:id="252" w:name="ref-yang2018hotpotqa"/>
    <w:p>
      <w:pPr>
        <w:pStyle w:val="Bibliography"/>
      </w:pPr>
      <w:r>
        <w:t xml:space="preserve">Yang, Zhilin, Peng Qi, Saizheng Zhang, Yoshua Bengio, William Cohen, Ruslan Salakhutdinov, and Christopher D. Manning. 2018.</w:t>
      </w:r>
      <w:r>
        <w:t xml:space="preserve"> </w:t>
      </w:r>
      <w:r>
        <w:t xml:space="preserve">“</w:t>
      </w:r>
      <w:r>
        <w:t xml:space="preserve">HotpotQA: A Dataset for Diverse, Explainable Multi-hop Question Answering</w:t>
      </w:r>
      <w:r>
        <w:t xml:space="preserve">.”</w:t>
      </w:r>
      <w:r>
        <w:t xml:space="preserve"> </w:t>
      </w:r>
      <w:r>
        <w:t xml:space="preserve">In</w:t>
      </w:r>
      <w:r>
        <w:t xml:space="preserve"> </w:t>
      </w:r>
      <w:r>
        <w:rPr>
          <w:iCs/>
          <w:i/>
        </w:rPr>
        <w:t xml:space="preserve">Proceedings of the 2018 Conference on Empirical Methods in Natural Language Processing</w:t>
      </w:r>
      <w:r>
        <w:t xml:space="preserve">, 2369–80. Association for Computational Linguistics.</w:t>
      </w:r>
      <w:r>
        <w:t xml:space="preserve"> </w:t>
      </w:r>
      <w:hyperlink r:id="rId251">
        <w:r>
          <w:rPr>
            <w:rStyle w:val="Hyperlink"/>
          </w:rPr>
          <w:t xml:space="preserve">https://doi.org/10.18653/v1/d18-1259</w:t>
        </w:r>
      </w:hyperlink>
      <w:r>
        <w:t xml:space="preserve">.</w:t>
      </w:r>
    </w:p>
    <w:bookmarkEnd w:id="252"/>
    <w:bookmarkStart w:id="253" w:name="ref-zhang2025qwen3emb"/>
    <w:p>
      <w:pPr>
        <w:pStyle w:val="Bibliography"/>
      </w:pPr>
      <w:r>
        <w:t xml:space="preserve">Zhang, Yanzhao, Mingxin Li, Dingkun Long, Xin Zhang, Huan Lin, Baosong Yang, Pengjun Xie, et al. 2025.</w:t>
      </w:r>
      <w:r>
        <w:t xml:space="preserve"> </w:t>
      </w:r>
      <w:r>
        <w:t xml:space="preserve">“</w:t>
      </w:r>
      <w:r>
        <w:t xml:space="preserve">Qwen3 Embedding: Advancing Text Embedding and Reranking Through Foundation Models</w:t>
      </w:r>
      <w:r>
        <w:t xml:space="preserve">.”</w:t>
      </w:r>
      <w:r>
        <w:t xml:space="preserve"> </w:t>
      </w:r>
      <w:r>
        <w:t xml:space="preserve">arXiv preprint arXiv:2506.05176.</w:t>
      </w:r>
    </w:p>
    <w:bookmarkEnd w:id="253"/>
    <w:bookmarkStart w:id="255" w:name="ref-zhao2026design"/>
    <w:p>
      <w:pPr>
        <w:pStyle w:val="Bibliography"/>
      </w:pPr>
      <w:r>
        <w:t xml:space="preserve">Zhao, Shengming, Yuchen Shao, Yuheng Huang, Jiayang Song, Zhijie Wang, Chengcheng Wan, and Lei Ma. 2026.</w:t>
      </w:r>
      <w:r>
        <w:t xml:space="preserve"> </w:t>
      </w:r>
      <w:r>
        <w:t xml:space="preserve">“</w:t>
      </w:r>
      <w:r>
        <w:t xml:space="preserve">Understanding the Fundamental Design Decisions of Retrieval-Augmented Generation Systems</w:t>
      </w:r>
      <w:r>
        <w:t xml:space="preserve">.”</w:t>
      </w:r>
      <w:r>
        <w:t xml:space="preserve"> </w:t>
      </w:r>
      <w:r>
        <w:rPr>
          <w:iCs/>
          <w:i/>
        </w:rPr>
        <w:t xml:space="preserve">ACM Transactions on Software Engineering and Methodology</w:t>
      </w:r>
      <w:r>
        <w:t xml:space="preserve">.</w:t>
      </w:r>
      <w:r>
        <w:t xml:space="preserve"> </w:t>
      </w:r>
      <w:hyperlink r:id="rId254">
        <w:r>
          <w:rPr>
            <w:rStyle w:val="Hyperlink"/>
          </w:rPr>
          <w:t xml:space="preserve">https://doi.org/10.1145/3802824</w:t>
        </w:r>
      </w:hyperlink>
      <w:r>
        <w:t xml:space="preserve">.</w:t>
      </w:r>
    </w:p>
    <w:bookmarkEnd w:id="255"/>
    <w:bookmarkStart w:id="256" w:name="ref-zheng2023judge"/>
    <w:p>
      <w:pPr>
        <w:pStyle w:val="Bibliography"/>
      </w:pPr>
      <w:r>
        <w:t xml:space="preserve">Zheng, Lianmin, Wei-Lin Chiang, Ying Sheng, Siyuan Zhuang, Zhanghao Wu, Yonghao Zhuang, Zi Lin, et al. 2023.</w:t>
      </w:r>
      <w:r>
        <w:t xml:space="preserve"> </w:t>
      </w:r>
      <w:r>
        <w:t xml:space="preserve">“</w:t>
      </w:r>
      <w:r>
        <w:t xml:space="preserve">Judging LLM-as-a-Judge with MT-Bench and Chatbot Arena</w:t>
      </w:r>
      <w:r>
        <w:t xml:space="preserve">.”</w:t>
      </w:r>
      <w:r>
        <w:t xml:space="preserve"> </w:t>
      </w:r>
      <w:r>
        <w:t xml:space="preserve">In</w:t>
      </w:r>
      <w:r>
        <w:t xml:space="preserve"> </w:t>
      </w:r>
      <w:r>
        <w:rPr>
          <w:iCs/>
          <w:i/>
        </w:rPr>
        <w:t xml:space="preserve">Advances in Neural Information Processing Systems 36 (NeurIPS 2023), Datasets and Benchmarks Track</w:t>
      </w:r>
      <w:r>
        <w:t xml:space="preserve">.</w:t>
      </w:r>
    </w:p>
    <w:bookmarkEnd w:id="256"/>
    <w:bookmarkEnd w:id="257"/>
    <w:bookmarkEnd w:id="2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2" Target="media/rId82.png" /><Relationship Type="http://schemas.openxmlformats.org/officeDocument/2006/relationships/image" Id="rId149" Target="media/rId149.png" /><Relationship Type="http://schemas.openxmlformats.org/officeDocument/2006/relationships/image" Id="rId156" Target="media/rId156.png" /><Relationship Type="http://schemas.openxmlformats.org/officeDocument/2006/relationships/image" Id="rId69" Target="media/rId69.png" /><Relationship Type="http://schemas.openxmlformats.org/officeDocument/2006/relationships/image" Id="rId66" Target="media/rId66.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102" Target="media/rId102.png" /><Relationship Type="http://schemas.openxmlformats.org/officeDocument/2006/relationships/image" Id="rId109" Target="media/rId109.png" /><Relationship Type="http://schemas.openxmlformats.org/officeDocument/2006/relationships/image" Id="rId27" Target="media/rId27.png" /><Relationship Type="http://schemas.openxmlformats.org/officeDocument/2006/relationships/image" Id="rId41" Target="media/rId41.png" /><Relationship Type="http://schemas.openxmlformats.org/officeDocument/2006/relationships/image" Id="rId62" Target="media/rId62.png" /><Relationship Type="http://schemas.openxmlformats.org/officeDocument/2006/relationships/image" Id="rId74" Target="media/rId74.pdf" /><Relationship Type="http://schemas.openxmlformats.org/officeDocument/2006/relationships/hyperlink" Id="rId171" Target="https://doi.org/10.1007/978-1-4899-4541-9" TargetMode="External" /><Relationship Type="http://schemas.openxmlformats.org/officeDocument/2006/relationships/hyperlink" Id="rId213" Target="https://doi.org/10.1007/bf02295996" TargetMode="External" /><Relationship Type="http://schemas.openxmlformats.org/officeDocument/2006/relationships/hyperlink" Id="rId202" Target="https://doi.org/10.1093/biomet/73.1.13" TargetMode="External" /><Relationship Type="http://schemas.openxmlformats.org/officeDocument/2006/relationships/hyperlink" Id="rId177" Target="https://doi.org/10.1108/DTA-07-2025-0609" TargetMode="External" /><Relationship Type="http://schemas.openxmlformats.org/officeDocument/2006/relationships/hyperlink" Id="rId186" Target="https://doi.org/10.1109/tbdata.2019.2921572" TargetMode="External" /><Relationship Type="http://schemas.openxmlformats.org/officeDocument/2006/relationships/hyperlink" Id="rId210" Target="https://doi.org/10.1109/tpami.2018.2889473" TargetMode="External" /><Relationship Type="http://schemas.openxmlformats.org/officeDocument/2006/relationships/hyperlink" Id="rId243" Target="https://doi.org/10.1145/1321440.1321528" TargetMode="External" /><Relationship Type="http://schemas.openxmlformats.org/officeDocument/2006/relationships/hyperlink" Id="rId236" Target="https://doi.org/10.1145/2641383.2641385" TargetMode="External" /><Relationship Type="http://schemas.openxmlformats.org/officeDocument/2006/relationships/hyperlink" Id="rId194" Target="https://doi.org/10.1145/3600006.3613165" TargetMode="External" /><Relationship Type="http://schemas.openxmlformats.org/officeDocument/2006/relationships/hyperlink" Id="rId167" Target="https://doi.org/10.1145/3626772.3657834" TargetMode="External" /><Relationship Type="http://schemas.openxmlformats.org/officeDocument/2006/relationships/hyperlink" Id="rId249" Target="https://doi.org/10.1145/3626772.3657878" TargetMode="External" /><Relationship Type="http://schemas.openxmlformats.org/officeDocument/2006/relationships/hyperlink" Id="rId238" Target="https://doi.org/10.1145/3626772.3657957" TargetMode="External" /><Relationship Type="http://schemas.openxmlformats.org/officeDocument/2006/relationships/hyperlink" Id="rId208" Target="https://doi.org/10.1145/3701228" TargetMode="External" /><Relationship Type="http://schemas.openxmlformats.org/officeDocument/2006/relationships/hyperlink" Id="rId220" Target="https://doi.org/10.1145/3774904.3792093" TargetMode="External" /><Relationship Type="http://schemas.openxmlformats.org/officeDocument/2006/relationships/hyperlink" Id="rId254" Target="https://doi.org/10.1145/3802824" TargetMode="External" /><Relationship Type="http://schemas.openxmlformats.org/officeDocument/2006/relationships/hyperlink" Id="rId240" Target="https://doi.org/10.1145/3805713.3820424" TargetMode="External" /><Relationship Type="http://schemas.openxmlformats.org/officeDocument/2006/relationships/hyperlink" Id="rId192" Target="https://doi.org/10.1162/tacl_a_00276" TargetMode="External" /><Relationship Type="http://schemas.openxmlformats.org/officeDocument/2006/relationships/hyperlink" Id="rId225" Target="https://doi.org/10.1162/tacl_a_00605" TargetMode="External" /><Relationship Type="http://schemas.openxmlformats.org/officeDocument/2006/relationships/hyperlink" Id="rId205" Target="https://doi.org/10.1162/tacl_a_00638" TargetMode="External" /><Relationship Type="http://schemas.openxmlformats.org/officeDocument/2006/relationships/hyperlink" Id="rId163" Target="https://doi.org/10.1177/001316446002000104" TargetMode="External" /><Relationship Type="http://schemas.openxmlformats.org/officeDocument/2006/relationships/hyperlink" Id="rId232" Target="https://doi.org/10.1561/1500000019" TargetMode="External" /><Relationship Type="http://schemas.openxmlformats.org/officeDocument/2006/relationships/hyperlink" Id="rId190" Target="https://doi.org/10.18653/v1/2020.emnlp-main.550" TargetMode="External" /><Relationship Type="http://schemas.openxmlformats.org/officeDocument/2006/relationships/hyperlink" Id="rId182" Target="https://doi.org/10.18653/v1/2021.eacl-main.74" TargetMode="External" /><Relationship Type="http://schemas.openxmlformats.org/officeDocument/2006/relationships/hyperlink" Id="rId222" Target="https://doi.org/10.18653/v1/2021.naacl-main.200" TargetMode="External" /><Relationship Type="http://schemas.openxmlformats.org/officeDocument/2006/relationships/hyperlink" Id="rId188" Target="https://doi.org/10.18653/v1/2023.acl-long.307" TargetMode="External" /><Relationship Type="http://schemas.openxmlformats.org/officeDocument/2006/relationships/hyperlink" Id="rId216" Target="https://doi.org/10.18653/v1/2023.eacl-main.148" TargetMode="External" /><Relationship Type="http://schemas.openxmlformats.org/officeDocument/2006/relationships/hyperlink" Id="rId173" Target="https://doi.org/10.18653/v1/2024.eacl-demo.16" TargetMode="External" /><Relationship Type="http://schemas.openxmlformats.org/officeDocument/2006/relationships/hyperlink" Id="rId227" Target="https://doi.org/10.18653/v1/2024.findings-emnlp.449" TargetMode="External" /><Relationship Type="http://schemas.openxmlformats.org/officeDocument/2006/relationships/hyperlink" Id="rId234" Target="https://doi.org/10.18653/v1/2024.naacl-long.20" TargetMode="External" /><Relationship Type="http://schemas.openxmlformats.org/officeDocument/2006/relationships/hyperlink" Id="rId159" Target="https://doi.org/10.18653/v1/2025.acl-long.892" TargetMode="External" /><Relationship Type="http://schemas.openxmlformats.org/officeDocument/2006/relationships/hyperlink" Id="rId165" Target="https://doi.org/10.18653/v1/2025.emnlp-main.1422" TargetMode="External" /><Relationship Type="http://schemas.openxmlformats.org/officeDocument/2006/relationships/hyperlink" Id="rId251" Target="https://doi.org/10.18653/v1/d18-1259" TargetMode="External" /><Relationship Type="http://schemas.openxmlformats.org/officeDocument/2006/relationships/hyperlink" Id="rId229" Target="https://doi.org/10.18653/v1/d19-1410" TargetMode="External" /><Relationship Type="http://schemas.openxmlformats.org/officeDocument/2006/relationships/hyperlink" Id="rId169" Target="https://doi.org/10.18653/v1/p18-1128" TargetMode="External" /><Relationship Type="http://schemas.openxmlformats.org/officeDocument/2006/relationships/hyperlink" Id="rId198" Target="https://doi.org/10.18653/v1/p19-1612" TargetMode="External" /><Relationship Type="http://schemas.openxmlformats.org/officeDocument/2006/relationships/hyperlink" Id="rId196" Target="https://doi.org/10.2307/2529310" TargetMode="External" /><Relationship Type="http://schemas.openxmlformats.org/officeDocument/2006/relationships/hyperlink" Id="rId179" Target="https://www.jstor.org/stable/4615733" TargetMode="External" /></Relationships>
</file>

<file path=word/_rels/footnotes.xml.rels><?xml version="1.0" encoding="UTF-8"?><Relationships xmlns="http://schemas.openxmlformats.org/package/2006/relationships"><Relationship Type="http://schemas.openxmlformats.org/officeDocument/2006/relationships/hyperlink" Id="rId171" Target="https://doi.org/10.1007/978-1-4899-4541-9" TargetMode="External" /><Relationship Type="http://schemas.openxmlformats.org/officeDocument/2006/relationships/hyperlink" Id="rId213" Target="https://doi.org/10.1007/bf02295996" TargetMode="External" /><Relationship Type="http://schemas.openxmlformats.org/officeDocument/2006/relationships/hyperlink" Id="rId202" Target="https://doi.org/10.1093/biomet/73.1.13" TargetMode="External" /><Relationship Type="http://schemas.openxmlformats.org/officeDocument/2006/relationships/hyperlink" Id="rId177" Target="https://doi.org/10.1108/DTA-07-2025-0609" TargetMode="External" /><Relationship Type="http://schemas.openxmlformats.org/officeDocument/2006/relationships/hyperlink" Id="rId186" Target="https://doi.org/10.1109/tbdata.2019.2921572" TargetMode="External" /><Relationship Type="http://schemas.openxmlformats.org/officeDocument/2006/relationships/hyperlink" Id="rId210" Target="https://doi.org/10.1109/tpami.2018.2889473" TargetMode="External" /><Relationship Type="http://schemas.openxmlformats.org/officeDocument/2006/relationships/hyperlink" Id="rId243" Target="https://doi.org/10.1145/1321440.1321528" TargetMode="External" /><Relationship Type="http://schemas.openxmlformats.org/officeDocument/2006/relationships/hyperlink" Id="rId236" Target="https://doi.org/10.1145/2641383.2641385" TargetMode="External" /><Relationship Type="http://schemas.openxmlformats.org/officeDocument/2006/relationships/hyperlink" Id="rId194" Target="https://doi.org/10.1145/3600006.3613165" TargetMode="External" /><Relationship Type="http://schemas.openxmlformats.org/officeDocument/2006/relationships/hyperlink" Id="rId167" Target="https://doi.org/10.1145/3626772.3657834" TargetMode="External" /><Relationship Type="http://schemas.openxmlformats.org/officeDocument/2006/relationships/hyperlink" Id="rId249" Target="https://doi.org/10.1145/3626772.3657878" TargetMode="External" /><Relationship Type="http://schemas.openxmlformats.org/officeDocument/2006/relationships/hyperlink" Id="rId238" Target="https://doi.org/10.1145/3626772.3657957" TargetMode="External" /><Relationship Type="http://schemas.openxmlformats.org/officeDocument/2006/relationships/hyperlink" Id="rId208" Target="https://doi.org/10.1145/3701228" TargetMode="External" /><Relationship Type="http://schemas.openxmlformats.org/officeDocument/2006/relationships/hyperlink" Id="rId220" Target="https://doi.org/10.1145/3774904.3792093" TargetMode="External" /><Relationship Type="http://schemas.openxmlformats.org/officeDocument/2006/relationships/hyperlink" Id="rId254" Target="https://doi.org/10.1145/3802824" TargetMode="External" /><Relationship Type="http://schemas.openxmlformats.org/officeDocument/2006/relationships/hyperlink" Id="rId240" Target="https://doi.org/10.1145/3805713.3820424" TargetMode="External" /><Relationship Type="http://schemas.openxmlformats.org/officeDocument/2006/relationships/hyperlink" Id="rId192" Target="https://doi.org/10.1162/tacl_a_00276" TargetMode="External" /><Relationship Type="http://schemas.openxmlformats.org/officeDocument/2006/relationships/hyperlink" Id="rId225" Target="https://doi.org/10.1162/tacl_a_00605" TargetMode="External" /><Relationship Type="http://schemas.openxmlformats.org/officeDocument/2006/relationships/hyperlink" Id="rId205" Target="https://doi.org/10.1162/tacl_a_00638" TargetMode="External" /><Relationship Type="http://schemas.openxmlformats.org/officeDocument/2006/relationships/hyperlink" Id="rId163" Target="https://doi.org/10.1177/001316446002000104" TargetMode="External" /><Relationship Type="http://schemas.openxmlformats.org/officeDocument/2006/relationships/hyperlink" Id="rId232" Target="https://doi.org/10.1561/1500000019" TargetMode="External" /><Relationship Type="http://schemas.openxmlformats.org/officeDocument/2006/relationships/hyperlink" Id="rId190" Target="https://doi.org/10.18653/v1/2020.emnlp-main.550" TargetMode="External" /><Relationship Type="http://schemas.openxmlformats.org/officeDocument/2006/relationships/hyperlink" Id="rId182" Target="https://doi.org/10.18653/v1/2021.eacl-main.74" TargetMode="External" /><Relationship Type="http://schemas.openxmlformats.org/officeDocument/2006/relationships/hyperlink" Id="rId222" Target="https://doi.org/10.18653/v1/2021.naacl-main.200" TargetMode="External" /><Relationship Type="http://schemas.openxmlformats.org/officeDocument/2006/relationships/hyperlink" Id="rId188" Target="https://doi.org/10.18653/v1/2023.acl-long.307" TargetMode="External" /><Relationship Type="http://schemas.openxmlformats.org/officeDocument/2006/relationships/hyperlink" Id="rId216" Target="https://doi.org/10.18653/v1/2023.eacl-main.148" TargetMode="External" /><Relationship Type="http://schemas.openxmlformats.org/officeDocument/2006/relationships/hyperlink" Id="rId173" Target="https://doi.org/10.18653/v1/2024.eacl-demo.16" TargetMode="External" /><Relationship Type="http://schemas.openxmlformats.org/officeDocument/2006/relationships/hyperlink" Id="rId227" Target="https://doi.org/10.18653/v1/2024.findings-emnlp.449" TargetMode="External" /><Relationship Type="http://schemas.openxmlformats.org/officeDocument/2006/relationships/hyperlink" Id="rId234" Target="https://doi.org/10.18653/v1/2024.naacl-long.20" TargetMode="External" /><Relationship Type="http://schemas.openxmlformats.org/officeDocument/2006/relationships/hyperlink" Id="rId159" Target="https://doi.org/10.18653/v1/2025.acl-long.892" TargetMode="External" /><Relationship Type="http://schemas.openxmlformats.org/officeDocument/2006/relationships/hyperlink" Id="rId165" Target="https://doi.org/10.18653/v1/2025.emnlp-main.1422" TargetMode="External" /><Relationship Type="http://schemas.openxmlformats.org/officeDocument/2006/relationships/hyperlink" Id="rId251" Target="https://doi.org/10.18653/v1/d18-1259" TargetMode="External" /><Relationship Type="http://schemas.openxmlformats.org/officeDocument/2006/relationships/hyperlink" Id="rId229" Target="https://doi.org/10.18653/v1/d19-1410" TargetMode="External" /><Relationship Type="http://schemas.openxmlformats.org/officeDocument/2006/relationships/hyperlink" Id="rId169" Target="https://doi.org/10.18653/v1/p18-1128" TargetMode="External" /><Relationship Type="http://schemas.openxmlformats.org/officeDocument/2006/relationships/hyperlink" Id="rId198" Target="https://doi.org/10.18653/v1/p19-1612" TargetMode="External" /><Relationship Type="http://schemas.openxmlformats.org/officeDocument/2006/relationships/hyperlink" Id="rId196" Target="https://doi.org/10.2307/2529310" TargetMode="External" /><Relationship Type="http://schemas.openxmlformats.org/officeDocument/2006/relationships/hyperlink" Id="rId179" Target="https://www.jstor.org/stable/46157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retrieval gain reaches the answer? Transfer ratios and retrieval-stage cost of open embedding models in retrieval-augmented question answering</dc:title>
  <dc:creator/>
  <cp:keywords/>
  <dcterms:created xsi:type="dcterms:W3CDTF">2026-10-18T00:04:32Z</dcterms:created>
  <dcterms:modified xsi:type="dcterms:W3CDTF">2026-10-18T00:04:32Z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(RAG) systems are often built around the embedding model with the best retrieval score. We asked how much of a paired retrieval gain reaches the answer. On Natural Questions (NQ, 2,255 queries) and HotpotQA (2,000 queries), we compared BM25 and six open embedding models (23–596M parameters) under two quantised 7–8B readers, with corpus, prompt and decoding fixed, and registered predictions before the second and third study phases. The transfer ratio T divides the exact-match (EM) gain over a small baseline encoder by the Hit@5 gain on the same queries. On NQ, T of the five dense encoders was 0.16–0.27 (largest upper 95% bound 0.455). Rerun on the full 2.68-million-passage corpus with both readers, the dense ratios were 0.15–0.23, and the ratio of e5-base-v2 lay inside its sub-corpus interval. T stayed well below 1 under F1, answer containment and a BM25 baseline, but was higher when the reader saw one passage. Queries that newly retrieved a gold passage gained EM, queries that kept or lost a hit gave some back, and 0.41–0.55 of dense-encoder Hit@5 misses still contained an answer string. On HotpotQA, T was 0.49–0.93 with Hit@5 but 0.29–0.35 with Both@5, which requires both supporting passages; queries that gained supporting passages carried the whole EM gain. Retrieval-stage throughput on one T4 GPU differed 27-fold across encoders, and larger encoders gave no detected EM gain over e5-base-v2 on NQ. In this setting, retrieval gains overstate answer gains, and multi-hop retrieval should be scored by complete evidence.</vt:lpwstr>
  </property>
  <property fmtid="{D5CDD505-2E9C-101B-9397-08002B2CF9AE}" pid="3" name="bibliography">
    <vt:lpwstr>/home/claude/rag-embed-transfer/manuscript_ipm/revision_v04/latex/references.bib</vt:lpwstr>
  </property>
  <property fmtid="{D5CDD505-2E9C-101B-9397-08002B2CF9AE}" pid="4" name="link-citations">
    <vt:lpwstr>True</vt:lpwstr>
  </property>
</Properties>
</file>