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ACC3C" w14:textId="77777777" w:rsidR="00EE245A" w:rsidRPr="00EE245A" w:rsidRDefault="00EE245A" w:rsidP="00EE245A">
      <w:pPr>
        <w:shd w:val="clear" w:color="auto" w:fill="FFFFFF"/>
        <w:spacing w:after="0" w:line="240" w:lineRule="auto"/>
        <w:rPr>
          <w:rFonts w:ascii="Helvetica" w:eastAsia="Times New Roman" w:hAnsi="Helvetica" w:cs="Helvetica"/>
          <w:color w:val="212121"/>
          <w:kern w:val="0"/>
          <w:sz w:val="24"/>
          <w:szCs w:val="24"/>
          <w14:ligatures w14:val="none"/>
        </w:rPr>
      </w:pPr>
      <w:hyperlink r:id="rId4" w:history="1">
        <w:r w:rsidRPr="00EE245A">
          <w:rPr>
            <w:rFonts w:ascii="Helvetica" w:eastAsia="Times New Roman" w:hAnsi="Helvetica" w:cs="Helvetica"/>
            <w:color w:val="205493"/>
            <w:kern w:val="0"/>
            <w:sz w:val="24"/>
            <w:szCs w:val="24"/>
            <w:u w:val="single"/>
            <w14:ligatures w14:val="none"/>
          </w:rPr>
          <w:t>J Neurooncol.</w:t>
        </w:r>
      </w:hyperlink>
      <w:r w:rsidRPr="00EE245A">
        <w:rPr>
          <w:rFonts w:ascii="Helvetica" w:eastAsia="Times New Roman" w:hAnsi="Helvetica" w:cs="Helvetica"/>
          <w:color w:val="212121"/>
          <w:kern w:val="0"/>
          <w:sz w:val="24"/>
          <w:szCs w:val="24"/>
          <w14:ligatures w14:val="none"/>
        </w:rPr>
        <w:t> 2020; 147(1): 125–133.</w:t>
      </w:r>
    </w:p>
    <w:p w14:paraId="67A9F668" w14:textId="77777777" w:rsidR="00EE245A" w:rsidRPr="00EE245A" w:rsidRDefault="00EE245A" w:rsidP="00EE245A">
      <w:pPr>
        <w:shd w:val="clear" w:color="auto" w:fill="FFFFFF"/>
        <w:spacing w:after="0" w:line="240" w:lineRule="auto"/>
        <w:rPr>
          <w:rFonts w:ascii="Helvetica" w:eastAsia="Times New Roman" w:hAnsi="Helvetica" w:cs="Helvetica"/>
          <w:color w:val="212121"/>
          <w:kern w:val="0"/>
          <w:sz w:val="24"/>
          <w:szCs w:val="24"/>
          <w14:ligatures w14:val="none"/>
        </w:rPr>
      </w:pPr>
      <w:r w:rsidRPr="00EE245A">
        <w:rPr>
          <w:rFonts w:ascii="Helvetica" w:eastAsia="Times New Roman" w:hAnsi="Helvetica" w:cs="Helvetica"/>
          <w:color w:val="212121"/>
          <w:kern w:val="0"/>
          <w:sz w:val="24"/>
          <w:szCs w:val="24"/>
          <w14:ligatures w14:val="none"/>
        </w:rPr>
        <w:t>Published online 2020 Jan 27. doi: </w:t>
      </w:r>
      <w:hyperlink r:id="rId5" w:tgtFrame="_blank" w:history="1">
        <w:r w:rsidRPr="00EE245A">
          <w:rPr>
            <w:rFonts w:ascii="Helvetica" w:eastAsia="Times New Roman" w:hAnsi="Helvetica" w:cs="Helvetica"/>
            <w:color w:val="376FAA"/>
            <w:kern w:val="0"/>
            <w:sz w:val="24"/>
            <w:szCs w:val="24"/>
            <w:u w:val="single"/>
            <w14:ligatures w14:val="none"/>
          </w:rPr>
          <w:t>10.1007/s11060-020-03406-x</w:t>
        </w:r>
      </w:hyperlink>
    </w:p>
    <w:p w14:paraId="7E5EE119" w14:textId="77777777" w:rsidR="00EE245A" w:rsidRPr="00EE245A" w:rsidRDefault="00EE245A" w:rsidP="00EE245A">
      <w:pPr>
        <w:shd w:val="clear" w:color="auto" w:fill="FFFFFF"/>
        <w:spacing w:after="0" w:line="240" w:lineRule="auto"/>
        <w:jc w:val="right"/>
        <w:rPr>
          <w:rFonts w:ascii="Helvetica" w:eastAsia="Times New Roman" w:hAnsi="Helvetica" w:cs="Helvetica"/>
          <w:color w:val="212121"/>
          <w:kern w:val="0"/>
          <w:sz w:val="24"/>
          <w:szCs w:val="24"/>
          <w14:ligatures w14:val="none"/>
        </w:rPr>
      </w:pPr>
      <w:r w:rsidRPr="00EE245A">
        <w:rPr>
          <w:rFonts w:ascii="Helvetica" w:eastAsia="Times New Roman" w:hAnsi="Helvetica" w:cs="Helvetica"/>
          <w:color w:val="212121"/>
          <w:kern w:val="0"/>
          <w:sz w:val="24"/>
          <w:szCs w:val="24"/>
          <w14:ligatures w14:val="none"/>
        </w:rPr>
        <w:t>PMCID: PMC7076058</w:t>
      </w:r>
    </w:p>
    <w:p w14:paraId="18EE7CD0" w14:textId="77777777" w:rsidR="00EE245A" w:rsidRPr="00EE245A" w:rsidRDefault="00EE245A" w:rsidP="00EE245A">
      <w:pPr>
        <w:shd w:val="clear" w:color="auto" w:fill="FFFFFF"/>
        <w:spacing w:after="0" w:line="240" w:lineRule="auto"/>
        <w:jc w:val="right"/>
        <w:rPr>
          <w:rFonts w:ascii="Helvetica" w:eastAsia="Times New Roman" w:hAnsi="Helvetica" w:cs="Helvetica"/>
          <w:color w:val="212121"/>
          <w:kern w:val="0"/>
          <w:sz w:val="24"/>
          <w:szCs w:val="24"/>
          <w14:ligatures w14:val="none"/>
        </w:rPr>
      </w:pPr>
      <w:r w:rsidRPr="00EE245A">
        <w:rPr>
          <w:rFonts w:ascii="Helvetica" w:eastAsia="Times New Roman" w:hAnsi="Helvetica" w:cs="Helvetica"/>
          <w:color w:val="212121"/>
          <w:kern w:val="0"/>
          <w:sz w:val="24"/>
          <w:szCs w:val="24"/>
          <w14:ligatures w14:val="none"/>
        </w:rPr>
        <w:t>PMID: </w:t>
      </w:r>
      <w:hyperlink r:id="rId6" w:history="1">
        <w:r w:rsidRPr="00EE245A">
          <w:rPr>
            <w:rFonts w:ascii="Helvetica" w:eastAsia="Times New Roman" w:hAnsi="Helvetica" w:cs="Helvetica"/>
            <w:color w:val="376FAA"/>
            <w:kern w:val="0"/>
            <w:sz w:val="24"/>
            <w:szCs w:val="24"/>
            <w:u w:val="single"/>
            <w14:ligatures w14:val="none"/>
          </w:rPr>
          <w:t>31989489</w:t>
        </w:r>
      </w:hyperlink>
    </w:p>
    <w:p w14:paraId="1036ED70" w14:textId="77777777" w:rsidR="00EE245A" w:rsidRPr="00EE245A" w:rsidRDefault="00EE245A" w:rsidP="00EE245A">
      <w:pPr>
        <w:shd w:val="clear" w:color="auto" w:fill="FFFFFF"/>
        <w:spacing w:before="400" w:after="200" w:line="450" w:lineRule="atLeast"/>
        <w:outlineLvl w:val="0"/>
        <w:rPr>
          <w:rFonts w:ascii="Cambria" w:eastAsia="Times New Roman" w:hAnsi="Cambria" w:cs="Times New Roman"/>
          <w:color w:val="000000"/>
          <w:spacing w:val="-2"/>
          <w:kern w:val="36"/>
          <w:sz w:val="36"/>
          <w:szCs w:val="36"/>
          <w14:ligatures w14:val="none"/>
        </w:rPr>
      </w:pPr>
      <w:r w:rsidRPr="00EE245A">
        <w:rPr>
          <w:rFonts w:ascii="Cambria" w:eastAsia="Times New Roman" w:hAnsi="Cambria" w:cs="Times New Roman"/>
          <w:color w:val="000000"/>
          <w:spacing w:val="-2"/>
          <w:kern w:val="36"/>
          <w:sz w:val="36"/>
          <w:szCs w:val="36"/>
          <w14:ligatures w14:val="none"/>
        </w:rPr>
        <w:t>Finite element analysis of Tumor Treating Fields in a patient with posterior fossa glioblastoma</w:t>
      </w:r>
    </w:p>
    <w:p w14:paraId="42CEDF94" w14:textId="77777777" w:rsidR="005777F4" w:rsidRDefault="005777F4"/>
    <w:p w14:paraId="4696B84E" w14:textId="77777777" w:rsidR="00EE245A" w:rsidRDefault="00EE245A" w:rsidP="00EE245A">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Abstract</w:t>
      </w:r>
    </w:p>
    <w:p w14:paraId="1F296699" w14:textId="77777777" w:rsidR="00EE245A" w:rsidRDefault="00EE245A" w:rsidP="00EE245A">
      <w:pPr>
        <w:pStyle w:val="Heading3"/>
        <w:shd w:val="clear" w:color="auto" w:fill="FFFFFF"/>
        <w:spacing w:before="400" w:after="200" w:line="450" w:lineRule="atLeast"/>
        <w:rPr>
          <w:rFonts w:ascii="Cambria" w:hAnsi="Cambria"/>
          <w:b/>
          <w:bCs/>
          <w:color w:val="734126"/>
          <w:spacing w:val="-2"/>
          <w:sz w:val="32"/>
          <w:szCs w:val="32"/>
        </w:rPr>
      </w:pPr>
      <w:r>
        <w:rPr>
          <w:rFonts w:ascii="Cambria" w:hAnsi="Cambria"/>
          <w:b/>
          <w:bCs/>
          <w:color w:val="734126"/>
          <w:spacing w:val="-2"/>
          <w:sz w:val="32"/>
          <w:szCs w:val="32"/>
        </w:rPr>
        <w:t>Introduction</w:t>
      </w:r>
    </w:p>
    <w:p w14:paraId="1251C264"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Tumor Treating Fields (TTFields) are alternating electric fields at 200 kHz that disrupt tumor cells as they undergo mitosis. Patient survival benefit has been demonstrated in randomized clinical trials but much of the data are available only for supratentorial glioblastomas. We investigated a series of alternative array configurations for the posterior fossa to determine the electric field coverage of a cerebellar glioblastoma.</w:t>
      </w:r>
    </w:p>
    <w:p w14:paraId="659B42C1" w14:textId="77777777" w:rsidR="00EE245A" w:rsidRDefault="00EE245A" w:rsidP="00EE245A">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Methods</w:t>
      </w:r>
    </w:p>
    <w:p w14:paraId="105CCA72"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Semi-automated segmentation of neuro-anatomical structures was performed while the gross tumor volume (GTV) was manually delineated. A three-dimensional finite-element mesh was generated and then solved for field distribution.</w:t>
      </w:r>
    </w:p>
    <w:p w14:paraId="52CF3335" w14:textId="77777777" w:rsidR="00EE245A" w:rsidRDefault="00EE245A" w:rsidP="00EE245A">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Results</w:t>
      </w:r>
    </w:p>
    <w:p w14:paraId="71EC5024"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Compared to the supratentorial array configuration, the alternative array configurations consist of posterior displacement the 2 lateral opposing arrays and inferior displacement of the posteroanterior array, resulting in an average increase of 46.6% electric field coverage of the GTV as measured by the area under the curve of the electric field-volume histogram (E</w:t>
      </w:r>
      <w:r>
        <w:rPr>
          <w:rFonts w:ascii="Cambria" w:hAnsi="Cambria"/>
          <w:color w:val="212121"/>
          <w:sz w:val="23"/>
          <w:szCs w:val="23"/>
          <w:vertAlign w:val="subscript"/>
        </w:rPr>
        <w:t>AUC</w:t>
      </w:r>
      <w:r>
        <w:rPr>
          <w:rFonts w:ascii="Cambria" w:hAnsi="Cambria"/>
          <w:color w:val="212121"/>
          <w:sz w:val="30"/>
          <w:szCs w:val="30"/>
        </w:rPr>
        <w:t>). Hotspots, or regions of interest with the highest 5% of TTFields intensity (E</w:t>
      </w:r>
      <w:r>
        <w:rPr>
          <w:rFonts w:ascii="Cambria" w:hAnsi="Cambria"/>
          <w:color w:val="212121"/>
          <w:sz w:val="23"/>
          <w:szCs w:val="23"/>
          <w:vertAlign w:val="subscript"/>
        </w:rPr>
        <w:t>5%</w:t>
      </w:r>
      <w:r>
        <w:rPr>
          <w:rFonts w:ascii="Cambria" w:hAnsi="Cambria"/>
          <w:color w:val="212121"/>
          <w:sz w:val="30"/>
          <w:szCs w:val="30"/>
        </w:rPr>
        <w:t>), had an average increase of 95.6%. Of the 6 posterior fossa configurations modeled, the PA</w:t>
      </w:r>
      <w:r>
        <w:rPr>
          <w:rFonts w:ascii="Cambria" w:hAnsi="Cambria"/>
          <w:color w:val="212121"/>
          <w:sz w:val="23"/>
          <w:szCs w:val="23"/>
          <w:vertAlign w:val="subscript"/>
        </w:rPr>
        <w:t>Horizontal</w:t>
      </w:r>
      <w:r>
        <w:rPr>
          <w:rFonts w:ascii="Cambria" w:hAnsi="Cambria"/>
          <w:color w:val="212121"/>
          <w:sz w:val="30"/>
          <w:szCs w:val="30"/>
        </w:rPr>
        <w:t xml:space="preserve"> arrangement provided the greatest field coverage at the GTV when the posteroanterior array was placed centrally along the patient’s posterior neck and horizontally parallel, along the </w:t>
      </w:r>
      <w:r>
        <w:rPr>
          <w:rFonts w:ascii="Cambria" w:hAnsi="Cambria"/>
          <w:color w:val="212121"/>
          <w:sz w:val="30"/>
          <w:szCs w:val="30"/>
        </w:rPr>
        <w:lastRenderedPageBreak/>
        <w:t>longer axis, to the coronal plane of the patient’s head. Varying the arrays also produced hotspots proportional to TTFields coverage.</w:t>
      </w:r>
    </w:p>
    <w:p w14:paraId="11CB77C2" w14:textId="77777777" w:rsidR="00EE245A" w:rsidRDefault="00EE245A" w:rsidP="00EE245A">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Conclusions</w:t>
      </w:r>
    </w:p>
    <w:p w14:paraId="45BDF88F"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Our finite element modeling showed that the alternative array configurations offer an improved TTFields coverage to the cerebellar tumor compared to the conventional supratentorial configuration.</w:t>
      </w:r>
    </w:p>
    <w:p w14:paraId="23F570CD" w14:textId="77777777" w:rsidR="00EE245A" w:rsidRDefault="00EE245A" w:rsidP="00EE245A">
      <w:pPr>
        <w:shd w:val="clear" w:color="auto" w:fill="FFFFFF"/>
        <w:rPr>
          <w:rFonts w:ascii="Cambria" w:hAnsi="Cambria"/>
          <w:color w:val="212121"/>
          <w:sz w:val="30"/>
          <w:szCs w:val="30"/>
        </w:rPr>
      </w:pPr>
      <w:r>
        <w:rPr>
          <w:rStyle w:val="Strong"/>
          <w:rFonts w:ascii="Cambria" w:hAnsi="Cambria"/>
          <w:color w:val="603620"/>
          <w:sz w:val="30"/>
          <w:szCs w:val="30"/>
        </w:rPr>
        <w:t>Keywords: </w:t>
      </w:r>
      <w:r>
        <w:rPr>
          <w:rStyle w:val="kwd-text"/>
          <w:rFonts w:ascii="Cambria" w:hAnsi="Cambria"/>
          <w:color w:val="212121"/>
          <w:sz w:val="30"/>
          <w:szCs w:val="30"/>
        </w:rPr>
        <w:t>Glioblastoma, Posterior fossa, Tumor treating fields, Modeling, Finite element analysis</w:t>
      </w:r>
    </w:p>
    <w:p w14:paraId="29A7A949" w14:textId="77777777" w:rsidR="00EE245A" w:rsidRDefault="00EE245A"/>
    <w:p w14:paraId="4038E64F" w14:textId="77777777" w:rsidR="00EE245A" w:rsidRDefault="00EE245A" w:rsidP="00EE245A">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ntroduction</w:t>
      </w:r>
    </w:p>
    <w:p w14:paraId="61E84488"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Tumor Treating Fields (TTFields) therapy is an accepted treatment modality for supratentorial glioblastoma because of its ability to prolong the survival of patients. TTFields are delivered to the scalp via 2 pairs of orthogonally positioned transducer arrays and, at a frequency of 200 kHz, these alternating electric fields can penetrate the scalp and calvarium into the intracranial space [</w:t>
      </w:r>
      <w:hyperlink r:id="rId7" w:anchor="CR1" w:history="1">
        <w:r>
          <w:rPr>
            <w:rStyle w:val="Hyperlink"/>
            <w:rFonts w:ascii="Cambria" w:hAnsi="Cambria"/>
            <w:color w:val="376FAA"/>
            <w:sz w:val="30"/>
            <w:szCs w:val="30"/>
          </w:rPr>
          <w:t>1</w:t>
        </w:r>
      </w:hyperlink>
      <w:r>
        <w:rPr>
          <w:rFonts w:ascii="Cambria" w:hAnsi="Cambria"/>
          <w:color w:val="212121"/>
          <w:sz w:val="30"/>
          <w:szCs w:val="30"/>
        </w:rPr>
        <w:t>], producing an antitumor effect by disrupting tumor cell cytokinesis during mitosis and enabling immunogenic cell death [</w:t>
      </w:r>
      <w:hyperlink r:id="rId8" w:anchor="CR2" w:history="1">
        <w:r>
          <w:rPr>
            <w:rStyle w:val="Hyperlink"/>
            <w:rFonts w:ascii="Cambria" w:hAnsi="Cambria"/>
            <w:color w:val="376FAA"/>
            <w:sz w:val="30"/>
            <w:szCs w:val="30"/>
          </w:rPr>
          <w:t>2</w:t>
        </w:r>
      </w:hyperlink>
      <w:r>
        <w:rPr>
          <w:rFonts w:ascii="Cambria" w:hAnsi="Cambria"/>
          <w:color w:val="212121"/>
          <w:sz w:val="30"/>
          <w:szCs w:val="30"/>
        </w:rPr>
        <w:t>] When applied to newly diagnosed glioblastoma patients in a randomized clinical trial, those who received TTFields and adjuvant temozolomide had an improved overall survival of 20.9 months compared to the 16.0 months in the control cohort treated with adjuvant temozolomide alone [</w:t>
      </w:r>
      <w:hyperlink r:id="rId9" w:anchor="CR3" w:history="1">
        <w:r>
          <w:rPr>
            <w:rStyle w:val="Hyperlink"/>
            <w:rFonts w:ascii="Cambria" w:hAnsi="Cambria"/>
            <w:color w:val="376FAA"/>
            <w:sz w:val="30"/>
            <w:szCs w:val="30"/>
          </w:rPr>
          <w:t>3</w:t>
        </w:r>
      </w:hyperlink>
      <w:r>
        <w:rPr>
          <w:rFonts w:ascii="Cambria" w:hAnsi="Cambria"/>
          <w:color w:val="212121"/>
          <w:sz w:val="30"/>
          <w:szCs w:val="30"/>
        </w:rPr>
        <w:t>]. The median progression-free survival was also prolonged to 6.7 months from 4.0 months [</w:t>
      </w:r>
      <w:hyperlink r:id="rId10" w:anchor="CR3" w:history="1">
        <w:r>
          <w:rPr>
            <w:rStyle w:val="Hyperlink"/>
            <w:rFonts w:ascii="Cambria" w:hAnsi="Cambria"/>
            <w:color w:val="376FAA"/>
            <w:sz w:val="30"/>
            <w:szCs w:val="30"/>
          </w:rPr>
          <w:t>3</w:t>
        </w:r>
      </w:hyperlink>
      <w:r>
        <w:rPr>
          <w:rFonts w:ascii="Cambria" w:hAnsi="Cambria"/>
          <w:color w:val="212121"/>
          <w:sz w:val="30"/>
          <w:szCs w:val="30"/>
        </w:rPr>
        <w:t>]. The only unique adverse event related to TTFields is the mild to moderate scalp irritation at the sites of array application [</w:t>
      </w:r>
      <w:hyperlink r:id="rId11" w:anchor="CR4" w:history="1">
        <w:r>
          <w:rPr>
            <w:rStyle w:val="Hyperlink"/>
            <w:rFonts w:ascii="Cambria" w:hAnsi="Cambria"/>
            <w:color w:val="376FAA"/>
            <w:sz w:val="30"/>
            <w:szCs w:val="30"/>
          </w:rPr>
          <w:t>4</w:t>
        </w:r>
      </w:hyperlink>
      <w:r>
        <w:rPr>
          <w:rFonts w:ascii="Cambria" w:hAnsi="Cambria"/>
          <w:color w:val="212121"/>
          <w:sz w:val="30"/>
          <w:szCs w:val="30"/>
        </w:rPr>
        <w:t>]. Collectively, these data indicate that TTFields offer substantial clinical benefit to glioblastoma patients with acceptable toxicity.</w:t>
      </w:r>
    </w:p>
    <w:p w14:paraId="2699FB76"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standard array placement configuration is designed for the delivery of TTFields to tumors located in the supratentorial brain [</w:t>
      </w:r>
      <w:hyperlink r:id="rId12" w:anchor="CR5" w:history="1">
        <w:r>
          <w:rPr>
            <w:rStyle w:val="Hyperlink"/>
            <w:rFonts w:ascii="Cambria" w:hAnsi="Cambria"/>
            <w:color w:val="376FAA"/>
            <w:sz w:val="30"/>
            <w:szCs w:val="30"/>
          </w:rPr>
          <w:t>5</w:t>
        </w:r>
      </w:hyperlink>
      <w:r>
        <w:rPr>
          <w:rFonts w:ascii="Cambria" w:hAnsi="Cambria"/>
          <w:color w:val="212121"/>
          <w:sz w:val="30"/>
          <w:szCs w:val="30"/>
        </w:rPr>
        <w:t>, </w:t>
      </w:r>
      <w:hyperlink r:id="rId13" w:anchor="CR6" w:history="1">
        <w:r>
          <w:rPr>
            <w:rStyle w:val="Hyperlink"/>
            <w:rFonts w:ascii="Cambria" w:hAnsi="Cambria"/>
            <w:color w:val="376FAA"/>
            <w:sz w:val="30"/>
            <w:szCs w:val="30"/>
          </w:rPr>
          <w:t>6</w:t>
        </w:r>
      </w:hyperlink>
      <w:r>
        <w:rPr>
          <w:rFonts w:ascii="Cambria" w:hAnsi="Cambria"/>
          <w:color w:val="212121"/>
          <w:sz w:val="30"/>
          <w:szCs w:val="30"/>
        </w:rPr>
        <w:t>]. But there is substantial variability among patients with respect to the intracranial distribution of TTFields and, depending on the array layouts, the electric field coverage at the gross tumor volume (GTV) can vary up to 23% according to a computer simulation study [</w:t>
      </w:r>
      <w:hyperlink r:id="rId14" w:anchor="CR7" w:history="1">
        <w:r>
          <w:rPr>
            <w:rStyle w:val="Hyperlink"/>
            <w:rFonts w:ascii="Cambria" w:hAnsi="Cambria"/>
            <w:color w:val="376FAA"/>
            <w:sz w:val="30"/>
            <w:szCs w:val="30"/>
          </w:rPr>
          <w:t>7</w:t>
        </w:r>
      </w:hyperlink>
      <w:r>
        <w:rPr>
          <w:rFonts w:ascii="Cambria" w:hAnsi="Cambria"/>
          <w:color w:val="212121"/>
          <w:sz w:val="30"/>
          <w:szCs w:val="30"/>
        </w:rPr>
        <w:t>]. For tumors in the posterior fossa, the standard array configuration appears to provide minimal electric field coverage [</w:t>
      </w:r>
      <w:hyperlink r:id="rId15" w:anchor="CR8" w:history="1">
        <w:r>
          <w:rPr>
            <w:rStyle w:val="Hyperlink"/>
            <w:rFonts w:ascii="Cambria" w:hAnsi="Cambria"/>
            <w:color w:val="376FAA"/>
            <w:sz w:val="30"/>
            <w:szCs w:val="30"/>
          </w:rPr>
          <w:t>8</w:t>
        </w:r>
      </w:hyperlink>
      <w:r>
        <w:rPr>
          <w:rFonts w:ascii="Cambria" w:hAnsi="Cambria"/>
          <w:color w:val="212121"/>
          <w:sz w:val="30"/>
          <w:szCs w:val="30"/>
        </w:rPr>
        <w:t xml:space="preserve">] and there is no accepted array placement for this location. Therefore, we performed a finite element computer simulation study of a </w:t>
      </w:r>
      <w:r>
        <w:rPr>
          <w:rFonts w:ascii="Cambria" w:hAnsi="Cambria"/>
          <w:color w:val="212121"/>
          <w:sz w:val="30"/>
          <w:szCs w:val="30"/>
        </w:rPr>
        <w:lastRenderedPageBreak/>
        <w:t>patient with a cerebellar glioblastoma who is also undergoing TTFields treatment using a modified array configuration. In this configuration, the posteroanterior (PA) array is shifted downward to the lower occipital and upper cervical regions, and the right and left lateral arrays are moved backward. Our simulation demonstrated that this posterior fossa configuration significantly increased the electric field coverage to the cerebellar GTV, as measured by the area under the curve (AUC) of the electric field-volume histogram (EVH). In addition, the modified array configuration produces hotspots proportional to TTFields coverage at the cerebellar GTV.</w:t>
      </w:r>
    </w:p>
    <w:p w14:paraId="7C50A07A" w14:textId="77777777" w:rsidR="00EE245A" w:rsidRDefault="00EE245A" w:rsidP="00EE245A">
      <w:pPr>
        <w:shd w:val="clear" w:color="auto" w:fill="FFFFFF"/>
        <w:jc w:val="right"/>
        <w:rPr>
          <w:rFonts w:ascii="Cambria" w:hAnsi="Cambria"/>
          <w:color w:val="212121"/>
          <w:sz w:val="30"/>
          <w:szCs w:val="30"/>
        </w:rPr>
      </w:pPr>
      <w:hyperlink r:id="rId16" w:tooltip="Go to other sections in this page" w:history="1">
        <w:r>
          <w:rPr>
            <w:rStyle w:val="Hyperlink"/>
            <w:rFonts w:ascii="Source Sans Pro" w:hAnsi="Source Sans Pro"/>
            <w:color w:val="376FAA"/>
            <w:sz w:val="28"/>
            <w:szCs w:val="28"/>
          </w:rPr>
          <w:t>Go to:</w:t>
        </w:r>
      </w:hyperlink>
    </w:p>
    <w:p w14:paraId="3C295484" w14:textId="77777777" w:rsidR="00EE245A" w:rsidRDefault="00EE245A" w:rsidP="00EE245A">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Methods</w:t>
      </w:r>
    </w:p>
    <w:p w14:paraId="189C30E2" w14:textId="77777777" w:rsidR="00EE245A" w:rsidRDefault="00EE245A" w:rsidP="00EE245A">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MP RAGE, T1 and T2 MRI sequences from a 63-year-old woman with a glioblastoma located in the posterior fossa were used to perform finite element analysis according to an IRB protocol approved by Dana Farber Cancer Institute. Semi-automated segmentation of neuro-anatomical structures was performed using methods previously described [</w:t>
      </w:r>
      <w:hyperlink r:id="rId17" w:anchor="CR9" w:history="1">
        <w:r>
          <w:rPr>
            <w:rStyle w:val="Hyperlink"/>
            <w:rFonts w:ascii="Cambria" w:hAnsi="Cambria"/>
            <w:color w:val="376FAA"/>
            <w:sz w:val="30"/>
            <w:szCs w:val="30"/>
          </w:rPr>
          <w:t>9</w:t>
        </w:r>
      </w:hyperlink>
      <w:r>
        <w:rPr>
          <w:rFonts w:ascii="Cambria" w:hAnsi="Cambria"/>
          <w:color w:val="212121"/>
          <w:sz w:val="30"/>
          <w:szCs w:val="30"/>
        </w:rPr>
        <w:t>]. Briefly, various intracranial structures from the automated segmentation were imported into Simpleware (Exeter, UK) where unspecified and unsegmented structures, such as muscles, blood vessels, parotid glands, vertebral body, mandible, tongue, epidural tissues, GTV and necrotic core(s) within the GTV were delineated.</w:t>
      </w:r>
    </w:p>
    <w:p w14:paraId="3B0C1B47" w14:textId="77777777" w:rsidR="00EE245A" w:rsidRDefault="00EE245A" w:rsidP="00EE245A">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distribution of TTFields was investigated using two major transducer array configurations: (i) the conventional supratentorial array configuration (Fig. </w:t>
      </w:r>
      <w:hyperlink r:id="rId18" w:tgtFrame="figure" w:history="1">
        <w:r>
          <w:rPr>
            <w:rStyle w:val="Hyperlink"/>
            <w:rFonts w:ascii="Cambria" w:hAnsi="Cambria"/>
            <w:color w:val="376FAA"/>
            <w:sz w:val="30"/>
            <w:szCs w:val="30"/>
          </w:rPr>
          <w:t>1</w:t>
        </w:r>
      </w:hyperlink>
      <w:r>
        <w:rPr>
          <w:rFonts w:ascii="Cambria" w:hAnsi="Cambria"/>
          <w:color w:val="212121"/>
          <w:sz w:val="30"/>
          <w:szCs w:val="30"/>
        </w:rPr>
        <w:t>a) generated by NovoTAL (a proprietary treatment planning software from Novocure, LTD.) and (ii) the alternative array configurations developed for tumors within the posterior fossa. In one of the posterior fossa array configurations, the two lateral and the PA arrays were shifted from the supratentorial array configuration and this is denoted as PA</w:t>
      </w:r>
      <w:r>
        <w:rPr>
          <w:rFonts w:ascii="Cambria" w:hAnsi="Cambria"/>
          <w:color w:val="212121"/>
          <w:sz w:val="23"/>
          <w:szCs w:val="23"/>
          <w:vertAlign w:val="subscript"/>
        </w:rPr>
        <w:t>Vertical-Center</w:t>
      </w:r>
      <w:r>
        <w:rPr>
          <w:rFonts w:ascii="Cambria" w:hAnsi="Cambria"/>
          <w:color w:val="212121"/>
          <w:sz w:val="30"/>
          <w:szCs w:val="30"/>
        </w:rPr>
        <w:t> (Fig. </w:t>
      </w:r>
      <w:hyperlink r:id="rId19" w:tgtFrame="figure" w:history="1">
        <w:r>
          <w:rPr>
            <w:rStyle w:val="Hyperlink"/>
            <w:rFonts w:ascii="Cambria" w:hAnsi="Cambria"/>
            <w:color w:val="376FAA"/>
            <w:sz w:val="30"/>
            <w:szCs w:val="30"/>
          </w:rPr>
          <w:t>1</w:t>
        </w:r>
      </w:hyperlink>
      <w:r>
        <w:rPr>
          <w:rFonts w:ascii="Cambria" w:hAnsi="Cambria"/>
          <w:color w:val="212121"/>
          <w:sz w:val="30"/>
          <w:szCs w:val="30"/>
        </w:rPr>
        <w:t>f). The PA array was then manually shifted from the PA</w:t>
      </w:r>
      <w:r>
        <w:rPr>
          <w:rFonts w:ascii="Cambria" w:hAnsi="Cambria"/>
          <w:color w:val="212121"/>
          <w:sz w:val="23"/>
          <w:szCs w:val="23"/>
          <w:vertAlign w:val="subscript"/>
        </w:rPr>
        <w:t>Vertical-Center</w:t>
      </w:r>
      <w:r>
        <w:rPr>
          <w:rFonts w:ascii="Cambria" w:hAnsi="Cambria"/>
          <w:color w:val="212121"/>
          <w:sz w:val="30"/>
          <w:szCs w:val="30"/>
        </w:rPr>
        <w:t> position to 5 different positions and they were labeled as PA</w:t>
      </w:r>
      <w:r>
        <w:rPr>
          <w:rFonts w:ascii="Cambria" w:hAnsi="Cambria"/>
          <w:color w:val="212121"/>
          <w:sz w:val="23"/>
          <w:szCs w:val="23"/>
          <w:vertAlign w:val="subscript"/>
        </w:rPr>
        <w:t>Horizontal</w:t>
      </w:r>
      <w:r>
        <w:rPr>
          <w:rFonts w:ascii="Cambria" w:hAnsi="Cambria"/>
          <w:color w:val="212121"/>
          <w:sz w:val="30"/>
          <w:szCs w:val="30"/>
        </w:rPr>
        <w:t> (Fig. </w:t>
      </w:r>
      <w:hyperlink r:id="rId20" w:tgtFrame="figure" w:history="1">
        <w:r>
          <w:rPr>
            <w:rStyle w:val="Hyperlink"/>
            <w:rFonts w:ascii="Cambria" w:hAnsi="Cambria"/>
            <w:color w:val="376FAA"/>
            <w:sz w:val="30"/>
            <w:szCs w:val="30"/>
          </w:rPr>
          <w:t>1</w:t>
        </w:r>
      </w:hyperlink>
      <w:r>
        <w:rPr>
          <w:rFonts w:ascii="Cambria" w:hAnsi="Cambria"/>
          <w:color w:val="212121"/>
          <w:sz w:val="30"/>
          <w:szCs w:val="30"/>
        </w:rPr>
        <w:t>b), PA</w:t>
      </w:r>
      <w:r>
        <w:rPr>
          <w:rFonts w:ascii="Cambria" w:hAnsi="Cambria"/>
          <w:color w:val="212121"/>
          <w:sz w:val="23"/>
          <w:szCs w:val="23"/>
          <w:vertAlign w:val="subscript"/>
        </w:rPr>
        <w:t>Horizontal-Right</w:t>
      </w:r>
      <w:r>
        <w:rPr>
          <w:rFonts w:ascii="Cambria" w:hAnsi="Cambria"/>
          <w:color w:val="212121"/>
          <w:sz w:val="30"/>
          <w:szCs w:val="30"/>
        </w:rPr>
        <w:t> (Fig. </w:t>
      </w:r>
      <w:hyperlink r:id="rId21" w:tgtFrame="figure" w:history="1">
        <w:r>
          <w:rPr>
            <w:rStyle w:val="Hyperlink"/>
            <w:rFonts w:ascii="Cambria" w:hAnsi="Cambria"/>
            <w:color w:val="376FAA"/>
            <w:sz w:val="30"/>
            <w:szCs w:val="30"/>
          </w:rPr>
          <w:t>1</w:t>
        </w:r>
      </w:hyperlink>
      <w:r>
        <w:rPr>
          <w:rFonts w:ascii="Cambria" w:hAnsi="Cambria"/>
          <w:color w:val="212121"/>
          <w:sz w:val="30"/>
          <w:szCs w:val="30"/>
        </w:rPr>
        <w:t>c), PA</w:t>
      </w:r>
      <w:r>
        <w:rPr>
          <w:rFonts w:ascii="Cambria" w:hAnsi="Cambria"/>
          <w:color w:val="212121"/>
          <w:sz w:val="23"/>
          <w:szCs w:val="23"/>
          <w:vertAlign w:val="subscript"/>
        </w:rPr>
        <w:t>Horizontal-Left</w:t>
      </w:r>
      <w:r>
        <w:rPr>
          <w:rFonts w:ascii="Cambria" w:hAnsi="Cambria"/>
          <w:color w:val="212121"/>
          <w:sz w:val="30"/>
          <w:szCs w:val="30"/>
        </w:rPr>
        <w:t> (Fig. </w:t>
      </w:r>
      <w:hyperlink r:id="rId22" w:tgtFrame="figure" w:history="1">
        <w:r>
          <w:rPr>
            <w:rStyle w:val="Hyperlink"/>
            <w:rFonts w:ascii="Cambria" w:hAnsi="Cambria"/>
            <w:color w:val="376FAA"/>
            <w:sz w:val="30"/>
            <w:szCs w:val="30"/>
          </w:rPr>
          <w:t>1</w:t>
        </w:r>
      </w:hyperlink>
      <w:r>
        <w:rPr>
          <w:rFonts w:ascii="Cambria" w:hAnsi="Cambria"/>
          <w:color w:val="212121"/>
          <w:sz w:val="30"/>
          <w:szCs w:val="30"/>
        </w:rPr>
        <w:t>d), PA</w:t>
      </w:r>
      <w:r>
        <w:rPr>
          <w:rFonts w:ascii="Cambria" w:hAnsi="Cambria"/>
          <w:color w:val="212121"/>
          <w:sz w:val="23"/>
          <w:szCs w:val="23"/>
          <w:vertAlign w:val="subscript"/>
        </w:rPr>
        <w:t>Vertical-Superior</w:t>
      </w:r>
      <w:r>
        <w:rPr>
          <w:rFonts w:ascii="Cambria" w:hAnsi="Cambria"/>
          <w:color w:val="212121"/>
          <w:sz w:val="30"/>
          <w:szCs w:val="30"/>
        </w:rPr>
        <w:t> (Fig. </w:t>
      </w:r>
      <w:hyperlink r:id="rId23" w:tgtFrame="figure" w:history="1">
        <w:r>
          <w:rPr>
            <w:rStyle w:val="Hyperlink"/>
            <w:rFonts w:ascii="Cambria" w:hAnsi="Cambria"/>
            <w:color w:val="376FAA"/>
            <w:sz w:val="30"/>
            <w:szCs w:val="30"/>
          </w:rPr>
          <w:t>1</w:t>
        </w:r>
      </w:hyperlink>
      <w:r>
        <w:rPr>
          <w:rFonts w:ascii="Cambria" w:hAnsi="Cambria"/>
          <w:color w:val="212121"/>
          <w:sz w:val="30"/>
          <w:szCs w:val="30"/>
        </w:rPr>
        <w:t>e), and AP-PA</w:t>
      </w:r>
      <w:r>
        <w:rPr>
          <w:rFonts w:ascii="Cambria" w:hAnsi="Cambria"/>
          <w:color w:val="212121"/>
          <w:sz w:val="23"/>
          <w:szCs w:val="23"/>
          <w:vertAlign w:val="subscript"/>
        </w:rPr>
        <w:t>Horizontal</w:t>
      </w:r>
      <w:r>
        <w:rPr>
          <w:rFonts w:ascii="Cambria" w:hAnsi="Cambria"/>
          <w:color w:val="212121"/>
          <w:sz w:val="30"/>
          <w:szCs w:val="30"/>
        </w:rPr>
        <w:t> (Fig. </w:t>
      </w:r>
      <w:hyperlink r:id="rId24" w:tgtFrame="figure" w:history="1">
        <w:r>
          <w:rPr>
            <w:rStyle w:val="Hyperlink"/>
            <w:rFonts w:ascii="Cambria" w:hAnsi="Cambria"/>
            <w:color w:val="376FAA"/>
            <w:sz w:val="30"/>
            <w:szCs w:val="30"/>
          </w:rPr>
          <w:t>1</w:t>
        </w:r>
      </w:hyperlink>
      <w:r>
        <w:rPr>
          <w:rFonts w:ascii="Cambria" w:hAnsi="Cambria"/>
          <w:color w:val="212121"/>
          <w:sz w:val="30"/>
          <w:szCs w:val="30"/>
        </w:rPr>
        <w:t>g). A three-dimensional finite-element mesh was then generated after the segmentation was completed and reviewed by a neuro-oncologist for accuracy. The mesh was then imported into COMSOL Multiphysics (Burlington, MA) for finite element analysis. MRI overlays of electric field and current density distributions were constructed corresponding to the conventional supratentorial array configuration (Fig. </w:t>
      </w:r>
      <w:hyperlink r:id="rId25"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(Fig.2a)</w:t>
        </w:r>
        <w:r>
          <w:rPr>
            <w:rStyle w:val="Hyperlink"/>
            <w:rFonts w:ascii="Cambria" w:hAnsi="Cambria"/>
            <w:color w:val="376FAA"/>
            <w:sz w:val="30"/>
            <w:szCs w:val="30"/>
          </w:rPr>
          <w:t>2</w:t>
        </w:r>
      </w:hyperlink>
      <w:r>
        <w:rPr>
          <w:rFonts w:ascii="Cambria" w:hAnsi="Cambria"/>
          <w:color w:val="212121"/>
          <w:sz w:val="30"/>
          <w:szCs w:val="30"/>
        </w:rPr>
        <w:t>a) and various alternative array configurations, including PA</w:t>
      </w:r>
      <w:r>
        <w:rPr>
          <w:rFonts w:ascii="Cambria" w:hAnsi="Cambria"/>
          <w:color w:val="212121"/>
          <w:sz w:val="23"/>
          <w:szCs w:val="23"/>
          <w:vertAlign w:val="subscript"/>
        </w:rPr>
        <w:t>Horizontal</w:t>
      </w:r>
      <w:r>
        <w:rPr>
          <w:rFonts w:ascii="Cambria" w:hAnsi="Cambria"/>
          <w:color w:val="212121"/>
          <w:sz w:val="30"/>
          <w:szCs w:val="30"/>
        </w:rPr>
        <w:t> (Fig. </w:t>
      </w:r>
      <w:hyperlink r:id="rId26"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(Fig.2b),</w:t>
        </w:r>
        <w:r>
          <w:rPr>
            <w:rStyle w:val="Hyperlink"/>
            <w:rFonts w:ascii="Cambria" w:hAnsi="Cambria"/>
            <w:color w:val="376FAA"/>
            <w:sz w:val="30"/>
            <w:szCs w:val="30"/>
          </w:rPr>
          <w:t>2</w:t>
        </w:r>
      </w:hyperlink>
      <w:r>
        <w:rPr>
          <w:rFonts w:ascii="Cambria" w:hAnsi="Cambria"/>
          <w:color w:val="212121"/>
          <w:sz w:val="30"/>
          <w:szCs w:val="30"/>
        </w:rPr>
        <w:t>b), PA</w:t>
      </w:r>
      <w:r>
        <w:rPr>
          <w:rFonts w:ascii="Cambria" w:hAnsi="Cambria"/>
          <w:color w:val="212121"/>
          <w:sz w:val="23"/>
          <w:szCs w:val="23"/>
          <w:vertAlign w:val="subscript"/>
        </w:rPr>
        <w:t>Horizontal-Right</w:t>
      </w:r>
      <w:r>
        <w:rPr>
          <w:rFonts w:ascii="Cambria" w:hAnsi="Cambria"/>
          <w:color w:val="212121"/>
          <w:sz w:val="30"/>
          <w:szCs w:val="30"/>
        </w:rPr>
        <w:t> (Fig. </w:t>
      </w:r>
      <w:hyperlink r:id="rId27"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lastRenderedPageBreak/>
          <w:t>(Fig.2c),</w:t>
        </w:r>
        <w:r>
          <w:rPr>
            <w:rStyle w:val="Hyperlink"/>
            <w:rFonts w:ascii="Cambria" w:hAnsi="Cambria"/>
            <w:color w:val="376FAA"/>
            <w:sz w:val="30"/>
            <w:szCs w:val="30"/>
          </w:rPr>
          <w:t>2</w:t>
        </w:r>
      </w:hyperlink>
      <w:r>
        <w:rPr>
          <w:rFonts w:ascii="Cambria" w:hAnsi="Cambria"/>
          <w:color w:val="212121"/>
          <w:sz w:val="30"/>
          <w:szCs w:val="30"/>
        </w:rPr>
        <w:t>c), PA</w:t>
      </w:r>
      <w:r>
        <w:rPr>
          <w:rFonts w:ascii="Cambria" w:hAnsi="Cambria"/>
          <w:color w:val="212121"/>
          <w:sz w:val="23"/>
          <w:szCs w:val="23"/>
          <w:vertAlign w:val="subscript"/>
        </w:rPr>
        <w:t>Horizontal-Left</w:t>
      </w:r>
      <w:r>
        <w:rPr>
          <w:rFonts w:ascii="Cambria" w:hAnsi="Cambria"/>
          <w:color w:val="212121"/>
          <w:sz w:val="30"/>
          <w:szCs w:val="30"/>
        </w:rPr>
        <w:t> (Fig. </w:t>
      </w:r>
      <w:hyperlink r:id="rId28"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(Fig.2d),</w:t>
        </w:r>
        <w:r>
          <w:rPr>
            <w:rStyle w:val="Hyperlink"/>
            <w:rFonts w:ascii="Cambria" w:hAnsi="Cambria"/>
            <w:color w:val="376FAA"/>
            <w:sz w:val="30"/>
            <w:szCs w:val="30"/>
          </w:rPr>
          <w:t>2</w:t>
        </w:r>
      </w:hyperlink>
      <w:r>
        <w:rPr>
          <w:rFonts w:ascii="Cambria" w:hAnsi="Cambria"/>
          <w:color w:val="212121"/>
          <w:sz w:val="30"/>
          <w:szCs w:val="30"/>
        </w:rPr>
        <w:t>d), PA</w:t>
      </w:r>
      <w:r>
        <w:rPr>
          <w:rFonts w:ascii="Cambria" w:hAnsi="Cambria"/>
          <w:color w:val="212121"/>
          <w:sz w:val="23"/>
          <w:szCs w:val="23"/>
          <w:vertAlign w:val="subscript"/>
        </w:rPr>
        <w:t>Vertical-Superior</w:t>
      </w:r>
      <w:r>
        <w:rPr>
          <w:rFonts w:ascii="Cambria" w:hAnsi="Cambria"/>
          <w:color w:val="212121"/>
          <w:sz w:val="30"/>
          <w:szCs w:val="30"/>
        </w:rPr>
        <w:t> (Fig. </w:t>
      </w:r>
      <w:hyperlink r:id="rId29"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(Fig.2e),</w:t>
        </w:r>
        <w:r>
          <w:rPr>
            <w:rStyle w:val="Hyperlink"/>
            <w:rFonts w:ascii="Cambria" w:hAnsi="Cambria"/>
            <w:color w:val="376FAA"/>
            <w:sz w:val="30"/>
            <w:szCs w:val="30"/>
          </w:rPr>
          <w:t>2</w:t>
        </w:r>
      </w:hyperlink>
      <w:r>
        <w:rPr>
          <w:rFonts w:ascii="Cambria" w:hAnsi="Cambria"/>
          <w:color w:val="212121"/>
          <w:sz w:val="30"/>
          <w:szCs w:val="30"/>
        </w:rPr>
        <w:t>e), PA</w:t>
      </w:r>
      <w:r>
        <w:rPr>
          <w:rFonts w:ascii="Cambria" w:hAnsi="Cambria"/>
          <w:color w:val="212121"/>
          <w:sz w:val="23"/>
          <w:szCs w:val="23"/>
          <w:vertAlign w:val="subscript"/>
        </w:rPr>
        <w:t>Vertical-Center</w:t>
      </w:r>
      <w:r>
        <w:rPr>
          <w:rFonts w:ascii="Cambria" w:hAnsi="Cambria"/>
          <w:color w:val="212121"/>
          <w:sz w:val="30"/>
          <w:szCs w:val="30"/>
        </w:rPr>
        <w:t> (Fig. </w:t>
      </w:r>
      <w:hyperlink r:id="rId30"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(Fig.2f)</w:t>
        </w:r>
        <w:r>
          <w:rPr>
            <w:rStyle w:val="Hyperlink"/>
            <w:rFonts w:ascii="Cambria" w:hAnsi="Cambria"/>
            <w:color w:val="376FAA"/>
            <w:sz w:val="30"/>
            <w:szCs w:val="30"/>
          </w:rPr>
          <w:t>2</w:t>
        </w:r>
      </w:hyperlink>
      <w:r>
        <w:rPr>
          <w:rFonts w:ascii="Cambria" w:hAnsi="Cambria"/>
          <w:color w:val="212121"/>
          <w:sz w:val="30"/>
          <w:szCs w:val="30"/>
        </w:rPr>
        <w:t>f) and AP-PA</w:t>
      </w:r>
      <w:r>
        <w:rPr>
          <w:rFonts w:ascii="Cambria" w:hAnsi="Cambria"/>
          <w:color w:val="212121"/>
          <w:sz w:val="23"/>
          <w:szCs w:val="23"/>
          <w:vertAlign w:val="subscript"/>
        </w:rPr>
        <w:t>Horizontal</w:t>
      </w:r>
      <w:r>
        <w:rPr>
          <w:rFonts w:ascii="Cambria" w:hAnsi="Cambria"/>
          <w:color w:val="212121"/>
          <w:sz w:val="30"/>
          <w:szCs w:val="30"/>
        </w:rPr>
        <w:t> (Fig. </w:t>
      </w:r>
      <w:hyperlink r:id="rId31" w:tgtFrame="figur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(Fig.2</w:t>
        </w:r>
        <w:r>
          <w:rPr>
            <w:rStyle w:val="Hyperlink"/>
            <w:rFonts w:ascii="Cambria" w:hAnsi="Cambria"/>
            <w:color w:val="376FAA"/>
            <w:sz w:val="30"/>
            <w:szCs w:val="30"/>
          </w:rPr>
          <w:t>2</w:t>
        </w:r>
      </w:hyperlink>
      <w:r>
        <w:rPr>
          <w:rFonts w:ascii="Cambria" w:hAnsi="Cambria"/>
          <w:color w:val="212121"/>
          <w:sz w:val="30"/>
          <w:szCs w:val="30"/>
        </w:rPr>
        <w:t>g). </w:t>
      </w:r>
    </w:p>
    <w:p w14:paraId="6B5AC9A7" w14:textId="49D20E20" w:rsidR="00EE245A" w:rsidRDefault="00684ED7">
      <w:r>
        <w:rPr>
          <w:noProof/>
        </w:rPr>
        <w:lastRenderedPageBreak/>
        <w:drawing>
          <wp:inline distT="0" distB="0" distL="0" distR="0" wp14:anchorId="1EA0677F" wp14:editId="34D0D041">
            <wp:extent cx="6520180" cy="9144000"/>
            <wp:effectExtent l="0" t="0" r="0" b="0"/>
            <wp:docPr id="1242949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0180" cy="9144000"/>
                    </a:xfrm>
                    <a:prstGeom prst="rect">
                      <a:avLst/>
                    </a:prstGeom>
                    <a:noFill/>
                    <a:ln>
                      <a:noFill/>
                    </a:ln>
                  </pic:spPr>
                </pic:pic>
              </a:graphicData>
            </a:graphic>
          </wp:inline>
        </w:drawing>
      </w:r>
    </w:p>
    <w:p w14:paraId="366F13A2" w14:textId="77777777" w:rsidR="00E937B6" w:rsidRPr="00E937B6" w:rsidRDefault="00E937B6" w:rsidP="00E937B6">
      <w:pPr>
        <w:shd w:val="clear" w:color="auto" w:fill="FFFCF0"/>
        <w:spacing w:after="0" w:line="240" w:lineRule="auto"/>
        <w:rPr>
          <w:rFonts w:ascii="Cambria" w:eastAsia="Times New Roman" w:hAnsi="Cambria" w:cs="Times New Roman"/>
          <w:color w:val="333333"/>
          <w:kern w:val="0"/>
          <w:sz w:val="24"/>
          <w:szCs w:val="24"/>
          <w14:ligatures w14:val="none"/>
        </w:rPr>
      </w:pPr>
      <w:hyperlink r:id="rId33" w:tgtFrame="figure" w:history="1">
        <w:r w:rsidRPr="00E937B6">
          <w:rPr>
            <w:rFonts w:ascii="Cambria" w:eastAsia="Times New Roman" w:hAnsi="Cambria" w:cs="Times New Roman"/>
            <w:color w:val="376FAA"/>
            <w:kern w:val="0"/>
            <w:sz w:val="24"/>
            <w:szCs w:val="24"/>
            <w:u w:val="single"/>
            <w14:ligatures w14:val="none"/>
          </w:rPr>
          <w:t>Fig. 1</w:t>
        </w:r>
      </w:hyperlink>
    </w:p>
    <w:p w14:paraId="5E50FEB3" w14:textId="77777777" w:rsidR="00E937B6" w:rsidRPr="00E937B6" w:rsidRDefault="00E937B6" w:rsidP="00E937B6">
      <w:pPr>
        <w:shd w:val="clear" w:color="auto" w:fill="FFFCF0"/>
        <w:spacing w:after="0" w:line="240" w:lineRule="auto"/>
        <w:rPr>
          <w:rFonts w:ascii="Cambria" w:eastAsia="Times New Roman" w:hAnsi="Cambria" w:cs="Times New Roman"/>
          <w:color w:val="333333"/>
          <w:kern w:val="0"/>
          <w:sz w:val="24"/>
          <w:szCs w:val="24"/>
          <w14:ligatures w14:val="none"/>
        </w:rPr>
      </w:pPr>
      <w:r w:rsidRPr="00E937B6">
        <w:rPr>
          <w:rFonts w:ascii="Cambria" w:eastAsia="Times New Roman" w:hAnsi="Cambria" w:cs="Times New Roman"/>
          <w:color w:val="333333"/>
          <w:kern w:val="0"/>
          <w:sz w:val="24"/>
          <w:szCs w:val="24"/>
          <w14:ligatures w14:val="none"/>
        </w:rPr>
        <w:t>Various array configuration layouts. The supratentorial configuration was determined by the NovoTAL™ software that generated the array layout (</w:t>
      </w:r>
      <w:r w:rsidRPr="00E937B6">
        <w:rPr>
          <w:rFonts w:ascii="Cambria" w:eastAsia="Times New Roman" w:hAnsi="Cambria" w:cs="Times New Roman"/>
          <w:b/>
          <w:bCs/>
          <w:color w:val="333333"/>
          <w:kern w:val="0"/>
          <w:sz w:val="24"/>
          <w:szCs w:val="24"/>
          <w14:ligatures w14:val="none"/>
        </w:rPr>
        <w:t>a</w:t>
      </w:r>
      <w:r w:rsidRPr="00E937B6">
        <w:rPr>
          <w:rFonts w:ascii="Cambria" w:eastAsia="Times New Roman" w:hAnsi="Cambria" w:cs="Times New Roman"/>
          <w:color w:val="333333"/>
          <w:kern w:val="0"/>
          <w:sz w:val="24"/>
          <w:szCs w:val="24"/>
          <w14:ligatures w14:val="none"/>
        </w:rPr>
        <w:t>). Variations of the alternative array configurations by rotating the PA array 90° where the array is parallel to the coronal plane with the longer axis running from left to right and shifting it laterally to the left and right (</w:t>
      </w:r>
      <w:r w:rsidRPr="00E937B6">
        <w:rPr>
          <w:rFonts w:ascii="Cambria" w:eastAsia="Times New Roman" w:hAnsi="Cambria" w:cs="Times New Roman"/>
          <w:b/>
          <w:bCs/>
          <w:color w:val="333333"/>
          <w:kern w:val="0"/>
          <w:sz w:val="24"/>
          <w:szCs w:val="24"/>
          <w14:ligatures w14:val="none"/>
        </w:rPr>
        <w:t>b</w:t>
      </w:r>
      <w:r w:rsidRPr="00E937B6">
        <w:rPr>
          <w:rFonts w:ascii="Cambria" w:eastAsia="Times New Roman" w:hAnsi="Cambria" w:cs="Times New Roman"/>
          <w:color w:val="333333"/>
          <w:kern w:val="0"/>
          <w:sz w:val="24"/>
          <w:szCs w:val="24"/>
          <w14:ligatures w14:val="none"/>
        </w:rPr>
        <w:t>–</w:t>
      </w:r>
      <w:r w:rsidRPr="00E937B6">
        <w:rPr>
          <w:rFonts w:ascii="Cambria" w:eastAsia="Times New Roman" w:hAnsi="Cambria" w:cs="Times New Roman"/>
          <w:b/>
          <w:bCs/>
          <w:color w:val="333333"/>
          <w:kern w:val="0"/>
          <w:sz w:val="24"/>
          <w:szCs w:val="24"/>
          <w14:ligatures w14:val="none"/>
        </w:rPr>
        <w:t>d</w:t>
      </w:r>
      <w:r w:rsidRPr="00E937B6">
        <w:rPr>
          <w:rFonts w:ascii="Cambria" w:eastAsia="Times New Roman" w:hAnsi="Cambria" w:cs="Times New Roman"/>
          <w:color w:val="333333"/>
          <w:kern w:val="0"/>
          <w:sz w:val="24"/>
          <w:szCs w:val="24"/>
          <w14:ligatures w14:val="none"/>
        </w:rPr>
        <w:t>). Additionally, 2 other alternative array configurations were applied by where the PA array’s longer axis runs superior to inferior but parallel to the coronal plane and shifted superiorly (</w:t>
      </w:r>
      <w:r w:rsidRPr="00E937B6">
        <w:rPr>
          <w:rFonts w:ascii="Cambria" w:eastAsia="Times New Roman" w:hAnsi="Cambria" w:cs="Times New Roman"/>
          <w:b/>
          <w:bCs/>
          <w:color w:val="333333"/>
          <w:kern w:val="0"/>
          <w:sz w:val="24"/>
          <w:szCs w:val="24"/>
          <w14:ligatures w14:val="none"/>
        </w:rPr>
        <w:t>e</w:t>
      </w:r>
      <w:r w:rsidRPr="00E937B6">
        <w:rPr>
          <w:rFonts w:ascii="Cambria" w:eastAsia="Times New Roman" w:hAnsi="Cambria" w:cs="Times New Roman"/>
          <w:color w:val="333333"/>
          <w:kern w:val="0"/>
          <w:sz w:val="24"/>
          <w:szCs w:val="24"/>
          <w14:ligatures w14:val="none"/>
        </w:rPr>
        <w:t>, </w:t>
      </w:r>
      <w:r w:rsidRPr="00E937B6">
        <w:rPr>
          <w:rFonts w:ascii="Cambria" w:eastAsia="Times New Roman" w:hAnsi="Cambria" w:cs="Times New Roman"/>
          <w:b/>
          <w:bCs/>
          <w:color w:val="333333"/>
          <w:kern w:val="0"/>
          <w:sz w:val="24"/>
          <w:szCs w:val="24"/>
          <w14:ligatures w14:val="none"/>
        </w:rPr>
        <w:t>f</w:t>
      </w:r>
      <w:r w:rsidRPr="00E937B6">
        <w:rPr>
          <w:rFonts w:ascii="Cambria" w:eastAsia="Times New Roman" w:hAnsi="Cambria" w:cs="Times New Roman"/>
          <w:color w:val="333333"/>
          <w:kern w:val="0"/>
          <w:sz w:val="24"/>
          <w:szCs w:val="24"/>
          <w14:ligatures w14:val="none"/>
        </w:rPr>
        <w:t>). </w:t>
      </w:r>
      <w:r w:rsidRPr="00E937B6">
        <w:rPr>
          <w:rFonts w:ascii="Cambria" w:eastAsia="Times New Roman" w:hAnsi="Cambria" w:cs="Times New Roman"/>
          <w:b/>
          <w:bCs/>
          <w:color w:val="333333"/>
          <w:kern w:val="0"/>
          <w:sz w:val="24"/>
          <w:szCs w:val="24"/>
          <w14:ligatures w14:val="none"/>
        </w:rPr>
        <w:t>g</w:t>
      </w:r>
      <w:r w:rsidRPr="00E937B6">
        <w:rPr>
          <w:rFonts w:ascii="Cambria" w:eastAsia="Times New Roman" w:hAnsi="Cambria" w:cs="Times New Roman"/>
          <w:color w:val="333333"/>
          <w:kern w:val="0"/>
          <w:sz w:val="24"/>
          <w:szCs w:val="24"/>
          <w14:ligatures w14:val="none"/>
        </w:rPr>
        <w:t> shows the same configuration as (</w:t>
      </w:r>
      <w:r w:rsidRPr="00E937B6">
        <w:rPr>
          <w:rFonts w:ascii="Cambria" w:eastAsia="Times New Roman" w:hAnsi="Cambria" w:cs="Times New Roman"/>
          <w:b/>
          <w:bCs/>
          <w:color w:val="333333"/>
          <w:kern w:val="0"/>
          <w:sz w:val="24"/>
          <w:szCs w:val="24"/>
          <w14:ligatures w14:val="none"/>
        </w:rPr>
        <w:t>b</w:t>
      </w:r>
      <w:r w:rsidRPr="00E937B6">
        <w:rPr>
          <w:rFonts w:ascii="Cambria" w:eastAsia="Times New Roman" w:hAnsi="Cambria" w:cs="Times New Roman"/>
          <w:color w:val="333333"/>
          <w:kern w:val="0"/>
          <w:sz w:val="24"/>
          <w:szCs w:val="24"/>
          <w14:ligatures w14:val="none"/>
        </w:rPr>
        <w:t>) except the AP array is rotated by 90°</w:t>
      </w:r>
    </w:p>
    <w:p w14:paraId="75A7E5E9" w14:textId="047896BD" w:rsidR="00E937B6" w:rsidRDefault="001C4D7D">
      <w:r>
        <w:rPr>
          <w:noProof/>
        </w:rPr>
        <w:lastRenderedPageBreak/>
        <w:drawing>
          <wp:inline distT="0" distB="0" distL="0" distR="0" wp14:anchorId="317F0CE7" wp14:editId="2CD117D4">
            <wp:extent cx="7012800" cy="8577424"/>
            <wp:effectExtent l="0" t="0" r="0" b="0"/>
            <wp:docPr id="1901711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3071" cy="8602218"/>
                    </a:xfrm>
                    <a:prstGeom prst="rect">
                      <a:avLst/>
                    </a:prstGeom>
                    <a:noFill/>
                    <a:ln>
                      <a:noFill/>
                    </a:ln>
                  </pic:spPr>
                </pic:pic>
              </a:graphicData>
            </a:graphic>
          </wp:inline>
        </w:drawing>
      </w:r>
    </w:p>
    <w:p w14:paraId="4FE001C5" w14:textId="77777777" w:rsidR="00011FB9" w:rsidRPr="00011FB9" w:rsidRDefault="00011FB9" w:rsidP="00011FB9">
      <w:pPr>
        <w:shd w:val="clear" w:color="auto" w:fill="FFFCF0"/>
        <w:spacing w:after="0" w:line="240" w:lineRule="auto"/>
        <w:rPr>
          <w:rFonts w:ascii="Cambria" w:eastAsia="Times New Roman" w:hAnsi="Cambria" w:cs="Times New Roman"/>
          <w:color w:val="333333"/>
          <w:kern w:val="0"/>
          <w:sz w:val="24"/>
          <w:szCs w:val="24"/>
          <w14:ligatures w14:val="none"/>
        </w:rPr>
      </w:pPr>
      <w:hyperlink r:id="rId35" w:tgtFrame="figure" w:history="1">
        <w:r w:rsidRPr="00011FB9">
          <w:rPr>
            <w:rFonts w:ascii="Cambria" w:eastAsia="Times New Roman" w:hAnsi="Cambria" w:cs="Times New Roman"/>
            <w:color w:val="376FAA"/>
            <w:kern w:val="0"/>
            <w:sz w:val="24"/>
            <w:szCs w:val="24"/>
            <w:u w:val="single"/>
            <w14:ligatures w14:val="none"/>
          </w:rPr>
          <w:t>Fig. 2</w:t>
        </w:r>
      </w:hyperlink>
    </w:p>
    <w:p w14:paraId="5FB0D08F" w14:textId="77777777" w:rsidR="00011FB9" w:rsidRPr="00011FB9" w:rsidRDefault="00011FB9" w:rsidP="00011FB9">
      <w:pPr>
        <w:shd w:val="clear" w:color="auto" w:fill="FFFCF0"/>
        <w:spacing w:after="0" w:line="240" w:lineRule="auto"/>
        <w:rPr>
          <w:rFonts w:ascii="Cambria" w:eastAsia="Times New Roman" w:hAnsi="Cambria" w:cs="Times New Roman"/>
          <w:color w:val="333333"/>
          <w:kern w:val="0"/>
          <w:sz w:val="24"/>
          <w:szCs w:val="24"/>
          <w14:ligatures w14:val="none"/>
        </w:rPr>
      </w:pPr>
      <w:r w:rsidRPr="00011FB9">
        <w:rPr>
          <w:rFonts w:ascii="Cambria" w:eastAsia="Times New Roman" w:hAnsi="Cambria" w:cs="Times New Roman"/>
          <w:color w:val="333333"/>
          <w:kern w:val="0"/>
          <w:sz w:val="24"/>
          <w:szCs w:val="24"/>
          <w14:ligatures w14:val="none"/>
        </w:rPr>
        <w:lastRenderedPageBreak/>
        <w:t>Electric field and current density distribution overlays. In each panel, upper left corner is an axial plane with electric field overlay, while the lower left corner is an axial plane with current density overlay. The upper right corner in each panel is a coronal plane with the electric field overlay, while the lower right corner is a sagittal plane with the electric field overlay. </w:t>
      </w:r>
      <w:r w:rsidRPr="00011FB9">
        <w:rPr>
          <w:rFonts w:ascii="Cambria" w:eastAsia="Times New Roman" w:hAnsi="Cambria" w:cs="Times New Roman"/>
          <w:b/>
          <w:bCs/>
          <w:color w:val="333333"/>
          <w:kern w:val="0"/>
          <w:sz w:val="24"/>
          <w:szCs w:val="24"/>
          <w14:ligatures w14:val="none"/>
        </w:rPr>
        <w:t>a</w:t>
      </w:r>
      <w:r w:rsidRPr="00011FB9">
        <w:rPr>
          <w:rFonts w:ascii="Cambria" w:eastAsia="Times New Roman" w:hAnsi="Cambria" w:cs="Times New Roman"/>
          <w:color w:val="333333"/>
          <w:kern w:val="0"/>
          <w:sz w:val="24"/>
          <w:szCs w:val="24"/>
          <w14:ligatures w14:val="none"/>
        </w:rPr>
        <w:t> Supratentorial array configuration. </w:t>
      </w:r>
      <w:r w:rsidRPr="00011FB9">
        <w:rPr>
          <w:rFonts w:ascii="Cambria" w:eastAsia="Times New Roman" w:hAnsi="Cambria" w:cs="Times New Roman"/>
          <w:b/>
          <w:bCs/>
          <w:color w:val="333333"/>
          <w:kern w:val="0"/>
          <w:sz w:val="24"/>
          <w:szCs w:val="24"/>
          <w14:ligatures w14:val="none"/>
        </w:rPr>
        <w:t>b</w:t>
      </w:r>
      <w:r w:rsidRPr="00011FB9">
        <w:rPr>
          <w:rFonts w:ascii="Cambria" w:eastAsia="Times New Roman" w:hAnsi="Cambria" w:cs="Times New Roman"/>
          <w:color w:val="333333"/>
          <w:kern w:val="0"/>
          <w:sz w:val="24"/>
          <w:szCs w:val="24"/>
          <w14:ligatures w14:val="none"/>
        </w:rPr>
        <w:t> Alternative array configuration with PA</w:t>
      </w:r>
      <w:r w:rsidRPr="00011FB9">
        <w:rPr>
          <w:rFonts w:ascii="Cambria" w:eastAsia="Times New Roman" w:hAnsi="Cambria" w:cs="Times New Roman"/>
          <w:color w:val="333333"/>
          <w:kern w:val="0"/>
          <w:sz w:val="18"/>
          <w:szCs w:val="18"/>
          <w:vertAlign w:val="subscript"/>
          <w14:ligatures w14:val="none"/>
        </w:rPr>
        <w:t>Horizontal</w:t>
      </w:r>
      <w:r w:rsidRPr="00011FB9">
        <w:rPr>
          <w:rFonts w:ascii="Cambria" w:eastAsia="Times New Roman" w:hAnsi="Cambria" w:cs="Times New Roman"/>
          <w:color w:val="333333"/>
          <w:kern w:val="0"/>
          <w:sz w:val="24"/>
          <w:szCs w:val="24"/>
          <w14:ligatures w14:val="none"/>
        </w:rPr>
        <w:t>. </w:t>
      </w:r>
      <w:r w:rsidRPr="00011FB9">
        <w:rPr>
          <w:rFonts w:ascii="Cambria" w:eastAsia="Times New Roman" w:hAnsi="Cambria" w:cs="Times New Roman"/>
          <w:b/>
          <w:bCs/>
          <w:color w:val="333333"/>
          <w:kern w:val="0"/>
          <w:sz w:val="24"/>
          <w:szCs w:val="24"/>
          <w14:ligatures w14:val="none"/>
        </w:rPr>
        <w:t>c</w:t>
      </w:r>
      <w:r w:rsidRPr="00011FB9">
        <w:rPr>
          <w:rFonts w:ascii="Cambria" w:eastAsia="Times New Roman" w:hAnsi="Cambria" w:cs="Times New Roman"/>
          <w:color w:val="333333"/>
          <w:kern w:val="0"/>
          <w:sz w:val="24"/>
          <w:szCs w:val="24"/>
          <w14:ligatures w14:val="none"/>
        </w:rPr>
        <w:t> Alternative array configuration with PA</w:t>
      </w:r>
      <w:r w:rsidRPr="00011FB9">
        <w:rPr>
          <w:rFonts w:ascii="Cambria" w:eastAsia="Times New Roman" w:hAnsi="Cambria" w:cs="Times New Roman"/>
          <w:color w:val="333333"/>
          <w:kern w:val="0"/>
          <w:sz w:val="18"/>
          <w:szCs w:val="18"/>
          <w:vertAlign w:val="subscript"/>
          <w14:ligatures w14:val="none"/>
        </w:rPr>
        <w:t>Horizontal-RT</w:t>
      </w:r>
      <w:r w:rsidRPr="00011FB9">
        <w:rPr>
          <w:rFonts w:ascii="Cambria" w:eastAsia="Times New Roman" w:hAnsi="Cambria" w:cs="Times New Roman"/>
          <w:color w:val="333333"/>
          <w:kern w:val="0"/>
          <w:sz w:val="24"/>
          <w:szCs w:val="24"/>
          <w14:ligatures w14:val="none"/>
        </w:rPr>
        <w:t>. </w:t>
      </w:r>
      <w:r w:rsidRPr="00011FB9">
        <w:rPr>
          <w:rFonts w:ascii="Cambria" w:eastAsia="Times New Roman" w:hAnsi="Cambria" w:cs="Times New Roman"/>
          <w:b/>
          <w:bCs/>
          <w:color w:val="333333"/>
          <w:kern w:val="0"/>
          <w:sz w:val="24"/>
          <w:szCs w:val="24"/>
          <w14:ligatures w14:val="none"/>
        </w:rPr>
        <w:t>d</w:t>
      </w:r>
      <w:r w:rsidRPr="00011FB9">
        <w:rPr>
          <w:rFonts w:ascii="Cambria" w:eastAsia="Times New Roman" w:hAnsi="Cambria" w:cs="Times New Roman"/>
          <w:color w:val="333333"/>
          <w:kern w:val="0"/>
          <w:sz w:val="24"/>
          <w:szCs w:val="24"/>
          <w14:ligatures w14:val="none"/>
        </w:rPr>
        <w:t> Alternative array configuration with PA</w:t>
      </w:r>
      <w:r w:rsidRPr="00011FB9">
        <w:rPr>
          <w:rFonts w:ascii="Cambria" w:eastAsia="Times New Roman" w:hAnsi="Cambria" w:cs="Times New Roman"/>
          <w:color w:val="333333"/>
          <w:kern w:val="0"/>
          <w:sz w:val="18"/>
          <w:szCs w:val="18"/>
          <w:vertAlign w:val="subscript"/>
          <w14:ligatures w14:val="none"/>
        </w:rPr>
        <w:t>Horizontal-LT</w:t>
      </w:r>
      <w:r w:rsidRPr="00011FB9">
        <w:rPr>
          <w:rFonts w:ascii="Cambria" w:eastAsia="Times New Roman" w:hAnsi="Cambria" w:cs="Times New Roman"/>
          <w:color w:val="333333"/>
          <w:kern w:val="0"/>
          <w:sz w:val="24"/>
          <w:szCs w:val="24"/>
          <w14:ligatures w14:val="none"/>
        </w:rPr>
        <w:t>. </w:t>
      </w:r>
      <w:r w:rsidRPr="00011FB9">
        <w:rPr>
          <w:rFonts w:ascii="Cambria" w:eastAsia="Times New Roman" w:hAnsi="Cambria" w:cs="Times New Roman"/>
          <w:b/>
          <w:bCs/>
          <w:color w:val="333333"/>
          <w:kern w:val="0"/>
          <w:sz w:val="24"/>
          <w:szCs w:val="24"/>
          <w14:ligatures w14:val="none"/>
        </w:rPr>
        <w:t>e</w:t>
      </w:r>
      <w:r w:rsidRPr="00011FB9">
        <w:rPr>
          <w:rFonts w:ascii="Cambria" w:eastAsia="Times New Roman" w:hAnsi="Cambria" w:cs="Times New Roman"/>
          <w:color w:val="333333"/>
          <w:kern w:val="0"/>
          <w:sz w:val="24"/>
          <w:szCs w:val="24"/>
          <w14:ligatures w14:val="none"/>
        </w:rPr>
        <w:t> Alternative array configuration with PA</w:t>
      </w:r>
      <w:r w:rsidRPr="00011FB9">
        <w:rPr>
          <w:rFonts w:ascii="Cambria" w:eastAsia="Times New Roman" w:hAnsi="Cambria" w:cs="Times New Roman"/>
          <w:color w:val="333333"/>
          <w:kern w:val="0"/>
          <w:sz w:val="18"/>
          <w:szCs w:val="18"/>
          <w:vertAlign w:val="subscript"/>
          <w14:ligatures w14:val="none"/>
        </w:rPr>
        <w:t>Vertical-Superior</w:t>
      </w:r>
      <w:r w:rsidRPr="00011FB9">
        <w:rPr>
          <w:rFonts w:ascii="Cambria" w:eastAsia="Times New Roman" w:hAnsi="Cambria" w:cs="Times New Roman"/>
          <w:color w:val="333333"/>
          <w:kern w:val="0"/>
          <w:sz w:val="24"/>
          <w:szCs w:val="24"/>
          <w14:ligatures w14:val="none"/>
        </w:rPr>
        <w:t>. </w:t>
      </w:r>
      <w:r w:rsidRPr="00011FB9">
        <w:rPr>
          <w:rFonts w:ascii="Cambria" w:eastAsia="Times New Roman" w:hAnsi="Cambria" w:cs="Times New Roman"/>
          <w:b/>
          <w:bCs/>
          <w:color w:val="333333"/>
          <w:kern w:val="0"/>
          <w:sz w:val="24"/>
          <w:szCs w:val="24"/>
          <w14:ligatures w14:val="none"/>
        </w:rPr>
        <w:t>f</w:t>
      </w:r>
      <w:r w:rsidRPr="00011FB9">
        <w:rPr>
          <w:rFonts w:ascii="Cambria" w:eastAsia="Times New Roman" w:hAnsi="Cambria" w:cs="Times New Roman"/>
          <w:color w:val="333333"/>
          <w:kern w:val="0"/>
          <w:sz w:val="24"/>
          <w:szCs w:val="24"/>
          <w14:ligatures w14:val="none"/>
        </w:rPr>
        <w:t> Alternative array configuration with PA</w:t>
      </w:r>
      <w:r w:rsidRPr="00011FB9">
        <w:rPr>
          <w:rFonts w:ascii="Cambria" w:eastAsia="Times New Roman" w:hAnsi="Cambria" w:cs="Times New Roman"/>
          <w:color w:val="333333"/>
          <w:kern w:val="0"/>
          <w:sz w:val="18"/>
          <w:szCs w:val="18"/>
          <w:vertAlign w:val="subscript"/>
          <w14:ligatures w14:val="none"/>
        </w:rPr>
        <w:t>Vertical-Center</w:t>
      </w:r>
      <w:r w:rsidRPr="00011FB9">
        <w:rPr>
          <w:rFonts w:ascii="Cambria" w:eastAsia="Times New Roman" w:hAnsi="Cambria" w:cs="Times New Roman"/>
          <w:color w:val="333333"/>
          <w:kern w:val="0"/>
          <w:sz w:val="24"/>
          <w:szCs w:val="24"/>
          <w14:ligatures w14:val="none"/>
        </w:rPr>
        <w:t>. </w:t>
      </w:r>
      <w:r w:rsidRPr="00011FB9">
        <w:rPr>
          <w:rFonts w:ascii="Cambria" w:eastAsia="Times New Roman" w:hAnsi="Cambria" w:cs="Times New Roman"/>
          <w:b/>
          <w:bCs/>
          <w:color w:val="333333"/>
          <w:kern w:val="0"/>
          <w:sz w:val="24"/>
          <w:szCs w:val="24"/>
          <w14:ligatures w14:val="none"/>
        </w:rPr>
        <w:t>g</w:t>
      </w:r>
      <w:r w:rsidRPr="00011FB9">
        <w:rPr>
          <w:rFonts w:ascii="Cambria" w:eastAsia="Times New Roman" w:hAnsi="Cambria" w:cs="Times New Roman"/>
          <w:color w:val="333333"/>
          <w:kern w:val="0"/>
          <w:sz w:val="24"/>
          <w:szCs w:val="24"/>
          <w14:ligatures w14:val="none"/>
        </w:rPr>
        <w:t> Alternative array configuration with AP-PA</w:t>
      </w:r>
      <w:r w:rsidRPr="00011FB9">
        <w:rPr>
          <w:rFonts w:ascii="Cambria" w:eastAsia="Times New Roman" w:hAnsi="Cambria" w:cs="Times New Roman"/>
          <w:color w:val="333333"/>
          <w:kern w:val="0"/>
          <w:sz w:val="18"/>
          <w:szCs w:val="18"/>
          <w:vertAlign w:val="subscript"/>
          <w14:ligatures w14:val="none"/>
        </w:rPr>
        <w:t>Horizontal</w:t>
      </w:r>
    </w:p>
    <w:p w14:paraId="739148DC" w14:textId="77777777" w:rsidR="00B432D9" w:rsidRDefault="00B432D9" w:rsidP="00B432D9">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To compare TTFields coverage and intensity between models, electric field-volume histogram (EVH) and current density volume histogram (CDVH) were first generated. Plan Quality Metrics (PQM) were then derived from these histograms for the purpose of quantitative comparisons. The overall field coverage of the GTV and the cerebellum among various array placements were also compared using the metrics of the area under the curve in the EVH (E</w:t>
      </w:r>
      <w:r>
        <w:rPr>
          <w:rFonts w:ascii="Cambria" w:hAnsi="Cambria"/>
          <w:color w:val="212121"/>
          <w:sz w:val="23"/>
          <w:szCs w:val="23"/>
          <w:vertAlign w:val="subscript"/>
        </w:rPr>
        <w:t>AUC</w:t>
      </w:r>
      <w:r>
        <w:rPr>
          <w:rFonts w:ascii="Cambria" w:hAnsi="Cambria"/>
          <w:color w:val="212121"/>
          <w:sz w:val="30"/>
          <w:szCs w:val="30"/>
        </w:rPr>
        <w:t>) and in the CDVH (CD</w:t>
      </w:r>
      <w:r>
        <w:rPr>
          <w:rFonts w:ascii="Cambria" w:hAnsi="Cambria"/>
          <w:color w:val="212121"/>
          <w:sz w:val="23"/>
          <w:szCs w:val="23"/>
          <w:vertAlign w:val="subscript"/>
        </w:rPr>
        <w:t>AUC</w:t>
      </w:r>
      <w:r>
        <w:rPr>
          <w:rFonts w:ascii="Cambria" w:hAnsi="Cambria"/>
          <w:color w:val="212121"/>
          <w:sz w:val="30"/>
          <w:szCs w:val="30"/>
        </w:rPr>
        <w:t>) for electric field and current density, respectively. The median volume for TTFields covering the GTV and cerebellum were also compared between the different array configurations and they are denoted as E</w:t>
      </w:r>
      <w:r>
        <w:rPr>
          <w:rFonts w:ascii="Cambria" w:hAnsi="Cambria"/>
          <w:color w:val="212121"/>
          <w:sz w:val="23"/>
          <w:szCs w:val="23"/>
          <w:vertAlign w:val="subscript"/>
        </w:rPr>
        <w:t>50%</w:t>
      </w:r>
      <w:r>
        <w:rPr>
          <w:rFonts w:ascii="Cambria" w:hAnsi="Cambria"/>
          <w:color w:val="212121"/>
          <w:sz w:val="30"/>
          <w:szCs w:val="30"/>
        </w:rPr>
        <w:t> and CD</w:t>
      </w:r>
      <w:r>
        <w:rPr>
          <w:rFonts w:ascii="Cambria" w:hAnsi="Cambria"/>
          <w:color w:val="212121"/>
          <w:sz w:val="23"/>
          <w:szCs w:val="23"/>
          <w:vertAlign w:val="subscript"/>
        </w:rPr>
        <w:t>50%</w:t>
      </w:r>
      <w:r>
        <w:rPr>
          <w:rFonts w:ascii="Cambria" w:hAnsi="Cambria"/>
          <w:color w:val="212121"/>
          <w:sz w:val="30"/>
          <w:szCs w:val="30"/>
        </w:rPr>
        <w:t>. In order to compare field intensities much higher than what was received by 50% in the region of interest (ROI), we defined these hotspot regions as 5% of the total volume of the ROI and denoted them as E</w:t>
      </w:r>
      <w:r>
        <w:rPr>
          <w:rFonts w:ascii="Cambria" w:hAnsi="Cambria"/>
          <w:color w:val="212121"/>
          <w:sz w:val="23"/>
          <w:szCs w:val="23"/>
          <w:vertAlign w:val="subscript"/>
        </w:rPr>
        <w:t>5%</w:t>
      </w:r>
      <w:r>
        <w:rPr>
          <w:rFonts w:ascii="Cambria" w:hAnsi="Cambria"/>
          <w:color w:val="212121"/>
          <w:sz w:val="30"/>
          <w:szCs w:val="30"/>
        </w:rPr>
        <w:t> and CD</w:t>
      </w:r>
      <w:r>
        <w:rPr>
          <w:rFonts w:ascii="Cambria" w:hAnsi="Cambria"/>
          <w:color w:val="212121"/>
          <w:sz w:val="23"/>
          <w:szCs w:val="23"/>
          <w:vertAlign w:val="subscript"/>
        </w:rPr>
        <w:t>5%</w:t>
      </w:r>
      <w:r>
        <w:rPr>
          <w:rFonts w:ascii="Cambria" w:hAnsi="Cambria"/>
          <w:color w:val="212121"/>
          <w:sz w:val="30"/>
          <w:szCs w:val="30"/>
        </w:rPr>
        <w:t>.</w:t>
      </w:r>
    </w:p>
    <w:p w14:paraId="27A50693" w14:textId="77777777" w:rsidR="00B432D9" w:rsidRDefault="00B432D9" w:rsidP="00B432D9">
      <w:pPr>
        <w:shd w:val="clear" w:color="auto" w:fill="FFFFFF"/>
        <w:jc w:val="right"/>
        <w:rPr>
          <w:rFonts w:ascii="Cambria" w:hAnsi="Cambria"/>
          <w:color w:val="212121"/>
          <w:sz w:val="30"/>
          <w:szCs w:val="30"/>
        </w:rPr>
      </w:pPr>
      <w:hyperlink r:id="rId36" w:tooltip="Go to other sections in this page" w:history="1">
        <w:r>
          <w:rPr>
            <w:rStyle w:val="Hyperlink"/>
            <w:rFonts w:ascii="Source Sans Pro" w:hAnsi="Source Sans Pro"/>
            <w:color w:val="376FAA"/>
            <w:sz w:val="28"/>
            <w:szCs w:val="28"/>
          </w:rPr>
          <w:t>Go to:</w:t>
        </w:r>
      </w:hyperlink>
    </w:p>
    <w:p w14:paraId="00FA098D" w14:textId="77777777" w:rsidR="00B432D9" w:rsidRDefault="00B432D9" w:rsidP="00B432D9">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Results</w:t>
      </w:r>
    </w:p>
    <w:p w14:paraId="134D1907" w14:textId="77777777" w:rsidR="00B432D9" w:rsidRDefault="00B432D9" w:rsidP="00B432D9">
      <w:pPr>
        <w:pStyle w:val="Heading3"/>
        <w:shd w:val="clear" w:color="auto" w:fill="FFFFFF"/>
        <w:spacing w:before="400" w:after="200" w:line="450" w:lineRule="atLeast"/>
        <w:rPr>
          <w:rFonts w:ascii="Cambria" w:hAnsi="Cambria"/>
          <w:b/>
          <w:bCs/>
          <w:color w:val="734126"/>
          <w:spacing w:val="-2"/>
          <w:sz w:val="32"/>
          <w:szCs w:val="32"/>
        </w:rPr>
      </w:pPr>
      <w:r>
        <w:rPr>
          <w:rFonts w:ascii="Cambria" w:hAnsi="Cambria"/>
          <w:b/>
          <w:bCs/>
          <w:color w:val="734126"/>
          <w:spacing w:val="-2"/>
          <w:sz w:val="32"/>
          <w:szCs w:val="32"/>
        </w:rPr>
        <w:t>Array positioning greatly affects TTFields coverage of the GTV in the posterior fossa</w:t>
      </w:r>
    </w:p>
    <w:p w14:paraId="0FC5DADE" w14:textId="77777777" w:rsidR="00B432D9" w:rsidRDefault="00B432D9" w:rsidP="00B432D9">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posterior fossa configurations consist of posterior displacement of the 2 lateral opposing arrays and the PA array, resulting in an average increase of 48.0% in E</w:t>
      </w:r>
      <w:r>
        <w:rPr>
          <w:rFonts w:ascii="Cambria" w:hAnsi="Cambria"/>
          <w:color w:val="212121"/>
          <w:sz w:val="23"/>
          <w:szCs w:val="23"/>
          <w:vertAlign w:val="subscript"/>
        </w:rPr>
        <w:t>AUC</w:t>
      </w:r>
      <w:r>
        <w:rPr>
          <w:rFonts w:ascii="Cambria" w:hAnsi="Cambria"/>
          <w:color w:val="212121"/>
          <w:sz w:val="30"/>
          <w:szCs w:val="30"/>
        </w:rPr>
        <w:t> and 41.9% in CD</w:t>
      </w:r>
      <w:r>
        <w:rPr>
          <w:rFonts w:ascii="Cambria" w:hAnsi="Cambria"/>
          <w:color w:val="212121"/>
          <w:sz w:val="23"/>
          <w:szCs w:val="23"/>
          <w:vertAlign w:val="subscript"/>
        </w:rPr>
        <w:t>AUC</w:t>
      </w:r>
      <w:r>
        <w:rPr>
          <w:rFonts w:ascii="Cambria" w:hAnsi="Cambria"/>
          <w:color w:val="212121"/>
          <w:sz w:val="30"/>
          <w:szCs w:val="30"/>
        </w:rPr>
        <w:t> at the GTV when compared to the supratentorial array configuration (Table </w:t>
      </w:r>
      <w:hyperlink r:id="rId37" w:tgtFrame="table" w:history="1">
        <w:r>
          <w:rPr>
            <w:rStyle w:val="Hyperlink"/>
            <w:rFonts w:ascii="Cambria" w:hAnsi="Cambria"/>
            <w:color w:val="376FAA"/>
            <w:sz w:val="30"/>
            <w:szCs w:val="30"/>
          </w:rPr>
          <w:t>​</w:t>
        </w:r>
        <w:r>
          <w:rPr>
            <w:rStyle w:val="figpopup-sensitive-area"/>
            <w:rFonts w:ascii="Cambria" w:eastAsiaTheme="majorEastAs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Since the GTV was located dorsally at the midline, and the patient is routinely required to shift the arrays by 2 cm laterally during array exchange in order to reduce the amount of scalp erythema, we asked whether or not lateral and superior shifts, as well as rotations of the PA array (which was closest to the GTV), would have a profound effect on TTFields coverage at the GTV.</w:t>
      </w:r>
    </w:p>
    <w:p w14:paraId="6E511AFB" w14:textId="77777777" w:rsidR="00293F6D" w:rsidRDefault="00293F6D" w:rsidP="00293F6D">
      <w:pPr>
        <w:pStyle w:val="Heading3"/>
        <w:spacing w:before="0" w:after="200" w:line="450" w:lineRule="atLeast"/>
        <w:rPr>
          <w:rFonts w:ascii="Cambria" w:hAnsi="Cambria"/>
          <w:color w:val="734126"/>
          <w:spacing w:val="-2"/>
          <w:sz w:val="32"/>
          <w:szCs w:val="32"/>
        </w:rPr>
      </w:pPr>
      <w:r>
        <w:rPr>
          <w:rFonts w:ascii="Cambria" w:hAnsi="Cambria"/>
          <w:b/>
          <w:bCs/>
          <w:color w:val="734126"/>
          <w:spacing w:val="-2"/>
          <w:sz w:val="32"/>
          <w:szCs w:val="32"/>
        </w:rPr>
        <w:lastRenderedPageBreak/>
        <w:br/>
        <w:t>Table 1</w:t>
      </w:r>
    </w:p>
    <w:p w14:paraId="38850F9D" w14:textId="77777777" w:rsidR="00293F6D" w:rsidRDefault="00293F6D" w:rsidP="00293F6D">
      <w:pPr>
        <w:pStyle w:val="NormalWeb"/>
        <w:spacing w:before="0" w:beforeAutospacing="0" w:after="0" w:afterAutospacing="0"/>
        <w:rPr>
          <w:rFonts w:ascii="Cambria" w:hAnsi="Cambria"/>
          <w:color w:val="333333"/>
        </w:rPr>
      </w:pPr>
      <w:r>
        <w:rPr>
          <w:rFonts w:ascii="Cambria" w:hAnsi="Cambria"/>
          <w:color w:val="333333"/>
        </w:rPr>
        <w:t>PQM of electric field coverage and current density for various array configurations within the GTV and the cerebellum</w:t>
      </w:r>
    </w:p>
    <w:tbl>
      <w:tblPr>
        <w:tblW w:w="0" w:type="auto"/>
        <w:tblBorders>
          <w:top w:val="single" w:sz="6" w:space="0" w:color="000000"/>
          <w:bottom w:val="single" w:sz="6" w:space="0" w:color="000000"/>
        </w:tblBorders>
        <w:shd w:val="clear" w:color="auto" w:fill="FFF2CC" w:themeFill="accent4" w:themeFillTint="33"/>
        <w:tblCellMar>
          <w:top w:w="15" w:type="dxa"/>
          <w:left w:w="15" w:type="dxa"/>
          <w:bottom w:w="15" w:type="dxa"/>
          <w:right w:w="15" w:type="dxa"/>
        </w:tblCellMar>
        <w:tblLook w:val="04A0" w:firstRow="1" w:lastRow="0" w:firstColumn="1" w:lastColumn="0" w:noHBand="0" w:noVBand="1"/>
      </w:tblPr>
      <w:tblGrid>
        <w:gridCol w:w="1220"/>
        <w:gridCol w:w="2037"/>
        <w:gridCol w:w="723"/>
        <w:gridCol w:w="583"/>
        <w:gridCol w:w="583"/>
        <w:gridCol w:w="583"/>
        <w:gridCol w:w="583"/>
        <w:gridCol w:w="583"/>
        <w:gridCol w:w="694"/>
      </w:tblGrid>
      <w:tr w:rsidR="00293F6D" w14:paraId="4E81DA09" w14:textId="77777777" w:rsidTr="00293F6D">
        <w:trPr>
          <w:tblHeader/>
        </w:trPr>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3B4BA66" w14:textId="77777777" w:rsidR="00293F6D" w:rsidRDefault="00293F6D">
            <w:pPr>
              <w:rPr>
                <w:rFonts w:ascii="Times New Roman" w:hAnsi="Times New Roman"/>
                <w:b/>
                <w:bCs/>
              </w:rPr>
            </w:pPr>
            <w:r>
              <w:rPr>
                <w:b/>
                <w:bCs/>
              </w:rPr>
              <w:t>ROI</w:t>
            </w:r>
          </w:p>
        </w:tc>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75FB605" w14:textId="77777777" w:rsidR="00293F6D" w:rsidRDefault="00293F6D">
            <w:pPr>
              <w:rPr>
                <w:b/>
                <w:bCs/>
              </w:rPr>
            </w:pPr>
            <w:r>
              <w:rPr>
                <w:b/>
                <w:bCs/>
              </w:rPr>
              <w:t>Array configuration</w:t>
            </w:r>
          </w:p>
        </w:tc>
        <w:tc>
          <w:tcPr>
            <w:tcW w:w="0" w:type="auto"/>
            <w:gridSpan w:val="7"/>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DD6A4ED" w14:textId="77777777" w:rsidR="00293F6D" w:rsidRDefault="00293F6D">
            <w:pPr>
              <w:rPr>
                <w:b/>
                <w:bCs/>
              </w:rPr>
            </w:pPr>
            <w:r>
              <w:rPr>
                <w:b/>
                <w:bCs/>
              </w:rPr>
              <w:t>Electric fields PQM</w:t>
            </w:r>
          </w:p>
        </w:tc>
      </w:tr>
      <w:tr w:rsidR="00293F6D" w14:paraId="29481878" w14:textId="77777777" w:rsidTr="00293F6D">
        <w:trPr>
          <w:tblHeader/>
        </w:trPr>
        <w:tc>
          <w:tcPr>
            <w:tcW w:w="0" w:type="auto"/>
            <w:vMerge/>
            <w:tcBorders>
              <w:top w:val="nil"/>
              <w:left w:val="nil"/>
              <w:bottom w:val="nil"/>
              <w:right w:val="nil"/>
            </w:tcBorders>
            <w:shd w:val="clear" w:color="auto" w:fill="FFF2CC" w:themeFill="accent4" w:themeFillTint="33"/>
            <w:vAlign w:val="center"/>
            <w:hideMark/>
          </w:tcPr>
          <w:p w14:paraId="66965F1D" w14:textId="77777777" w:rsidR="00293F6D" w:rsidRDefault="00293F6D">
            <w:pPr>
              <w:rPr>
                <w:b/>
                <w:bCs/>
                <w:sz w:val="24"/>
                <w:szCs w:val="24"/>
              </w:rPr>
            </w:pPr>
          </w:p>
        </w:tc>
        <w:tc>
          <w:tcPr>
            <w:tcW w:w="0" w:type="auto"/>
            <w:vMerge/>
            <w:tcBorders>
              <w:top w:val="nil"/>
              <w:left w:val="nil"/>
              <w:bottom w:val="nil"/>
              <w:right w:val="nil"/>
            </w:tcBorders>
            <w:shd w:val="clear" w:color="auto" w:fill="FFF2CC" w:themeFill="accent4" w:themeFillTint="33"/>
            <w:vAlign w:val="center"/>
            <w:hideMark/>
          </w:tcPr>
          <w:p w14:paraId="31CBBF31" w14:textId="77777777" w:rsidR="00293F6D" w:rsidRDefault="00293F6D">
            <w:pPr>
              <w:rPr>
                <w:b/>
                <w:bCs/>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072849A" w14:textId="77777777" w:rsidR="00293F6D" w:rsidRDefault="00293F6D">
            <w:pPr>
              <w:rPr>
                <w:b/>
                <w:bCs/>
              </w:rPr>
            </w:pPr>
            <w:r>
              <w:rPr>
                <w:b/>
                <w:bCs/>
              </w:rPr>
              <w:t>E</w:t>
            </w:r>
            <w:r>
              <w:rPr>
                <w:b/>
                <w:bCs/>
                <w:sz w:val="18"/>
                <w:szCs w:val="18"/>
                <w:vertAlign w:val="subscript"/>
              </w:rPr>
              <w:t>AUC</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45604EC" w14:textId="77777777" w:rsidR="00293F6D" w:rsidRDefault="00293F6D">
            <w:pPr>
              <w:rPr>
                <w:b/>
                <w:bCs/>
              </w:rPr>
            </w:pPr>
            <w:r>
              <w:rPr>
                <w:b/>
                <w:bCs/>
              </w:rPr>
              <w:t>V</w:t>
            </w:r>
            <w:r>
              <w:rPr>
                <w:b/>
                <w:bCs/>
                <w:sz w:val="18"/>
                <w:szCs w:val="18"/>
                <w:vertAlign w:val="subscript"/>
              </w:rPr>
              <w:t>E75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307D10A" w14:textId="77777777" w:rsidR="00293F6D" w:rsidRDefault="00293F6D">
            <w:pPr>
              <w:rPr>
                <w:b/>
                <w:bCs/>
              </w:rPr>
            </w:pPr>
            <w:r>
              <w:rPr>
                <w:b/>
                <w:bCs/>
              </w:rPr>
              <w:t>V</w:t>
            </w:r>
            <w:r>
              <w:rPr>
                <w:b/>
                <w:bCs/>
                <w:sz w:val="18"/>
                <w:szCs w:val="18"/>
                <w:vertAlign w:val="subscript"/>
              </w:rPr>
              <w:t>E50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DEB377C" w14:textId="77777777" w:rsidR="00293F6D" w:rsidRDefault="00293F6D">
            <w:pPr>
              <w:rPr>
                <w:b/>
                <w:bCs/>
              </w:rPr>
            </w:pPr>
            <w:r>
              <w:rPr>
                <w:b/>
                <w:bCs/>
              </w:rPr>
              <w:t>V</w:t>
            </w:r>
            <w:r>
              <w:rPr>
                <w:b/>
                <w:bCs/>
                <w:sz w:val="18"/>
                <w:szCs w:val="18"/>
                <w:vertAlign w:val="subscript"/>
              </w:rPr>
              <w:t>E25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3BC7B7F" w14:textId="77777777" w:rsidR="00293F6D" w:rsidRDefault="00293F6D">
            <w:pPr>
              <w:rPr>
                <w:b/>
                <w:bCs/>
              </w:rPr>
            </w:pPr>
            <w:r>
              <w:rPr>
                <w:b/>
                <w:bCs/>
              </w:rPr>
              <w:t>E</w:t>
            </w:r>
            <w:r>
              <w:rPr>
                <w:b/>
                <w:bCs/>
                <w:sz w:val="18"/>
                <w:szCs w:val="18"/>
                <w:vertAlign w:val="subscript"/>
              </w:rPr>
              <w:t>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0DA7CE5" w14:textId="77777777" w:rsidR="00293F6D" w:rsidRDefault="00293F6D">
            <w:pPr>
              <w:rPr>
                <w:b/>
                <w:bCs/>
              </w:rPr>
            </w:pPr>
            <w:r>
              <w:rPr>
                <w:b/>
                <w:bCs/>
              </w:rPr>
              <w:t>E</w:t>
            </w:r>
            <w:r>
              <w:rPr>
                <w:b/>
                <w:bCs/>
                <w:sz w:val="18"/>
                <w:szCs w:val="18"/>
                <w:vertAlign w:val="subscript"/>
              </w:rPr>
              <w:t>50%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8F63B27" w14:textId="77777777" w:rsidR="00293F6D" w:rsidRDefault="00293F6D">
            <w:pPr>
              <w:rPr>
                <w:b/>
                <w:bCs/>
              </w:rPr>
            </w:pPr>
            <w:r>
              <w:rPr>
                <w:b/>
                <w:bCs/>
              </w:rPr>
              <w:t>E</w:t>
            </w:r>
            <w:r>
              <w:rPr>
                <w:b/>
                <w:bCs/>
                <w:sz w:val="18"/>
                <w:szCs w:val="18"/>
                <w:vertAlign w:val="subscript"/>
              </w:rPr>
              <w:t>5%</w:t>
            </w:r>
          </w:p>
        </w:tc>
      </w:tr>
      <w:tr w:rsidR="00293F6D" w14:paraId="3D7C4FD5" w14:textId="77777777" w:rsidTr="00293F6D">
        <w:trPr>
          <w:tblHeader/>
        </w:trPr>
        <w:tc>
          <w:tcPr>
            <w:tcW w:w="0" w:type="auto"/>
            <w:vMerge/>
            <w:tcBorders>
              <w:top w:val="nil"/>
              <w:left w:val="nil"/>
              <w:bottom w:val="nil"/>
              <w:right w:val="nil"/>
            </w:tcBorders>
            <w:shd w:val="clear" w:color="auto" w:fill="FFF2CC" w:themeFill="accent4" w:themeFillTint="33"/>
            <w:vAlign w:val="center"/>
            <w:hideMark/>
          </w:tcPr>
          <w:p w14:paraId="4DDF6A24" w14:textId="77777777" w:rsidR="00293F6D" w:rsidRDefault="00293F6D">
            <w:pPr>
              <w:rPr>
                <w:b/>
                <w:bCs/>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EF7C9E9" w14:textId="77777777" w:rsidR="00293F6D" w:rsidRDefault="00293F6D">
            <w:pPr>
              <w:rPr>
                <w:b/>
                <w:bCs/>
              </w:rPr>
            </w:pPr>
            <w:r>
              <w:rPr>
                <w:b/>
                <w:bCs/>
              </w:rPr>
              <w:t>Units</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309B986" w14:textId="77777777" w:rsidR="00293F6D" w:rsidRDefault="00293F6D">
            <w:pPr>
              <w:rPr>
                <w:b/>
                <w:bCs/>
              </w:rPr>
            </w:pPr>
            <w:r>
              <w:rPr>
                <w:b/>
                <w:bCs/>
              </w:rPr>
              <w:t>(V/m)</w:t>
            </w:r>
          </w:p>
        </w:tc>
        <w:tc>
          <w:tcPr>
            <w:tcW w:w="0" w:type="auto"/>
            <w:gridSpan w:val="3"/>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71F2744" w14:textId="77777777" w:rsidR="00293F6D" w:rsidRDefault="00293F6D">
            <w:pPr>
              <w:rPr>
                <w:b/>
                <w:bCs/>
              </w:rPr>
            </w:pPr>
            <w:r>
              <w:rPr>
                <w:b/>
                <w:bCs/>
              </w:rPr>
              <w:t>(%)</w:t>
            </w:r>
          </w:p>
        </w:tc>
        <w:tc>
          <w:tcPr>
            <w:tcW w:w="0" w:type="auto"/>
            <w:gridSpan w:val="3"/>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1323086" w14:textId="77777777" w:rsidR="00293F6D" w:rsidRDefault="00293F6D">
            <w:pPr>
              <w:rPr>
                <w:b/>
                <w:bCs/>
              </w:rPr>
            </w:pPr>
            <w:r>
              <w:rPr>
                <w:b/>
                <w:bCs/>
              </w:rPr>
              <w:t>(V/m)</w:t>
            </w:r>
          </w:p>
        </w:tc>
      </w:tr>
      <w:tr w:rsidR="00293F6D" w14:paraId="5106292F" w14:textId="77777777" w:rsidTr="00293F6D">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50F7F56" w14:textId="77777777" w:rsidR="00293F6D" w:rsidRDefault="00293F6D">
            <w:r>
              <w:t>GTV</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E94E1BB" w14:textId="77777777" w:rsidR="00293F6D" w:rsidRDefault="00293F6D">
            <w:r>
              <w:t>(A) Supratentorial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0A49474" w14:textId="77777777" w:rsidR="00293F6D" w:rsidRDefault="00293F6D">
            <w:pPr>
              <w:jc w:val="center"/>
            </w:pPr>
            <w:r>
              <w:t>26.4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4E017F5" w14:textId="77777777" w:rsidR="00293F6D" w:rsidRDefault="00293F6D">
            <w:pPr>
              <w:jc w:val="center"/>
            </w:pPr>
            <w:r>
              <w:t>0.1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403E879" w14:textId="77777777" w:rsidR="00293F6D" w:rsidRDefault="00293F6D">
            <w:pPr>
              <w:jc w:val="center"/>
            </w:pPr>
            <w:r>
              <w:t>1.9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4FA34F7" w14:textId="77777777" w:rsidR="00293F6D" w:rsidRDefault="00293F6D">
            <w:pPr>
              <w:jc w:val="center"/>
            </w:pPr>
            <w:r>
              <w:t>64.6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DCE9463" w14:textId="77777777" w:rsidR="00293F6D" w:rsidRDefault="00293F6D">
            <w:pPr>
              <w:jc w:val="center"/>
            </w:pPr>
            <w:r>
              <w:t>22.6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91F7DB1" w14:textId="77777777" w:rsidR="00293F6D" w:rsidRDefault="00293F6D">
            <w:pPr>
              <w:jc w:val="center"/>
            </w:pPr>
            <w:r>
              <w:t>28.0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825E670" w14:textId="77777777" w:rsidR="00293F6D" w:rsidRDefault="00293F6D">
            <w:pPr>
              <w:jc w:val="center"/>
            </w:pPr>
            <w:r>
              <w:t>44.1</w:t>
            </w:r>
          </w:p>
        </w:tc>
      </w:tr>
      <w:tr w:rsidR="00293F6D" w14:paraId="12CCF188" w14:textId="77777777" w:rsidTr="00293F6D">
        <w:tc>
          <w:tcPr>
            <w:tcW w:w="0" w:type="auto"/>
            <w:vMerge/>
            <w:tcBorders>
              <w:top w:val="nil"/>
              <w:left w:val="nil"/>
              <w:bottom w:val="nil"/>
              <w:right w:val="nil"/>
            </w:tcBorders>
            <w:shd w:val="clear" w:color="auto" w:fill="FFF2CC" w:themeFill="accent4" w:themeFillTint="33"/>
            <w:vAlign w:val="center"/>
            <w:hideMark/>
          </w:tcPr>
          <w:p w14:paraId="7466C963"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648C896" w14:textId="77777777" w:rsidR="00293F6D" w:rsidRDefault="00293F6D">
            <w:r>
              <w:t>(B) 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143F271" w14:textId="77777777" w:rsidR="00293F6D" w:rsidRDefault="00293F6D">
            <w:pPr>
              <w:jc w:val="center"/>
            </w:pPr>
            <w:r>
              <w:t>41.0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6B8AB9F" w14:textId="77777777" w:rsidR="00293F6D" w:rsidRDefault="00293F6D">
            <w:pPr>
              <w:jc w:val="center"/>
            </w:pPr>
            <w:r>
              <w:t>10.4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59CD30B" w14:textId="77777777" w:rsidR="00293F6D" w:rsidRDefault="00293F6D">
            <w:pPr>
              <w:jc w:val="center"/>
            </w:pPr>
            <w:r>
              <w:t>28.2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C59367F" w14:textId="77777777" w:rsidR="00293F6D" w:rsidRDefault="00293F6D">
            <w:pPr>
              <w:jc w:val="center"/>
            </w:pPr>
            <w:r>
              <w:t>71.6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58C7663" w14:textId="77777777" w:rsidR="00293F6D" w:rsidRDefault="00293F6D">
            <w:pPr>
              <w:jc w:val="center"/>
            </w:pPr>
            <w:r>
              <w:t>22.8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8A67C0C" w14:textId="77777777" w:rsidR="00293F6D" w:rsidRDefault="00293F6D">
            <w:pPr>
              <w:jc w:val="center"/>
            </w:pPr>
            <w:r>
              <w:t>38.1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5F1A829" w14:textId="77777777" w:rsidR="00293F6D" w:rsidRDefault="00293F6D">
            <w:pPr>
              <w:jc w:val="center"/>
            </w:pPr>
            <w:r>
              <w:t>99.1</w:t>
            </w:r>
          </w:p>
        </w:tc>
      </w:tr>
      <w:tr w:rsidR="00293F6D" w14:paraId="449CF494" w14:textId="77777777" w:rsidTr="00293F6D">
        <w:tc>
          <w:tcPr>
            <w:tcW w:w="0" w:type="auto"/>
            <w:vMerge/>
            <w:tcBorders>
              <w:top w:val="nil"/>
              <w:left w:val="nil"/>
              <w:bottom w:val="nil"/>
              <w:right w:val="nil"/>
            </w:tcBorders>
            <w:shd w:val="clear" w:color="auto" w:fill="FFF2CC" w:themeFill="accent4" w:themeFillTint="33"/>
            <w:vAlign w:val="center"/>
            <w:hideMark/>
          </w:tcPr>
          <w:p w14:paraId="5B5AB091"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134936D" w14:textId="77777777" w:rsidR="00293F6D" w:rsidRDefault="00293F6D">
            <w:r>
              <w:t>(C) PA horiz RT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90893E4" w14:textId="77777777" w:rsidR="00293F6D" w:rsidRDefault="00293F6D">
            <w:pPr>
              <w:jc w:val="center"/>
            </w:pPr>
            <w:r>
              <w:t>39.2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91E5CC1" w14:textId="77777777" w:rsidR="00293F6D" w:rsidRDefault="00293F6D">
            <w:pPr>
              <w:jc w:val="center"/>
            </w:pPr>
            <w:r>
              <w:t>9.9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D94A88" w14:textId="77777777" w:rsidR="00293F6D" w:rsidRDefault="00293F6D">
            <w:pPr>
              <w:jc w:val="center"/>
            </w:pPr>
            <w:r>
              <w:t>24.0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70D04F8" w14:textId="77777777" w:rsidR="00293F6D" w:rsidRDefault="00293F6D">
            <w:pPr>
              <w:jc w:val="center"/>
            </w:pPr>
            <w:r>
              <w:t>69.5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9847576" w14:textId="77777777" w:rsidR="00293F6D" w:rsidRDefault="00293F6D">
            <w:pPr>
              <w:jc w:val="center"/>
            </w:pPr>
            <w:r>
              <w:t>21.7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99B01C3" w14:textId="77777777" w:rsidR="00293F6D" w:rsidRDefault="00293F6D">
            <w:pPr>
              <w:jc w:val="center"/>
            </w:pPr>
            <w:r>
              <w:t>36.4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A9F8423" w14:textId="77777777" w:rsidR="00293F6D" w:rsidRDefault="00293F6D">
            <w:pPr>
              <w:jc w:val="center"/>
            </w:pPr>
            <w:r>
              <w:t>95.6</w:t>
            </w:r>
          </w:p>
        </w:tc>
      </w:tr>
      <w:tr w:rsidR="00293F6D" w14:paraId="0A18F91E" w14:textId="77777777" w:rsidTr="00293F6D">
        <w:tc>
          <w:tcPr>
            <w:tcW w:w="0" w:type="auto"/>
            <w:vMerge/>
            <w:tcBorders>
              <w:top w:val="nil"/>
              <w:left w:val="nil"/>
              <w:bottom w:val="nil"/>
              <w:right w:val="nil"/>
            </w:tcBorders>
            <w:shd w:val="clear" w:color="auto" w:fill="FFF2CC" w:themeFill="accent4" w:themeFillTint="33"/>
            <w:vAlign w:val="center"/>
            <w:hideMark/>
          </w:tcPr>
          <w:p w14:paraId="545F9EA4"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355E15A" w14:textId="77777777" w:rsidR="00293F6D" w:rsidRDefault="00293F6D">
            <w:r>
              <w:t>(D) PA horiz LT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0B3297D" w14:textId="77777777" w:rsidR="00293F6D" w:rsidRDefault="00293F6D">
            <w:pPr>
              <w:jc w:val="center"/>
            </w:pPr>
            <w:r>
              <w:t>39.9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44B7A8D" w14:textId="77777777" w:rsidR="00293F6D" w:rsidRDefault="00293F6D">
            <w:pPr>
              <w:jc w:val="center"/>
            </w:pPr>
            <w:r>
              <w:t>9.9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EA93A67" w14:textId="77777777" w:rsidR="00293F6D" w:rsidRDefault="00293F6D">
            <w:pPr>
              <w:jc w:val="center"/>
            </w:pPr>
            <w:r>
              <w:t>25.5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D3270B0" w14:textId="77777777" w:rsidR="00293F6D" w:rsidRDefault="00293F6D">
            <w:pPr>
              <w:jc w:val="center"/>
            </w:pPr>
            <w:r>
              <w:t>71.0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319DFAA" w14:textId="77777777" w:rsidR="00293F6D" w:rsidRDefault="00293F6D">
            <w:pPr>
              <w:jc w:val="center"/>
            </w:pPr>
            <w:r>
              <w:t>22.5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2A63A6D" w14:textId="77777777" w:rsidR="00293F6D" w:rsidRDefault="00293F6D">
            <w:pPr>
              <w:jc w:val="center"/>
            </w:pPr>
            <w:r>
              <w:t>37.0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E1C2DE2" w14:textId="77777777" w:rsidR="00293F6D" w:rsidRDefault="00293F6D">
            <w:pPr>
              <w:jc w:val="center"/>
            </w:pPr>
            <w:r>
              <w:t>95.7</w:t>
            </w:r>
          </w:p>
        </w:tc>
      </w:tr>
      <w:tr w:rsidR="00293F6D" w14:paraId="29A5878C" w14:textId="77777777" w:rsidTr="00293F6D">
        <w:tc>
          <w:tcPr>
            <w:tcW w:w="0" w:type="auto"/>
            <w:vMerge/>
            <w:tcBorders>
              <w:top w:val="nil"/>
              <w:left w:val="nil"/>
              <w:bottom w:val="nil"/>
              <w:right w:val="nil"/>
            </w:tcBorders>
            <w:shd w:val="clear" w:color="auto" w:fill="FFF2CC" w:themeFill="accent4" w:themeFillTint="33"/>
            <w:vAlign w:val="center"/>
            <w:hideMark/>
          </w:tcPr>
          <w:p w14:paraId="7B19A858"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25C3DDE" w14:textId="77777777" w:rsidR="00293F6D" w:rsidRDefault="00293F6D">
            <w:r>
              <w:t>(E) PA VRT SUP</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7BE37E7" w14:textId="77777777" w:rsidR="00293F6D" w:rsidRDefault="00293F6D">
            <w:pPr>
              <w:jc w:val="center"/>
            </w:pPr>
            <w:r>
              <w:t>34.4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77372FB" w14:textId="77777777" w:rsidR="00293F6D" w:rsidRDefault="00293F6D">
            <w:pPr>
              <w:jc w:val="center"/>
            </w:pPr>
            <w:r>
              <w:t>1.2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30EEDC2" w14:textId="77777777" w:rsidR="00293F6D" w:rsidRDefault="00293F6D">
            <w:pPr>
              <w:jc w:val="center"/>
            </w:pPr>
            <w:r>
              <w:t>18.9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EC41EDD" w14:textId="77777777" w:rsidR="00293F6D" w:rsidRDefault="00293F6D">
            <w:pPr>
              <w:jc w:val="center"/>
            </w:pPr>
            <w:r>
              <w:t>72.6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4E0F9FF" w14:textId="77777777" w:rsidR="00293F6D" w:rsidRDefault="00293F6D">
            <w:pPr>
              <w:jc w:val="center"/>
            </w:pPr>
            <w:r>
              <w:t>23.7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5E39344" w14:textId="77777777" w:rsidR="00293F6D" w:rsidRDefault="00293F6D">
            <w:pPr>
              <w:jc w:val="center"/>
            </w:pPr>
            <w:r>
              <w:t>36.9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6955333" w14:textId="77777777" w:rsidR="00293F6D" w:rsidRDefault="00293F6D">
            <w:pPr>
              <w:jc w:val="center"/>
            </w:pPr>
            <w:r>
              <w:t>60.8</w:t>
            </w:r>
          </w:p>
        </w:tc>
      </w:tr>
      <w:tr w:rsidR="00293F6D" w14:paraId="1D8AD7D2" w14:textId="77777777" w:rsidTr="00293F6D">
        <w:tc>
          <w:tcPr>
            <w:tcW w:w="0" w:type="auto"/>
            <w:vMerge/>
            <w:tcBorders>
              <w:top w:val="nil"/>
              <w:left w:val="nil"/>
              <w:bottom w:val="nil"/>
              <w:right w:val="nil"/>
            </w:tcBorders>
            <w:shd w:val="clear" w:color="auto" w:fill="FFF2CC" w:themeFill="accent4" w:themeFillTint="33"/>
            <w:vAlign w:val="center"/>
            <w:hideMark/>
          </w:tcPr>
          <w:p w14:paraId="4E4DCC4B"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9A32932" w14:textId="77777777" w:rsidR="00293F6D" w:rsidRDefault="00293F6D">
            <w:r>
              <w:t>(F) PA Vert Center</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37035BD" w14:textId="77777777" w:rsidR="00293F6D" w:rsidRDefault="00293F6D">
            <w:pPr>
              <w:jc w:val="center"/>
            </w:pPr>
            <w:r>
              <w:t>39.3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2CA4D95" w14:textId="77777777" w:rsidR="00293F6D" w:rsidRDefault="00293F6D">
            <w:pPr>
              <w:jc w:val="center"/>
            </w:pPr>
            <w:r>
              <w:t>2.7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60F1044" w14:textId="77777777" w:rsidR="00293F6D" w:rsidRDefault="00293F6D">
            <w:pPr>
              <w:jc w:val="center"/>
            </w:pPr>
            <w:r>
              <w:t>34.9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AEFD0F3" w14:textId="77777777" w:rsidR="00293F6D" w:rsidRDefault="00293F6D">
            <w:pPr>
              <w:jc w:val="center"/>
            </w:pPr>
            <w:r>
              <w:t>78.0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D2FE8B8" w14:textId="77777777" w:rsidR="00293F6D" w:rsidRDefault="00293F6D">
            <w:pPr>
              <w:jc w:val="center"/>
            </w:pPr>
            <w:r>
              <w:t>27.3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1FFD101" w14:textId="77777777" w:rsidR="00293F6D" w:rsidRDefault="00293F6D">
            <w:pPr>
              <w:jc w:val="center"/>
            </w:pPr>
            <w:r>
              <w:t>42.3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E01FE70" w14:textId="77777777" w:rsidR="00293F6D" w:rsidRDefault="00293F6D">
            <w:pPr>
              <w:jc w:val="center"/>
            </w:pPr>
            <w:r>
              <w:t>67.3</w:t>
            </w:r>
          </w:p>
        </w:tc>
      </w:tr>
      <w:tr w:rsidR="00293F6D" w14:paraId="56E1A0AF" w14:textId="77777777" w:rsidTr="00293F6D">
        <w:tc>
          <w:tcPr>
            <w:tcW w:w="0" w:type="auto"/>
            <w:vMerge/>
            <w:tcBorders>
              <w:top w:val="nil"/>
              <w:left w:val="nil"/>
              <w:bottom w:val="nil"/>
              <w:right w:val="nil"/>
            </w:tcBorders>
            <w:shd w:val="clear" w:color="auto" w:fill="FFF2CC" w:themeFill="accent4" w:themeFillTint="33"/>
            <w:vAlign w:val="center"/>
            <w:hideMark/>
          </w:tcPr>
          <w:p w14:paraId="7286518D"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5F38C41" w14:textId="77777777" w:rsidR="00293F6D" w:rsidRDefault="00293F6D">
            <w:r>
              <w:t>(G) AP–PA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B58612C" w14:textId="77777777" w:rsidR="00293F6D" w:rsidRDefault="00293F6D">
            <w:pPr>
              <w:jc w:val="center"/>
            </w:pPr>
            <w:r>
              <w:t>40.9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8949A5E" w14:textId="77777777" w:rsidR="00293F6D" w:rsidRDefault="00293F6D">
            <w:pPr>
              <w:jc w:val="center"/>
            </w:pPr>
            <w:r>
              <w:t>10.3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7F2E9A1" w14:textId="77777777" w:rsidR="00293F6D" w:rsidRDefault="00293F6D">
            <w:pPr>
              <w:jc w:val="center"/>
            </w:pPr>
            <w:r>
              <w:t>27.8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F9AB65" w14:textId="77777777" w:rsidR="00293F6D" w:rsidRDefault="00293F6D">
            <w:pPr>
              <w:jc w:val="center"/>
            </w:pPr>
            <w:r>
              <w:t>71.2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130F65E" w14:textId="77777777" w:rsidR="00293F6D" w:rsidRDefault="00293F6D">
            <w:pPr>
              <w:jc w:val="center"/>
            </w:pPr>
            <w:r>
              <w:t>22.6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E684239" w14:textId="77777777" w:rsidR="00293F6D" w:rsidRDefault="00293F6D">
            <w:pPr>
              <w:jc w:val="center"/>
            </w:pPr>
            <w:r>
              <w:t>37.9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0C168E3" w14:textId="77777777" w:rsidR="00293F6D" w:rsidRDefault="00293F6D">
            <w:pPr>
              <w:jc w:val="center"/>
            </w:pPr>
            <w:r>
              <w:t>98.7</w:t>
            </w:r>
          </w:p>
        </w:tc>
      </w:tr>
      <w:tr w:rsidR="00293F6D" w14:paraId="0BF30B4F" w14:textId="77777777" w:rsidTr="00293F6D">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8DE39B5" w14:textId="77777777" w:rsidR="00293F6D" w:rsidRDefault="00293F6D">
            <w:r>
              <w:t>Cerebellum</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058B050" w14:textId="77777777" w:rsidR="00293F6D" w:rsidRDefault="00293F6D">
            <w:r>
              <w:t>(A) Supratentorial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570EBEB" w14:textId="77777777" w:rsidR="00293F6D" w:rsidRDefault="00293F6D">
            <w:pPr>
              <w:jc w:val="center"/>
            </w:pPr>
            <w:r>
              <w:t>20.5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8175DC8" w14:textId="77777777" w:rsidR="00293F6D" w:rsidRDefault="00293F6D">
            <w:pPr>
              <w:jc w:val="center"/>
            </w:pPr>
            <w:r>
              <w:t>0.0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375791B" w14:textId="77777777" w:rsidR="00293F6D" w:rsidRDefault="00293F6D">
            <w:pPr>
              <w:jc w:val="center"/>
            </w:pPr>
            <w:r>
              <w:t>0.3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CB3C42B" w14:textId="77777777" w:rsidR="00293F6D" w:rsidRDefault="00293F6D">
            <w:pPr>
              <w:jc w:val="center"/>
            </w:pPr>
            <w:r>
              <w:t>35.1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7798AC6" w14:textId="77777777" w:rsidR="00293F6D" w:rsidRDefault="00293F6D">
            <w:pPr>
              <w:jc w:val="center"/>
            </w:pPr>
            <w:r>
              <w:t>14.7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CDB02A" w14:textId="77777777" w:rsidR="00293F6D" w:rsidRDefault="00293F6D">
            <w:pPr>
              <w:jc w:val="center"/>
            </w:pPr>
            <w:r>
              <w:t>21.5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9EBF3C2" w14:textId="77777777" w:rsidR="00293F6D" w:rsidRDefault="00293F6D">
            <w:pPr>
              <w:jc w:val="center"/>
            </w:pPr>
            <w:r>
              <w:t>36.5</w:t>
            </w:r>
          </w:p>
        </w:tc>
      </w:tr>
      <w:tr w:rsidR="00293F6D" w14:paraId="3A67A0CD" w14:textId="77777777" w:rsidTr="00293F6D">
        <w:tc>
          <w:tcPr>
            <w:tcW w:w="0" w:type="auto"/>
            <w:vMerge/>
            <w:tcBorders>
              <w:top w:val="nil"/>
              <w:left w:val="nil"/>
              <w:bottom w:val="nil"/>
              <w:right w:val="nil"/>
            </w:tcBorders>
            <w:shd w:val="clear" w:color="auto" w:fill="FFF2CC" w:themeFill="accent4" w:themeFillTint="33"/>
            <w:vAlign w:val="center"/>
            <w:hideMark/>
          </w:tcPr>
          <w:p w14:paraId="06058129"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38C2DC" w14:textId="77777777" w:rsidR="00293F6D" w:rsidRDefault="00293F6D">
            <w:r>
              <w:t>(B) 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89837E8" w14:textId="77777777" w:rsidR="00293F6D" w:rsidRDefault="00293F6D">
            <w:pPr>
              <w:jc w:val="center"/>
            </w:pPr>
            <w:r>
              <w:t>69.8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2A58BC9" w14:textId="77777777" w:rsidR="00293F6D" w:rsidRDefault="00293F6D">
            <w:pPr>
              <w:jc w:val="center"/>
            </w:pPr>
            <w:r>
              <w:t>40.1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3F062F3" w14:textId="77777777" w:rsidR="00293F6D" w:rsidRDefault="00293F6D">
            <w:pPr>
              <w:jc w:val="center"/>
            </w:pPr>
            <w:r>
              <w:t>62.9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81108AC" w14:textId="77777777" w:rsidR="00293F6D" w:rsidRDefault="00293F6D">
            <w:pPr>
              <w:jc w:val="center"/>
            </w:pPr>
            <w:r>
              <w:t>82.2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086AD2F" w14:textId="77777777" w:rsidR="00293F6D" w:rsidRDefault="00293F6D">
            <w:pPr>
              <w:jc w:val="center"/>
            </w:pPr>
            <w:r>
              <w:t>35.9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9AEEA31" w14:textId="77777777" w:rsidR="00293F6D" w:rsidRDefault="00293F6D">
            <w:pPr>
              <w:jc w:val="center"/>
            </w:pPr>
            <w:r>
              <w:t>62.9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65B5F66" w14:textId="77777777" w:rsidR="00293F6D" w:rsidRDefault="00293F6D">
            <w:pPr>
              <w:jc w:val="center"/>
            </w:pPr>
            <w:r>
              <w:t>159.4</w:t>
            </w:r>
          </w:p>
        </w:tc>
      </w:tr>
      <w:tr w:rsidR="00293F6D" w14:paraId="7CF31057" w14:textId="77777777" w:rsidTr="00293F6D">
        <w:tc>
          <w:tcPr>
            <w:tcW w:w="0" w:type="auto"/>
            <w:vMerge/>
            <w:tcBorders>
              <w:top w:val="nil"/>
              <w:left w:val="nil"/>
              <w:bottom w:val="nil"/>
              <w:right w:val="nil"/>
            </w:tcBorders>
            <w:shd w:val="clear" w:color="auto" w:fill="FFF2CC" w:themeFill="accent4" w:themeFillTint="33"/>
            <w:vAlign w:val="center"/>
            <w:hideMark/>
          </w:tcPr>
          <w:p w14:paraId="34909CA9"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AD6BE1C" w14:textId="77777777" w:rsidR="00293F6D" w:rsidRDefault="00293F6D">
            <w:r>
              <w:t>(C) PA horiz RT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B48134A" w14:textId="77777777" w:rsidR="00293F6D" w:rsidRDefault="00293F6D">
            <w:pPr>
              <w:jc w:val="center"/>
            </w:pPr>
            <w:r>
              <w:t>68.1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718AC90" w14:textId="77777777" w:rsidR="00293F6D" w:rsidRDefault="00293F6D">
            <w:pPr>
              <w:jc w:val="center"/>
            </w:pPr>
            <w:r>
              <w:t>38.7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8A0F05F" w14:textId="77777777" w:rsidR="00293F6D" w:rsidRDefault="00293F6D">
            <w:pPr>
              <w:jc w:val="center"/>
            </w:pPr>
            <w:r>
              <w:t>61.8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132411C" w14:textId="77777777" w:rsidR="00293F6D" w:rsidRDefault="00293F6D">
            <w:pPr>
              <w:jc w:val="center"/>
            </w:pPr>
            <w:r>
              <w:t>82.0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FF8856B" w14:textId="77777777" w:rsidR="00293F6D" w:rsidRDefault="00293F6D">
            <w:pPr>
              <w:jc w:val="center"/>
            </w:pPr>
            <w:r>
              <w:t>35.0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C234732" w14:textId="77777777" w:rsidR="00293F6D" w:rsidRDefault="00293F6D">
            <w:pPr>
              <w:jc w:val="center"/>
            </w:pPr>
            <w:r>
              <w:t>61.4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06EFD2A" w14:textId="77777777" w:rsidR="00293F6D" w:rsidRDefault="00293F6D">
            <w:pPr>
              <w:jc w:val="center"/>
            </w:pPr>
            <w:r>
              <w:t>155.8</w:t>
            </w:r>
          </w:p>
        </w:tc>
      </w:tr>
      <w:tr w:rsidR="00293F6D" w14:paraId="2BE44C38" w14:textId="77777777" w:rsidTr="00293F6D">
        <w:tc>
          <w:tcPr>
            <w:tcW w:w="0" w:type="auto"/>
            <w:vMerge/>
            <w:tcBorders>
              <w:top w:val="nil"/>
              <w:left w:val="nil"/>
              <w:bottom w:val="nil"/>
              <w:right w:val="nil"/>
            </w:tcBorders>
            <w:shd w:val="clear" w:color="auto" w:fill="FFF2CC" w:themeFill="accent4" w:themeFillTint="33"/>
            <w:vAlign w:val="center"/>
            <w:hideMark/>
          </w:tcPr>
          <w:p w14:paraId="13C6E2E1"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FFA7C39" w14:textId="77777777" w:rsidR="00293F6D" w:rsidRDefault="00293F6D">
            <w:r>
              <w:t>(D) PA horiz LT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77C702C" w14:textId="77777777" w:rsidR="00293F6D" w:rsidRDefault="00293F6D">
            <w:pPr>
              <w:jc w:val="center"/>
            </w:pPr>
            <w:r>
              <w:t>68.1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BE81D2D" w14:textId="77777777" w:rsidR="00293F6D" w:rsidRDefault="00293F6D">
            <w:pPr>
              <w:jc w:val="center"/>
            </w:pPr>
            <w:r>
              <w:t>38.4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2B43557" w14:textId="77777777" w:rsidR="00293F6D" w:rsidRDefault="00293F6D">
            <w:pPr>
              <w:jc w:val="center"/>
            </w:pPr>
            <w:r>
              <w:t>62.3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66F3D53" w14:textId="77777777" w:rsidR="00293F6D" w:rsidRDefault="00293F6D">
            <w:pPr>
              <w:jc w:val="center"/>
            </w:pPr>
            <w:r>
              <w:t>82.3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4905039" w14:textId="77777777" w:rsidR="00293F6D" w:rsidRDefault="00293F6D">
            <w:pPr>
              <w:jc w:val="center"/>
            </w:pPr>
            <w:r>
              <w:t>35.5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F6287F3" w14:textId="77777777" w:rsidR="00293F6D" w:rsidRDefault="00293F6D">
            <w:pPr>
              <w:jc w:val="center"/>
            </w:pPr>
            <w:r>
              <w:t>61.9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2066F2F" w14:textId="77777777" w:rsidR="00293F6D" w:rsidRDefault="00293F6D">
            <w:pPr>
              <w:jc w:val="center"/>
            </w:pPr>
            <w:r>
              <w:t>155.4</w:t>
            </w:r>
          </w:p>
        </w:tc>
      </w:tr>
      <w:tr w:rsidR="00293F6D" w14:paraId="769C9079" w14:textId="77777777" w:rsidTr="00293F6D">
        <w:tc>
          <w:tcPr>
            <w:tcW w:w="0" w:type="auto"/>
            <w:vMerge/>
            <w:tcBorders>
              <w:top w:val="nil"/>
              <w:left w:val="nil"/>
              <w:bottom w:val="nil"/>
              <w:right w:val="nil"/>
            </w:tcBorders>
            <w:shd w:val="clear" w:color="auto" w:fill="FFF2CC" w:themeFill="accent4" w:themeFillTint="33"/>
            <w:vAlign w:val="center"/>
            <w:hideMark/>
          </w:tcPr>
          <w:p w14:paraId="704CDAA1"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F6C4DF8" w14:textId="77777777" w:rsidR="00293F6D" w:rsidRDefault="00293F6D">
            <w:r>
              <w:t>(E) PA VRT SUP</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8F80A20" w14:textId="77777777" w:rsidR="00293F6D" w:rsidRDefault="00293F6D">
            <w:pPr>
              <w:jc w:val="center"/>
            </w:pPr>
            <w:r>
              <w:t>38.2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EA917BC" w14:textId="77777777" w:rsidR="00293F6D" w:rsidRDefault="00293F6D">
            <w:pPr>
              <w:jc w:val="center"/>
            </w:pPr>
            <w:r>
              <w:t>8.0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8006449" w14:textId="77777777" w:rsidR="00293F6D" w:rsidRDefault="00293F6D">
            <w:pPr>
              <w:jc w:val="center"/>
            </w:pPr>
            <w:r>
              <w:t>34.9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21407F5" w14:textId="77777777" w:rsidR="00293F6D" w:rsidRDefault="00293F6D">
            <w:pPr>
              <w:jc w:val="center"/>
            </w:pPr>
            <w:r>
              <w:t>65.9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58207C3" w14:textId="77777777" w:rsidR="00293F6D" w:rsidRDefault="00293F6D">
            <w:pPr>
              <w:jc w:val="center"/>
            </w:pPr>
            <w:r>
              <w:t>18.3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870A1CD" w14:textId="77777777" w:rsidR="00293F6D" w:rsidRDefault="00293F6D">
            <w:pPr>
              <w:jc w:val="center"/>
            </w:pPr>
            <w:r>
              <w:t>36.7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3FC06C6" w14:textId="77777777" w:rsidR="00293F6D" w:rsidRDefault="00293F6D">
            <w:pPr>
              <w:jc w:val="center"/>
            </w:pPr>
            <w:r>
              <w:t>79.5</w:t>
            </w:r>
          </w:p>
        </w:tc>
      </w:tr>
      <w:tr w:rsidR="00293F6D" w14:paraId="1578D678" w14:textId="77777777" w:rsidTr="00293F6D">
        <w:tc>
          <w:tcPr>
            <w:tcW w:w="0" w:type="auto"/>
            <w:vMerge/>
            <w:tcBorders>
              <w:top w:val="nil"/>
              <w:left w:val="nil"/>
              <w:bottom w:val="nil"/>
              <w:right w:val="nil"/>
            </w:tcBorders>
            <w:shd w:val="clear" w:color="auto" w:fill="FFF2CC" w:themeFill="accent4" w:themeFillTint="33"/>
            <w:vAlign w:val="center"/>
            <w:hideMark/>
          </w:tcPr>
          <w:p w14:paraId="6F5F7B26"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D04511F" w14:textId="77777777" w:rsidR="00293F6D" w:rsidRDefault="00293F6D">
            <w:r>
              <w:t>(F) PA Vert Center</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9A8F6E3" w14:textId="77777777" w:rsidR="00293F6D" w:rsidRDefault="00293F6D">
            <w:pPr>
              <w:jc w:val="center"/>
            </w:pPr>
            <w:r>
              <w:t>51.3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214607F" w14:textId="77777777" w:rsidR="00293F6D" w:rsidRDefault="00293F6D">
            <w:pPr>
              <w:jc w:val="center"/>
            </w:pPr>
            <w:r>
              <w:t>25.2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2C6AF8B" w14:textId="77777777" w:rsidR="00293F6D" w:rsidRDefault="00293F6D">
            <w:pPr>
              <w:jc w:val="center"/>
            </w:pPr>
            <w:r>
              <w:t>48.2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B49454F" w14:textId="77777777" w:rsidR="00293F6D" w:rsidRDefault="00293F6D">
            <w:pPr>
              <w:jc w:val="center"/>
            </w:pPr>
            <w:r>
              <w:t>75.9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4F4AB10" w14:textId="77777777" w:rsidR="00293F6D" w:rsidRDefault="00293F6D">
            <w:pPr>
              <w:jc w:val="center"/>
            </w:pPr>
            <w:r>
              <w:t>26.0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953439B" w14:textId="77777777" w:rsidR="00293F6D" w:rsidRDefault="00293F6D">
            <w:pPr>
              <w:jc w:val="center"/>
            </w:pPr>
            <w:r>
              <w:t>48.1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A554D06" w14:textId="77777777" w:rsidR="00293F6D" w:rsidRDefault="00293F6D">
            <w:pPr>
              <w:jc w:val="center"/>
            </w:pPr>
            <w:r>
              <w:t>114.4</w:t>
            </w:r>
          </w:p>
        </w:tc>
      </w:tr>
      <w:tr w:rsidR="00293F6D" w14:paraId="5316BE8D" w14:textId="77777777" w:rsidTr="00293F6D">
        <w:tc>
          <w:tcPr>
            <w:tcW w:w="0" w:type="auto"/>
            <w:vMerge/>
            <w:tcBorders>
              <w:top w:val="nil"/>
              <w:left w:val="nil"/>
              <w:bottom w:val="nil"/>
              <w:right w:val="nil"/>
            </w:tcBorders>
            <w:shd w:val="clear" w:color="auto" w:fill="FFF2CC" w:themeFill="accent4" w:themeFillTint="33"/>
            <w:vAlign w:val="center"/>
            <w:hideMark/>
          </w:tcPr>
          <w:p w14:paraId="57C873A9"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00A11D5" w14:textId="77777777" w:rsidR="00293F6D" w:rsidRDefault="00293F6D">
            <w:r>
              <w:t>(G) AP–PA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D5AE062" w14:textId="77777777" w:rsidR="00293F6D" w:rsidRDefault="00293F6D">
            <w:pPr>
              <w:jc w:val="center"/>
            </w:pPr>
            <w:r>
              <w:t>69.1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25EFECD" w14:textId="77777777" w:rsidR="00293F6D" w:rsidRDefault="00293F6D">
            <w:pPr>
              <w:jc w:val="center"/>
            </w:pPr>
            <w:r>
              <w:t>39.5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161A0DE" w14:textId="77777777" w:rsidR="00293F6D" w:rsidRDefault="00293F6D">
            <w:pPr>
              <w:jc w:val="center"/>
            </w:pPr>
            <w:r>
              <w:t>62.6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9652670" w14:textId="77777777" w:rsidR="00293F6D" w:rsidRDefault="00293F6D">
            <w:pPr>
              <w:jc w:val="center"/>
            </w:pPr>
            <w:r>
              <w:t>82.3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8807399" w14:textId="77777777" w:rsidR="00293F6D" w:rsidRDefault="00293F6D">
            <w:pPr>
              <w:jc w:val="center"/>
            </w:pPr>
            <w:r>
              <w:t>35.7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2DF976A" w14:textId="77777777" w:rsidR="00293F6D" w:rsidRDefault="00293F6D">
            <w:pPr>
              <w:jc w:val="center"/>
            </w:pPr>
            <w:r>
              <w:t>62.4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6C08762" w14:textId="77777777" w:rsidR="00293F6D" w:rsidRDefault="00293F6D">
            <w:pPr>
              <w:jc w:val="center"/>
            </w:pPr>
            <w:r>
              <w:t>158.0</w:t>
            </w:r>
          </w:p>
        </w:tc>
      </w:tr>
    </w:tbl>
    <w:p w14:paraId="2A98FC1E" w14:textId="77777777" w:rsidR="00293F6D" w:rsidRDefault="00293F6D" w:rsidP="00293F6D">
      <w:pPr>
        <w:jc w:val="right"/>
        <w:rPr>
          <w:rFonts w:ascii="Cambria" w:hAnsi="Cambria"/>
          <w:color w:val="212121"/>
          <w:sz w:val="24"/>
          <w:szCs w:val="24"/>
        </w:rPr>
      </w:pPr>
      <w:hyperlink r:id="rId38" w:tgtFrame="object" w:history="1">
        <w:r>
          <w:rPr>
            <w:rStyle w:val="Hyperlink"/>
            <w:rFonts w:ascii="Cambria" w:hAnsi="Cambria"/>
            <w:color w:val="376FAA"/>
          </w:rPr>
          <w:t>Open in a separate window</w:t>
        </w:r>
      </w:hyperlink>
    </w:p>
    <w:tbl>
      <w:tblPr>
        <w:tblW w:w="0" w:type="auto"/>
        <w:tblBorders>
          <w:top w:val="single" w:sz="6" w:space="0" w:color="000000"/>
          <w:bottom w:val="single" w:sz="6" w:space="0" w:color="000000"/>
        </w:tblBorders>
        <w:shd w:val="clear" w:color="auto" w:fill="FFF2CC" w:themeFill="accent4" w:themeFillTint="33"/>
        <w:tblCellMar>
          <w:top w:w="15" w:type="dxa"/>
          <w:left w:w="15" w:type="dxa"/>
          <w:bottom w:w="15" w:type="dxa"/>
          <w:right w:w="15" w:type="dxa"/>
        </w:tblCellMar>
        <w:tblLook w:val="04A0" w:firstRow="1" w:lastRow="0" w:firstColumn="1" w:lastColumn="0" w:noHBand="0" w:noVBand="1"/>
      </w:tblPr>
      <w:tblGrid>
        <w:gridCol w:w="1220"/>
        <w:gridCol w:w="2037"/>
        <w:gridCol w:w="797"/>
        <w:gridCol w:w="583"/>
        <w:gridCol w:w="583"/>
        <w:gridCol w:w="583"/>
        <w:gridCol w:w="657"/>
        <w:gridCol w:w="657"/>
        <w:gridCol w:w="596"/>
      </w:tblGrid>
      <w:tr w:rsidR="00293F6D" w14:paraId="6B341668" w14:textId="77777777" w:rsidTr="00293F6D">
        <w:trPr>
          <w:tblHeader/>
        </w:trPr>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A0CDD05" w14:textId="77777777" w:rsidR="00293F6D" w:rsidRDefault="00293F6D">
            <w:pPr>
              <w:rPr>
                <w:rFonts w:ascii="Times New Roman" w:hAnsi="Times New Roman"/>
                <w:b/>
                <w:bCs/>
              </w:rPr>
            </w:pPr>
            <w:r>
              <w:rPr>
                <w:b/>
                <w:bCs/>
              </w:rPr>
              <w:t>ROI</w:t>
            </w:r>
          </w:p>
        </w:tc>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A87E5A6" w14:textId="77777777" w:rsidR="00293F6D" w:rsidRDefault="00293F6D">
            <w:pPr>
              <w:rPr>
                <w:b/>
                <w:bCs/>
              </w:rPr>
            </w:pPr>
            <w:r>
              <w:rPr>
                <w:b/>
                <w:bCs/>
              </w:rPr>
              <w:t>Array configuration</w:t>
            </w:r>
          </w:p>
        </w:tc>
        <w:tc>
          <w:tcPr>
            <w:tcW w:w="0" w:type="auto"/>
            <w:gridSpan w:val="7"/>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A821387" w14:textId="77777777" w:rsidR="00293F6D" w:rsidRDefault="00293F6D">
            <w:pPr>
              <w:rPr>
                <w:b/>
                <w:bCs/>
              </w:rPr>
            </w:pPr>
            <w:r>
              <w:rPr>
                <w:b/>
                <w:bCs/>
              </w:rPr>
              <w:t>Current density PQM</w:t>
            </w:r>
          </w:p>
        </w:tc>
      </w:tr>
      <w:tr w:rsidR="00293F6D" w14:paraId="3A76E6FB" w14:textId="77777777" w:rsidTr="00293F6D">
        <w:trPr>
          <w:tblHeader/>
        </w:trPr>
        <w:tc>
          <w:tcPr>
            <w:tcW w:w="0" w:type="auto"/>
            <w:vMerge/>
            <w:tcBorders>
              <w:top w:val="nil"/>
              <w:left w:val="nil"/>
              <w:bottom w:val="nil"/>
              <w:right w:val="nil"/>
            </w:tcBorders>
            <w:shd w:val="clear" w:color="auto" w:fill="FFF2CC" w:themeFill="accent4" w:themeFillTint="33"/>
            <w:vAlign w:val="center"/>
            <w:hideMark/>
          </w:tcPr>
          <w:p w14:paraId="484C7111" w14:textId="77777777" w:rsidR="00293F6D" w:rsidRDefault="00293F6D">
            <w:pPr>
              <w:rPr>
                <w:b/>
                <w:bCs/>
                <w:sz w:val="24"/>
                <w:szCs w:val="24"/>
              </w:rPr>
            </w:pPr>
          </w:p>
        </w:tc>
        <w:tc>
          <w:tcPr>
            <w:tcW w:w="0" w:type="auto"/>
            <w:vMerge/>
            <w:tcBorders>
              <w:top w:val="nil"/>
              <w:left w:val="nil"/>
              <w:bottom w:val="nil"/>
              <w:right w:val="nil"/>
            </w:tcBorders>
            <w:shd w:val="clear" w:color="auto" w:fill="FFF2CC" w:themeFill="accent4" w:themeFillTint="33"/>
            <w:vAlign w:val="center"/>
            <w:hideMark/>
          </w:tcPr>
          <w:p w14:paraId="379A788F" w14:textId="77777777" w:rsidR="00293F6D" w:rsidRDefault="00293F6D">
            <w:pPr>
              <w:rPr>
                <w:b/>
                <w:bCs/>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C0FE88E" w14:textId="77777777" w:rsidR="00293F6D" w:rsidRDefault="00293F6D">
            <w:pPr>
              <w:rPr>
                <w:b/>
                <w:bCs/>
              </w:rPr>
            </w:pPr>
            <w:r>
              <w:rPr>
                <w:b/>
                <w:bCs/>
              </w:rPr>
              <w:t>CD</w:t>
            </w:r>
            <w:r>
              <w:rPr>
                <w:b/>
                <w:bCs/>
                <w:sz w:val="18"/>
                <w:szCs w:val="18"/>
                <w:vertAlign w:val="subscript"/>
              </w:rPr>
              <w:t>AUC</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9596AEC" w14:textId="77777777" w:rsidR="00293F6D" w:rsidRDefault="00293F6D">
            <w:pPr>
              <w:rPr>
                <w:b/>
                <w:bCs/>
              </w:rPr>
            </w:pPr>
            <w:r>
              <w:rPr>
                <w:b/>
                <w:bCs/>
              </w:rPr>
              <w:t>V</w:t>
            </w:r>
            <w:r>
              <w:rPr>
                <w:b/>
                <w:bCs/>
                <w:sz w:val="18"/>
                <w:szCs w:val="18"/>
                <w:vertAlign w:val="subscript"/>
              </w:rPr>
              <w:t>CD15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667C9B0" w14:textId="77777777" w:rsidR="00293F6D" w:rsidRDefault="00293F6D">
            <w:pPr>
              <w:rPr>
                <w:b/>
                <w:bCs/>
              </w:rPr>
            </w:pPr>
            <w:r>
              <w:rPr>
                <w:b/>
                <w:bCs/>
              </w:rPr>
              <w:t>V</w:t>
            </w:r>
            <w:r>
              <w:rPr>
                <w:b/>
                <w:bCs/>
                <w:sz w:val="18"/>
                <w:szCs w:val="18"/>
                <w:vertAlign w:val="subscript"/>
              </w:rPr>
              <w:t>CD10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6B11245" w14:textId="77777777" w:rsidR="00293F6D" w:rsidRDefault="00293F6D">
            <w:pPr>
              <w:rPr>
                <w:b/>
                <w:bCs/>
              </w:rPr>
            </w:pPr>
            <w:r>
              <w:rPr>
                <w:b/>
                <w:bCs/>
              </w:rPr>
              <w:t>V</w:t>
            </w:r>
            <w:r>
              <w:rPr>
                <w:b/>
                <w:bCs/>
                <w:sz w:val="18"/>
                <w:szCs w:val="18"/>
                <w:vertAlign w:val="subscript"/>
              </w:rPr>
              <w:t>CD5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216B6C8" w14:textId="77777777" w:rsidR="00293F6D" w:rsidRDefault="00293F6D">
            <w:pPr>
              <w:rPr>
                <w:b/>
                <w:bCs/>
              </w:rPr>
            </w:pPr>
            <w:r>
              <w:rPr>
                <w:b/>
                <w:bCs/>
              </w:rPr>
              <w:t>CD</w:t>
            </w:r>
            <w:r>
              <w:rPr>
                <w:b/>
                <w:bCs/>
                <w:sz w:val="18"/>
                <w:szCs w:val="18"/>
                <w:vertAlign w:val="subscript"/>
              </w:rPr>
              <w:t>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6F0F12" w14:textId="77777777" w:rsidR="00293F6D" w:rsidRDefault="00293F6D">
            <w:pPr>
              <w:rPr>
                <w:b/>
                <w:bCs/>
              </w:rPr>
            </w:pPr>
            <w:r>
              <w:rPr>
                <w:b/>
                <w:bCs/>
              </w:rPr>
              <w:t>CD</w:t>
            </w:r>
            <w:r>
              <w:rPr>
                <w:b/>
                <w:bCs/>
                <w:sz w:val="18"/>
                <w:szCs w:val="18"/>
                <w:vertAlign w:val="subscript"/>
              </w:rPr>
              <w:t>50%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BA1D50B" w14:textId="77777777" w:rsidR="00293F6D" w:rsidRDefault="00293F6D">
            <w:pPr>
              <w:rPr>
                <w:b/>
                <w:bCs/>
              </w:rPr>
            </w:pPr>
            <w:r>
              <w:rPr>
                <w:b/>
                <w:bCs/>
              </w:rPr>
              <w:t>CD</w:t>
            </w:r>
            <w:r>
              <w:rPr>
                <w:b/>
                <w:bCs/>
                <w:sz w:val="18"/>
                <w:szCs w:val="18"/>
                <w:vertAlign w:val="subscript"/>
              </w:rPr>
              <w:t>5%</w:t>
            </w:r>
          </w:p>
        </w:tc>
      </w:tr>
      <w:tr w:rsidR="00293F6D" w14:paraId="0456ACB8" w14:textId="77777777" w:rsidTr="00293F6D">
        <w:trPr>
          <w:tblHeader/>
        </w:trPr>
        <w:tc>
          <w:tcPr>
            <w:tcW w:w="0" w:type="auto"/>
            <w:vMerge/>
            <w:tcBorders>
              <w:top w:val="nil"/>
              <w:left w:val="nil"/>
              <w:bottom w:val="nil"/>
              <w:right w:val="nil"/>
            </w:tcBorders>
            <w:shd w:val="clear" w:color="auto" w:fill="FFF2CC" w:themeFill="accent4" w:themeFillTint="33"/>
            <w:vAlign w:val="center"/>
            <w:hideMark/>
          </w:tcPr>
          <w:p w14:paraId="7E87F8E1" w14:textId="77777777" w:rsidR="00293F6D" w:rsidRDefault="00293F6D">
            <w:pPr>
              <w:rPr>
                <w:b/>
                <w:bCs/>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163DDCD" w14:textId="77777777" w:rsidR="00293F6D" w:rsidRDefault="00293F6D">
            <w:pPr>
              <w:rPr>
                <w:b/>
                <w:bCs/>
              </w:rPr>
            </w:pPr>
            <w:r>
              <w:rPr>
                <w:b/>
                <w:bCs/>
              </w:rPr>
              <w:t>Units</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F40EA4C" w14:textId="77777777" w:rsidR="00293F6D" w:rsidRDefault="00293F6D">
            <w:pPr>
              <w:rPr>
                <w:b/>
                <w:bCs/>
              </w:rPr>
            </w:pPr>
            <w:r>
              <w:rPr>
                <w:b/>
                <w:bCs/>
              </w:rPr>
              <w:t>(A/m</w:t>
            </w:r>
            <w:r>
              <w:rPr>
                <w:b/>
                <w:bCs/>
                <w:sz w:val="18"/>
                <w:szCs w:val="18"/>
                <w:vertAlign w:val="superscript"/>
              </w:rPr>
              <w:t>2</w:t>
            </w:r>
            <w:r>
              <w:rPr>
                <w:b/>
                <w:bCs/>
              </w:rPr>
              <w:t>)</w:t>
            </w:r>
          </w:p>
        </w:tc>
        <w:tc>
          <w:tcPr>
            <w:tcW w:w="0" w:type="auto"/>
            <w:gridSpan w:val="3"/>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86943DE" w14:textId="77777777" w:rsidR="00293F6D" w:rsidRDefault="00293F6D">
            <w:pPr>
              <w:rPr>
                <w:b/>
                <w:bCs/>
              </w:rPr>
            </w:pPr>
            <w:r>
              <w:rPr>
                <w:b/>
                <w:bCs/>
              </w:rPr>
              <w:t>(%)</w:t>
            </w:r>
          </w:p>
        </w:tc>
        <w:tc>
          <w:tcPr>
            <w:tcW w:w="0" w:type="auto"/>
            <w:gridSpan w:val="3"/>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95D88D2" w14:textId="77777777" w:rsidR="00293F6D" w:rsidRDefault="00293F6D">
            <w:pPr>
              <w:rPr>
                <w:b/>
                <w:bCs/>
              </w:rPr>
            </w:pPr>
            <w:r>
              <w:rPr>
                <w:b/>
                <w:bCs/>
              </w:rPr>
              <w:t>(A/m</w:t>
            </w:r>
            <w:r>
              <w:rPr>
                <w:b/>
                <w:bCs/>
                <w:sz w:val="18"/>
                <w:szCs w:val="18"/>
                <w:vertAlign w:val="superscript"/>
              </w:rPr>
              <w:t>2</w:t>
            </w:r>
            <w:r>
              <w:rPr>
                <w:b/>
                <w:bCs/>
              </w:rPr>
              <w:t>)</w:t>
            </w:r>
          </w:p>
        </w:tc>
      </w:tr>
      <w:tr w:rsidR="00293F6D" w14:paraId="16DA232B" w14:textId="77777777" w:rsidTr="00293F6D">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C2CCCD0" w14:textId="77777777" w:rsidR="00293F6D" w:rsidRDefault="00293F6D">
            <w:r>
              <w:t>GTV</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DBA035B" w14:textId="77777777" w:rsidR="00293F6D" w:rsidRDefault="00293F6D">
            <w:r>
              <w:t>(A) Supratentorial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41F91F3" w14:textId="77777777" w:rsidR="00293F6D" w:rsidRDefault="00293F6D">
            <w:pPr>
              <w:jc w:val="center"/>
            </w:pPr>
            <w:r>
              <w:t>7.7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A2EF396" w14:textId="77777777" w:rsidR="00293F6D" w:rsidRDefault="00293F6D">
            <w:pPr>
              <w:jc w:val="center"/>
            </w:pPr>
            <w:r>
              <w:t>4.8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643B94D" w14:textId="77777777" w:rsidR="00293F6D" w:rsidRDefault="00293F6D">
            <w:pPr>
              <w:jc w:val="center"/>
            </w:pPr>
            <w:r>
              <w:t>20.4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F28A9D1" w14:textId="77777777" w:rsidR="00293F6D" w:rsidRDefault="00293F6D">
            <w:pPr>
              <w:jc w:val="center"/>
            </w:pPr>
            <w:r>
              <w:t>70.5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607B7E0" w14:textId="77777777" w:rsidR="00293F6D" w:rsidRDefault="00293F6D">
            <w:pPr>
              <w:jc w:val="center"/>
            </w:pPr>
            <w:r>
              <w:t>3.4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125FD72" w14:textId="77777777" w:rsidR="00293F6D" w:rsidRDefault="00293F6D">
            <w:pPr>
              <w:jc w:val="center"/>
            </w:pPr>
            <w:r>
              <w:t>8.3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978B590" w14:textId="77777777" w:rsidR="00293F6D" w:rsidRDefault="00293F6D">
            <w:pPr>
              <w:jc w:val="center"/>
            </w:pPr>
            <w:r>
              <w:t>14.9</w:t>
            </w:r>
          </w:p>
        </w:tc>
      </w:tr>
      <w:tr w:rsidR="00293F6D" w14:paraId="1372A416" w14:textId="77777777" w:rsidTr="00293F6D">
        <w:tc>
          <w:tcPr>
            <w:tcW w:w="0" w:type="auto"/>
            <w:vMerge/>
            <w:tcBorders>
              <w:top w:val="nil"/>
              <w:left w:val="nil"/>
              <w:bottom w:val="nil"/>
              <w:right w:val="nil"/>
            </w:tcBorders>
            <w:shd w:val="clear" w:color="auto" w:fill="FFF2CC" w:themeFill="accent4" w:themeFillTint="33"/>
            <w:vAlign w:val="center"/>
            <w:hideMark/>
          </w:tcPr>
          <w:p w14:paraId="4983DD08"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2C36B23" w14:textId="77777777" w:rsidR="00293F6D" w:rsidRDefault="00293F6D">
            <w:r>
              <w:t>(B) 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DF1FD2C" w14:textId="77777777" w:rsidR="00293F6D" w:rsidRDefault="00293F6D">
            <w:pPr>
              <w:jc w:val="center"/>
            </w:pPr>
            <w:r>
              <w:t>11.6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78A6A8F" w14:textId="77777777" w:rsidR="00293F6D" w:rsidRDefault="00293F6D">
            <w:pPr>
              <w:jc w:val="center"/>
            </w:pPr>
            <w:r>
              <w:t>25.5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426C73E" w14:textId="77777777" w:rsidR="00293F6D" w:rsidRDefault="00293F6D">
            <w:pPr>
              <w:jc w:val="center"/>
            </w:pPr>
            <w:r>
              <w:t>49.8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EB66073" w14:textId="77777777" w:rsidR="00293F6D" w:rsidRDefault="00293F6D">
            <w:pPr>
              <w:jc w:val="center"/>
            </w:pPr>
            <w:r>
              <w:t>82.5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59F0E32" w14:textId="77777777" w:rsidR="00293F6D" w:rsidRDefault="00293F6D">
            <w:pPr>
              <w:jc w:val="center"/>
            </w:pPr>
            <w:r>
              <w:t>6.3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1F055BA" w14:textId="77777777" w:rsidR="00293F6D" w:rsidRDefault="00293F6D">
            <w:pPr>
              <w:jc w:val="center"/>
            </w:pPr>
            <w:r>
              <w:t>10.0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C1597EF" w14:textId="77777777" w:rsidR="00293F6D" w:rsidRDefault="00293F6D">
            <w:pPr>
              <w:jc w:val="center"/>
            </w:pPr>
            <w:r>
              <w:t>26.5</w:t>
            </w:r>
          </w:p>
        </w:tc>
      </w:tr>
      <w:tr w:rsidR="00293F6D" w14:paraId="51F66EA4" w14:textId="77777777" w:rsidTr="00293F6D">
        <w:tc>
          <w:tcPr>
            <w:tcW w:w="0" w:type="auto"/>
            <w:vMerge/>
            <w:tcBorders>
              <w:top w:val="nil"/>
              <w:left w:val="nil"/>
              <w:bottom w:val="nil"/>
              <w:right w:val="nil"/>
            </w:tcBorders>
            <w:shd w:val="clear" w:color="auto" w:fill="FFF2CC" w:themeFill="accent4" w:themeFillTint="33"/>
            <w:vAlign w:val="center"/>
            <w:hideMark/>
          </w:tcPr>
          <w:p w14:paraId="300DA800"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6F2D0D5" w14:textId="77777777" w:rsidR="00293F6D" w:rsidRDefault="00293F6D">
            <w:r>
              <w:t>(C) PA horiz RT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C424422" w14:textId="77777777" w:rsidR="00293F6D" w:rsidRDefault="00293F6D">
            <w:pPr>
              <w:jc w:val="center"/>
            </w:pPr>
            <w:r>
              <w:t>11.3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53CB481" w14:textId="77777777" w:rsidR="00293F6D" w:rsidRDefault="00293F6D">
            <w:pPr>
              <w:jc w:val="center"/>
            </w:pPr>
            <w:r>
              <w:t>24.3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4E57EEC" w14:textId="77777777" w:rsidR="00293F6D" w:rsidRDefault="00293F6D">
            <w:pPr>
              <w:jc w:val="center"/>
            </w:pPr>
            <w:r>
              <w:t>47.9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342F735" w14:textId="77777777" w:rsidR="00293F6D" w:rsidRDefault="00293F6D">
            <w:pPr>
              <w:jc w:val="center"/>
            </w:pPr>
            <w:r>
              <w:t>81.9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B126D11" w14:textId="77777777" w:rsidR="00293F6D" w:rsidRDefault="00293F6D">
            <w:pPr>
              <w:jc w:val="center"/>
            </w:pPr>
            <w:r>
              <w:t>6.2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CEF0396" w14:textId="77777777" w:rsidR="00293F6D" w:rsidRDefault="00293F6D">
            <w:pPr>
              <w:jc w:val="center"/>
            </w:pPr>
            <w:r>
              <w:t>9.6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8697D3E" w14:textId="77777777" w:rsidR="00293F6D" w:rsidRDefault="00293F6D">
            <w:pPr>
              <w:jc w:val="center"/>
            </w:pPr>
            <w:r>
              <w:t>25.7</w:t>
            </w:r>
          </w:p>
        </w:tc>
      </w:tr>
      <w:tr w:rsidR="00293F6D" w14:paraId="5E441746" w14:textId="77777777" w:rsidTr="00293F6D">
        <w:tc>
          <w:tcPr>
            <w:tcW w:w="0" w:type="auto"/>
            <w:vMerge/>
            <w:tcBorders>
              <w:top w:val="nil"/>
              <w:left w:val="nil"/>
              <w:bottom w:val="nil"/>
              <w:right w:val="nil"/>
            </w:tcBorders>
            <w:shd w:val="clear" w:color="auto" w:fill="FFF2CC" w:themeFill="accent4" w:themeFillTint="33"/>
            <w:vAlign w:val="center"/>
            <w:hideMark/>
          </w:tcPr>
          <w:p w14:paraId="75FF6F7A"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3649CB8" w14:textId="77777777" w:rsidR="00293F6D" w:rsidRDefault="00293F6D">
            <w:r>
              <w:t>(D) PA horiz LT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5DD335C" w14:textId="77777777" w:rsidR="00293F6D" w:rsidRDefault="00293F6D">
            <w:pPr>
              <w:jc w:val="center"/>
            </w:pPr>
            <w:r>
              <w:t>11.4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2081535" w14:textId="77777777" w:rsidR="00293F6D" w:rsidRDefault="00293F6D">
            <w:pPr>
              <w:jc w:val="center"/>
            </w:pPr>
            <w:r>
              <w:t>24.5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B226259" w14:textId="77777777" w:rsidR="00293F6D" w:rsidRDefault="00293F6D">
            <w:pPr>
              <w:jc w:val="center"/>
            </w:pPr>
            <w:r>
              <w:t>48.8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123F733" w14:textId="77777777" w:rsidR="00293F6D" w:rsidRDefault="00293F6D">
            <w:pPr>
              <w:jc w:val="center"/>
            </w:pPr>
            <w:r>
              <w:t>82.4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BCF5DEF" w14:textId="77777777" w:rsidR="00293F6D" w:rsidRDefault="00293F6D">
            <w:pPr>
              <w:jc w:val="center"/>
            </w:pPr>
            <w:r>
              <w:t>6.2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D535DC9" w14:textId="77777777" w:rsidR="00293F6D" w:rsidRDefault="00293F6D">
            <w:pPr>
              <w:jc w:val="center"/>
            </w:pPr>
            <w:r>
              <w:t>9.8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241B831" w14:textId="77777777" w:rsidR="00293F6D" w:rsidRDefault="00293F6D">
            <w:pPr>
              <w:jc w:val="center"/>
            </w:pPr>
            <w:r>
              <w:t>25.6</w:t>
            </w:r>
          </w:p>
        </w:tc>
      </w:tr>
      <w:tr w:rsidR="00293F6D" w14:paraId="136F15B4" w14:textId="77777777" w:rsidTr="00293F6D">
        <w:tc>
          <w:tcPr>
            <w:tcW w:w="0" w:type="auto"/>
            <w:vMerge/>
            <w:tcBorders>
              <w:top w:val="nil"/>
              <w:left w:val="nil"/>
              <w:bottom w:val="nil"/>
              <w:right w:val="nil"/>
            </w:tcBorders>
            <w:shd w:val="clear" w:color="auto" w:fill="FFF2CC" w:themeFill="accent4" w:themeFillTint="33"/>
            <w:vAlign w:val="center"/>
            <w:hideMark/>
          </w:tcPr>
          <w:p w14:paraId="753DD2C9"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FCC5A9C" w14:textId="77777777" w:rsidR="00293F6D" w:rsidRDefault="00293F6D">
            <w:r>
              <w:t>(E) PA VRT SUP</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DBCFA99" w14:textId="77777777" w:rsidR="00293F6D" w:rsidRDefault="00293F6D">
            <w:pPr>
              <w:jc w:val="center"/>
            </w:pPr>
            <w:r>
              <w:t>9.3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5E696F4" w14:textId="77777777" w:rsidR="00293F6D" w:rsidRDefault="00293F6D">
            <w:pPr>
              <w:jc w:val="center"/>
            </w:pPr>
            <w:r>
              <w:t>17.2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A39BA2C" w14:textId="77777777" w:rsidR="00293F6D" w:rsidRDefault="00293F6D">
            <w:pPr>
              <w:jc w:val="center"/>
            </w:pPr>
            <w:r>
              <w:t>47.1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3A81848" w14:textId="77777777" w:rsidR="00293F6D" w:rsidRDefault="00293F6D">
            <w:pPr>
              <w:jc w:val="center"/>
            </w:pPr>
            <w:r>
              <w:t>70.1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2B84406" w14:textId="77777777" w:rsidR="00293F6D" w:rsidRDefault="00293F6D">
            <w:pPr>
              <w:jc w:val="center"/>
            </w:pPr>
            <w:r>
              <w:t>3.3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21640B1" w14:textId="77777777" w:rsidR="00293F6D" w:rsidRDefault="00293F6D">
            <w:pPr>
              <w:jc w:val="center"/>
            </w:pPr>
            <w:r>
              <w:t>9.6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ABCAE14" w14:textId="77777777" w:rsidR="00293F6D" w:rsidRDefault="00293F6D">
            <w:pPr>
              <w:jc w:val="center"/>
            </w:pPr>
            <w:r>
              <w:t>17.8</w:t>
            </w:r>
          </w:p>
        </w:tc>
      </w:tr>
      <w:tr w:rsidR="00293F6D" w14:paraId="7E0A1F47" w14:textId="77777777" w:rsidTr="00293F6D">
        <w:tc>
          <w:tcPr>
            <w:tcW w:w="0" w:type="auto"/>
            <w:vMerge/>
            <w:tcBorders>
              <w:top w:val="nil"/>
              <w:left w:val="nil"/>
              <w:bottom w:val="nil"/>
              <w:right w:val="nil"/>
            </w:tcBorders>
            <w:shd w:val="clear" w:color="auto" w:fill="FFF2CC" w:themeFill="accent4" w:themeFillTint="33"/>
            <w:vAlign w:val="center"/>
            <w:hideMark/>
          </w:tcPr>
          <w:p w14:paraId="27A0451A"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A87BE73" w14:textId="77777777" w:rsidR="00293F6D" w:rsidRDefault="00293F6D">
            <w:r>
              <w:t>(F) PA Vert Center</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4A230F8" w14:textId="77777777" w:rsidR="00293F6D" w:rsidRDefault="00293F6D">
            <w:pPr>
              <w:jc w:val="center"/>
            </w:pPr>
            <w:r>
              <w:t>10.5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D3D8936" w14:textId="77777777" w:rsidR="00293F6D" w:rsidRDefault="00293F6D">
            <w:pPr>
              <w:jc w:val="center"/>
            </w:pPr>
            <w:r>
              <w:t>23.1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CC5C4C4" w14:textId="77777777" w:rsidR="00293F6D" w:rsidRDefault="00293F6D">
            <w:pPr>
              <w:jc w:val="center"/>
            </w:pPr>
            <w:r>
              <w:t>55.7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A1A7F9F" w14:textId="77777777" w:rsidR="00293F6D" w:rsidRDefault="00293F6D">
            <w:pPr>
              <w:jc w:val="center"/>
            </w:pPr>
            <w:r>
              <w:t>79.3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59EF0AB" w14:textId="77777777" w:rsidR="00293F6D" w:rsidRDefault="00293F6D">
            <w:pPr>
              <w:jc w:val="center"/>
            </w:pPr>
            <w:r>
              <w:t>5.5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D83BE58" w14:textId="77777777" w:rsidR="00293F6D" w:rsidRDefault="00293F6D">
            <w:pPr>
              <w:jc w:val="center"/>
            </w:pPr>
            <w:r>
              <w:t>11.0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229F0DC" w14:textId="77777777" w:rsidR="00293F6D" w:rsidRDefault="00293F6D">
            <w:pPr>
              <w:jc w:val="center"/>
            </w:pPr>
            <w:r>
              <w:t>18.7</w:t>
            </w:r>
          </w:p>
        </w:tc>
      </w:tr>
      <w:tr w:rsidR="00293F6D" w14:paraId="5439193C" w14:textId="77777777" w:rsidTr="00293F6D">
        <w:tc>
          <w:tcPr>
            <w:tcW w:w="0" w:type="auto"/>
            <w:vMerge/>
            <w:tcBorders>
              <w:top w:val="nil"/>
              <w:left w:val="nil"/>
              <w:bottom w:val="nil"/>
              <w:right w:val="nil"/>
            </w:tcBorders>
            <w:shd w:val="clear" w:color="auto" w:fill="FFF2CC" w:themeFill="accent4" w:themeFillTint="33"/>
            <w:vAlign w:val="center"/>
            <w:hideMark/>
          </w:tcPr>
          <w:p w14:paraId="655EF48E"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6D8DEE8" w14:textId="77777777" w:rsidR="00293F6D" w:rsidRDefault="00293F6D">
            <w:r>
              <w:t>(G) AP–PA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8EC0C4C" w14:textId="77777777" w:rsidR="00293F6D" w:rsidRDefault="00293F6D">
            <w:pPr>
              <w:jc w:val="center"/>
            </w:pPr>
            <w:r>
              <w:t>11.7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2A0AB49" w14:textId="77777777" w:rsidR="00293F6D" w:rsidRDefault="00293F6D">
            <w:pPr>
              <w:jc w:val="center"/>
            </w:pPr>
            <w:r>
              <w:t>25.3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8D7C3AC" w14:textId="77777777" w:rsidR="00293F6D" w:rsidRDefault="00293F6D">
            <w:pPr>
              <w:jc w:val="center"/>
            </w:pPr>
            <w:r>
              <w:t>49.8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87A6125" w14:textId="77777777" w:rsidR="00293F6D" w:rsidRDefault="00293F6D">
            <w:pPr>
              <w:jc w:val="center"/>
            </w:pPr>
            <w:r>
              <w:t>82.7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9EDA31A" w14:textId="77777777" w:rsidR="00293F6D" w:rsidRDefault="00293F6D">
            <w:pPr>
              <w:jc w:val="center"/>
            </w:pPr>
            <w:r>
              <w:t>6.5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C971467" w14:textId="77777777" w:rsidR="00293F6D" w:rsidRDefault="00293F6D">
            <w:pPr>
              <w:jc w:val="center"/>
            </w:pPr>
            <w:r>
              <w:t>9.9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AF6AC34" w14:textId="77777777" w:rsidR="00293F6D" w:rsidRDefault="00293F6D">
            <w:pPr>
              <w:jc w:val="center"/>
            </w:pPr>
            <w:r>
              <w:t>26.3</w:t>
            </w:r>
          </w:p>
        </w:tc>
      </w:tr>
      <w:tr w:rsidR="00293F6D" w14:paraId="6E1C73EB" w14:textId="77777777" w:rsidTr="00293F6D">
        <w:tc>
          <w:tcPr>
            <w:tcW w:w="0" w:type="auto"/>
            <w:vMerge w:val="restart"/>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D8A048A" w14:textId="77777777" w:rsidR="00293F6D" w:rsidRDefault="00293F6D">
            <w:r>
              <w:t>Cerebellum</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2DCF1A2" w14:textId="77777777" w:rsidR="00293F6D" w:rsidRDefault="00293F6D">
            <w:r>
              <w:t>(A) Supratentorial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12EA2FB" w14:textId="77777777" w:rsidR="00293F6D" w:rsidRDefault="00293F6D">
            <w:pPr>
              <w:jc w:val="center"/>
            </w:pPr>
            <w:r>
              <w:t>3.4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52F2377" w14:textId="77777777" w:rsidR="00293F6D" w:rsidRDefault="00293F6D">
            <w:pPr>
              <w:jc w:val="center"/>
            </w:pPr>
            <w:r>
              <w:t>0.0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C70737B" w14:textId="77777777" w:rsidR="00293F6D" w:rsidRDefault="00293F6D">
            <w:pPr>
              <w:jc w:val="center"/>
            </w:pPr>
            <w:r>
              <w:t>0.1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10B1B10" w14:textId="77777777" w:rsidR="00293F6D" w:rsidRDefault="00293F6D">
            <w:pPr>
              <w:jc w:val="center"/>
            </w:pPr>
            <w:r>
              <w:t>16.4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21A056F" w14:textId="77777777" w:rsidR="00293F6D" w:rsidRDefault="00293F6D">
            <w:pPr>
              <w:jc w:val="center"/>
            </w:pPr>
            <w:r>
              <w:t>2.0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B4F5E40" w14:textId="77777777" w:rsidR="00293F6D" w:rsidRDefault="00293F6D">
            <w:pPr>
              <w:jc w:val="center"/>
            </w:pPr>
            <w:r>
              <w:t>3.5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EDF7871" w14:textId="77777777" w:rsidR="00293F6D" w:rsidRDefault="00293F6D">
            <w:pPr>
              <w:jc w:val="center"/>
            </w:pPr>
            <w:r>
              <w:t>5.9</w:t>
            </w:r>
          </w:p>
        </w:tc>
      </w:tr>
      <w:tr w:rsidR="00293F6D" w14:paraId="2D98F52F" w14:textId="77777777" w:rsidTr="00293F6D">
        <w:tc>
          <w:tcPr>
            <w:tcW w:w="0" w:type="auto"/>
            <w:vMerge/>
            <w:tcBorders>
              <w:top w:val="nil"/>
              <w:left w:val="nil"/>
              <w:bottom w:val="nil"/>
              <w:right w:val="nil"/>
            </w:tcBorders>
            <w:shd w:val="clear" w:color="auto" w:fill="FFF2CC" w:themeFill="accent4" w:themeFillTint="33"/>
            <w:vAlign w:val="center"/>
            <w:hideMark/>
          </w:tcPr>
          <w:p w14:paraId="5497FBA6"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59E041E" w14:textId="77777777" w:rsidR="00293F6D" w:rsidRDefault="00293F6D">
            <w:r>
              <w:t>(B) 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A10D38D" w14:textId="77777777" w:rsidR="00293F6D" w:rsidRDefault="00293F6D">
            <w:pPr>
              <w:jc w:val="center"/>
            </w:pPr>
            <w:r>
              <w:t>11.4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290D490" w14:textId="77777777" w:rsidR="00293F6D" w:rsidRDefault="00293F6D">
            <w:pPr>
              <w:jc w:val="center"/>
            </w:pPr>
            <w:r>
              <w:t>28.1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9377A65" w14:textId="77777777" w:rsidR="00293F6D" w:rsidRDefault="00293F6D">
            <w:pPr>
              <w:jc w:val="center"/>
            </w:pPr>
            <w:r>
              <w:t>48.9</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05F45B1" w14:textId="77777777" w:rsidR="00293F6D" w:rsidRDefault="00293F6D">
            <w:pPr>
              <w:jc w:val="center"/>
            </w:pPr>
            <w:r>
              <w:t>73.5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2015858" w14:textId="77777777" w:rsidR="00293F6D" w:rsidRDefault="00293F6D">
            <w:pPr>
              <w:jc w:val="center"/>
            </w:pPr>
            <w:r>
              <w:t>4.7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8A6CE8F" w14:textId="77777777" w:rsidR="00293F6D" w:rsidRDefault="00293F6D">
            <w:pPr>
              <w:jc w:val="center"/>
            </w:pPr>
            <w:r>
              <w:t>9.8</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24F0C56" w14:textId="77777777" w:rsidR="00293F6D" w:rsidRDefault="00293F6D">
            <w:pPr>
              <w:jc w:val="center"/>
            </w:pPr>
            <w:r>
              <w:t>26.0</w:t>
            </w:r>
          </w:p>
        </w:tc>
      </w:tr>
      <w:tr w:rsidR="00293F6D" w14:paraId="28E68B41" w14:textId="77777777" w:rsidTr="00293F6D">
        <w:tc>
          <w:tcPr>
            <w:tcW w:w="0" w:type="auto"/>
            <w:vMerge/>
            <w:tcBorders>
              <w:top w:val="nil"/>
              <w:left w:val="nil"/>
              <w:bottom w:val="nil"/>
              <w:right w:val="nil"/>
            </w:tcBorders>
            <w:shd w:val="clear" w:color="auto" w:fill="FFF2CC" w:themeFill="accent4" w:themeFillTint="33"/>
            <w:vAlign w:val="center"/>
            <w:hideMark/>
          </w:tcPr>
          <w:p w14:paraId="6002CE44"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6AFE782" w14:textId="77777777" w:rsidR="00293F6D" w:rsidRDefault="00293F6D">
            <w:r>
              <w:t>(C) PA horiz RT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5515A25" w14:textId="77777777" w:rsidR="00293F6D" w:rsidRDefault="00293F6D">
            <w:pPr>
              <w:jc w:val="center"/>
            </w:pPr>
            <w:r>
              <w:t>11.1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CFBF0D8" w14:textId="77777777" w:rsidR="00293F6D" w:rsidRDefault="00293F6D">
            <w:pPr>
              <w:jc w:val="center"/>
            </w:pPr>
            <w:r>
              <w:t>26.6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853592D" w14:textId="77777777" w:rsidR="00293F6D" w:rsidRDefault="00293F6D">
            <w:pPr>
              <w:jc w:val="center"/>
            </w:pPr>
            <w:r>
              <w:t>47.5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090CA80" w14:textId="77777777" w:rsidR="00293F6D" w:rsidRDefault="00293F6D">
            <w:pPr>
              <w:jc w:val="center"/>
            </w:pPr>
            <w:r>
              <w:t>73.2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DB537FD" w14:textId="77777777" w:rsidR="00293F6D" w:rsidRDefault="00293F6D">
            <w:pPr>
              <w:jc w:val="center"/>
            </w:pPr>
            <w:r>
              <w:t>4.6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C31B430" w14:textId="77777777" w:rsidR="00293F6D" w:rsidRDefault="00293F6D">
            <w:pPr>
              <w:jc w:val="center"/>
            </w:pPr>
            <w:r>
              <w:t>9.5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9DA5B1F" w14:textId="77777777" w:rsidR="00293F6D" w:rsidRDefault="00293F6D">
            <w:pPr>
              <w:jc w:val="center"/>
            </w:pPr>
            <w:r>
              <w:t>25.6</w:t>
            </w:r>
          </w:p>
        </w:tc>
      </w:tr>
      <w:tr w:rsidR="00293F6D" w14:paraId="23391B37" w14:textId="77777777" w:rsidTr="00293F6D">
        <w:tc>
          <w:tcPr>
            <w:tcW w:w="0" w:type="auto"/>
            <w:vMerge/>
            <w:tcBorders>
              <w:top w:val="nil"/>
              <w:left w:val="nil"/>
              <w:bottom w:val="nil"/>
              <w:right w:val="nil"/>
            </w:tcBorders>
            <w:shd w:val="clear" w:color="auto" w:fill="FFF2CC" w:themeFill="accent4" w:themeFillTint="33"/>
            <w:vAlign w:val="center"/>
            <w:hideMark/>
          </w:tcPr>
          <w:p w14:paraId="2F791208"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2B59971" w14:textId="77777777" w:rsidR="00293F6D" w:rsidRDefault="00293F6D">
            <w:r>
              <w:t>(D) PA horiz LT</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BCC6A68" w14:textId="77777777" w:rsidR="00293F6D" w:rsidRDefault="00293F6D">
            <w:pPr>
              <w:jc w:val="center"/>
            </w:pPr>
            <w:r>
              <w:t>11.1</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C1ACFE8" w14:textId="77777777" w:rsidR="00293F6D" w:rsidRDefault="00293F6D">
            <w:pPr>
              <w:jc w:val="center"/>
            </w:pPr>
            <w:r>
              <w:t>26.4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BA6ACA0" w14:textId="77777777" w:rsidR="00293F6D" w:rsidRDefault="00293F6D">
            <w:pPr>
              <w:jc w:val="center"/>
            </w:pPr>
            <w:r>
              <w:t>48.2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43982EA" w14:textId="77777777" w:rsidR="00293F6D" w:rsidRDefault="00293F6D">
            <w:pPr>
              <w:jc w:val="center"/>
            </w:pPr>
            <w:r>
              <w:t>73.3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6D603088" w14:textId="77777777" w:rsidR="00293F6D" w:rsidRDefault="00293F6D">
            <w:pPr>
              <w:jc w:val="center"/>
            </w:pPr>
            <w:r>
              <w:t>4.7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E32D655" w14:textId="77777777" w:rsidR="00293F6D" w:rsidRDefault="00293F6D">
            <w:pPr>
              <w:jc w:val="center"/>
            </w:pPr>
            <w:r>
              <w:t>9.7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F553759" w14:textId="77777777" w:rsidR="00293F6D" w:rsidRDefault="00293F6D">
            <w:pPr>
              <w:jc w:val="center"/>
            </w:pPr>
            <w:r>
              <w:t>25.5</w:t>
            </w:r>
          </w:p>
        </w:tc>
      </w:tr>
      <w:tr w:rsidR="00293F6D" w14:paraId="12188CF3" w14:textId="77777777" w:rsidTr="00293F6D">
        <w:tc>
          <w:tcPr>
            <w:tcW w:w="0" w:type="auto"/>
            <w:vMerge/>
            <w:tcBorders>
              <w:top w:val="nil"/>
              <w:left w:val="nil"/>
              <w:bottom w:val="nil"/>
              <w:right w:val="nil"/>
            </w:tcBorders>
            <w:shd w:val="clear" w:color="auto" w:fill="FFF2CC" w:themeFill="accent4" w:themeFillTint="33"/>
            <w:vAlign w:val="center"/>
            <w:hideMark/>
          </w:tcPr>
          <w:p w14:paraId="60D5C433"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3D4D3B7" w14:textId="77777777" w:rsidR="00293F6D" w:rsidRDefault="00293F6D">
            <w:r>
              <w:t>(E) PA VRT SUP</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6CAB846" w14:textId="77777777" w:rsidR="00293F6D" w:rsidRDefault="00293F6D">
            <w:pPr>
              <w:jc w:val="center"/>
            </w:pPr>
            <w:r>
              <w:t>6.5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A0C1005" w14:textId="77777777" w:rsidR="00293F6D" w:rsidRDefault="00293F6D">
            <w:pPr>
              <w:jc w:val="center"/>
            </w:pPr>
            <w:r>
              <w:t>5.5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BCF91AB" w14:textId="77777777" w:rsidR="00293F6D" w:rsidRDefault="00293F6D">
            <w:pPr>
              <w:jc w:val="center"/>
            </w:pPr>
            <w:r>
              <w:t>20.2</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25141EB8" w14:textId="77777777" w:rsidR="00293F6D" w:rsidRDefault="00293F6D">
            <w:pPr>
              <w:jc w:val="center"/>
            </w:pPr>
            <w:r>
              <w:t>54.0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FEB4B45" w14:textId="77777777" w:rsidR="00293F6D" w:rsidRDefault="00293F6D">
            <w:pPr>
              <w:jc w:val="center"/>
            </w:pPr>
            <w:r>
              <w:t>2.5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0B3420C" w14:textId="77777777" w:rsidR="00293F6D" w:rsidRDefault="00293F6D">
            <w:pPr>
              <w:jc w:val="center"/>
            </w:pPr>
            <w:r>
              <w:t>5.7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7F9B81B" w14:textId="77777777" w:rsidR="00293F6D" w:rsidRDefault="00293F6D">
            <w:pPr>
              <w:jc w:val="center"/>
            </w:pPr>
            <w:r>
              <w:t>15.3</w:t>
            </w:r>
          </w:p>
        </w:tc>
      </w:tr>
      <w:tr w:rsidR="00293F6D" w14:paraId="3F6EA45D" w14:textId="77777777" w:rsidTr="00293F6D">
        <w:tc>
          <w:tcPr>
            <w:tcW w:w="0" w:type="auto"/>
            <w:vMerge/>
            <w:tcBorders>
              <w:top w:val="nil"/>
              <w:left w:val="nil"/>
              <w:bottom w:val="nil"/>
              <w:right w:val="nil"/>
            </w:tcBorders>
            <w:shd w:val="clear" w:color="auto" w:fill="FFF2CC" w:themeFill="accent4" w:themeFillTint="33"/>
            <w:vAlign w:val="center"/>
            <w:hideMark/>
          </w:tcPr>
          <w:p w14:paraId="52E3EF0A"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D562548" w14:textId="77777777" w:rsidR="00293F6D" w:rsidRDefault="00293F6D">
            <w:r>
              <w:t>(F) PA Vert Center</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3CE0FC0B" w14:textId="77777777" w:rsidR="00293F6D" w:rsidRDefault="00293F6D">
            <w:pPr>
              <w:jc w:val="center"/>
            </w:pPr>
            <w:r>
              <w:t>8.4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E321760" w14:textId="77777777" w:rsidR="00293F6D" w:rsidRDefault="00293F6D">
            <w:pPr>
              <w:jc w:val="center"/>
            </w:pPr>
            <w:r>
              <w:t>14.0</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2B78E80" w14:textId="77777777" w:rsidR="00293F6D" w:rsidRDefault="00293F6D">
            <w:pPr>
              <w:jc w:val="center"/>
            </w:pPr>
            <w:r>
              <w:t>36.4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6E2890F" w14:textId="77777777" w:rsidR="00293F6D" w:rsidRDefault="00293F6D">
            <w:pPr>
              <w:jc w:val="center"/>
            </w:pPr>
            <w:r>
              <w:t>64.6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BB0E602" w14:textId="77777777" w:rsidR="00293F6D" w:rsidRDefault="00293F6D">
            <w:pPr>
              <w:jc w:val="center"/>
            </w:pPr>
            <w:r>
              <w:t>3.6</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C74B83C" w14:textId="77777777" w:rsidR="00293F6D" w:rsidRDefault="00293F6D">
            <w:pPr>
              <w:jc w:val="center"/>
            </w:pPr>
            <w:r>
              <w:t>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4CCCA04" w14:textId="77777777" w:rsidR="00293F6D" w:rsidRDefault="00293F6D">
            <w:pPr>
              <w:jc w:val="center"/>
            </w:pPr>
            <w:r>
              <w:t>17.8</w:t>
            </w:r>
          </w:p>
        </w:tc>
      </w:tr>
      <w:tr w:rsidR="00293F6D" w14:paraId="5FC0A5D3" w14:textId="77777777" w:rsidTr="00293F6D">
        <w:tc>
          <w:tcPr>
            <w:tcW w:w="0" w:type="auto"/>
            <w:vMerge/>
            <w:tcBorders>
              <w:top w:val="nil"/>
              <w:left w:val="nil"/>
              <w:bottom w:val="nil"/>
              <w:right w:val="nil"/>
            </w:tcBorders>
            <w:shd w:val="clear" w:color="auto" w:fill="FFF2CC" w:themeFill="accent4" w:themeFillTint="33"/>
            <w:vAlign w:val="center"/>
            <w:hideMark/>
          </w:tcPr>
          <w:p w14:paraId="12A4645F" w14:textId="77777777" w:rsidR="00293F6D" w:rsidRDefault="00293F6D">
            <w:pPr>
              <w:rPr>
                <w:sz w:val="24"/>
                <w:szCs w:val="24"/>
              </w:rPr>
            </w:pP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47AB4928" w14:textId="77777777" w:rsidR="00293F6D" w:rsidRDefault="00293F6D">
            <w:r>
              <w:t>(G) AP–PA horizontal</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112269A9" w14:textId="77777777" w:rsidR="00293F6D" w:rsidRDefault="00293F6D">
            <w:pPr>
              <w:jc w:val="center"/>
            </w:pPr>
            <w:r>
              <w:t>11.3</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03C41F9" w14:textId="77777777" w:rsidR="00293F6D" w:rsidRDefault="00293F6D">
            <w:pPr>
              <w:jc w:val="center"/>
            </w:pPr>
            <w:r>
              <w:t>27.5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2BBD588" w14:textId="77777777" w:rsidR="00293F6D" w:rsidRDefault="00293F6D">
            <w:pPr>
              <w:jc w:val="center"/>
            </w:pPr>
            <w:r>
              <w:t>48.5</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0AFBA7CA" w14:textId="77777777" w:rsidR="00293F6D" w:rsidRDefault="00293F6D">
            <w:pPr>
              <w:jc w:val="center"/>
            </w:pPr>
            <w:r>
              <w:t>73.4</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73609AA4" w14:textId="77777777" w:rsidR="00293F6D" w:rsidRDefault="00293F6D">
            <w:pPr>
              <w:jc w:val="center"/>
            </w:pPr>
            <w:r>
              <w:t>4.7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C197080" w14:textId="77777777" w:rsidR="00293F6D" w:rsidRDefault="00293F6D">
            <w:pPr>
              <w:jc w:val="center"/>
            </w:pPr>
            <w:r>
              <w:t>9.7</w:t>
            </w:r>
          </w:p>
        </w:tc>
        <w:tc>
          <w:tcPr>
            <w:tcW w:w="0" w:type="auto"/>
            <w:tcBorders>
              <w:top w:val="nil"/>
              <w:left w:val="nil"/>
              <w:bottom w:val="nil"/>
              <w:right w:val="nil"/>
            </w:tcBorders>
            <w:shd w:val="clear" w:color="auto" w:fill="FFF2CC" w:themeFill="accent4" w:themeFillTint="33"/>
            <w:tcMar>
              <w:top w:w="48" w:type="dxa"/>
              <w:left w:w="96" w:type="dxa"/>
              <w:bottom w:w="48" w:type="dxa"/>
              <w:right w:w="96" w:type="dxa"/>
            </w:tcMar>
            <w:vAlign w:val="center"/>
            <w:hideMark/>
          </w:tcPr>
          <w:p w14:paraId="56FDC021" w14:textId="77777777" w:rsidR="00293F6D" w:rsidRDefault="00293F6D">
            <w:pPr>
              <w:jc w:val="center"/>
            </w:pPr>
            <w:r>
              <w:t>25.7</w:t>
            </w:r>
          </w:p>
        </w:tc>
      </w:tr>
    </w:tbl>
    <w:p w14:paraId="5BD68E01" w14:textId="4E700A81" w:rsidR="00011FB9" w:rsidRDefault="00535D57">
      <w:r>
        <w:rPr>
          <w:noProof/>
        </w:rPr>
        <w:lastRenderedPageBreak/>
        <w:drawing>
          <wp:inline distT="0" distB="0" distL="0" distR="0" wp14:anchorId="3B4FE156" wp14:editId="3970F892">
            <wp:extent cx="6858000" cy="5019675"/>
            <wp:effectExtent l="0" t="0" r="0" b="9525"/>
            <wp:docPr id="132177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71686" name=""/>
                    <pic:cNvPicPr/>
                  </pic:nvPicPr>
                  <pic:blipFill>
                    <a:blip r:embed="rId39"/>
                    <a:stretch>
                      <a:fillRect/>
                    </a:stretch>
                  </pic:blipFill>
                  <pic:spPr>
                    <a:xfrm>
                      <a:off x="0" y="0"/>
                      <a:ext cx="6858000" cy="5019675"/>
                    </a:xfrm>
                    <a:prstGeom prst="rect">
                      <a:avLst/>
                    </a:prstGeom>
                  </pic:spPr>
                </pic:pic>
              </a:graphicData>
            </a:graphic>
          </wp:inline>
        </w:drawing>
      </w:r>
    </w:p>
    <w:p w14:paraId="13C6E32E" w14:textId="77777777" w:rsidR="00535D57" w:rsidRPr="00535D57" w:rsidRDefault="00535D57" w:rsidP="00535D57">
      <w:pPr>
        <w:shd w:val="clear" w:color="auto" w:fill="FFFCF0"/>
        <w:spacing w:after="0" w:line="240" w:lineRule="auto"/>
        <w:rPr>
          <w:rFonts w:ascii="Cambria" w:eastAsia="Times New Roman" w:hAnsi="Cambria" w:cs="Times New Roman"/>
          <w:color w:val="333333"/>
          <w:kern w:val="0"/>
          <w:sz w:val="24"/>
          <w:szCs w:val="24"/>
          <w14:ligatures w14:val="none"/>
        </w:rPr>
      </w:pPr>
      <w:hyperlink r:id="rId40" w:tgtFrame="figure" w:history="1">
        <w:r w:rsidRPr="00535D57">
          <w:rPr>
            <w:rFonts w:ascii="Cambria" w:eastAsia="Times New Roman" w:hAnsi="Cambria" w:cs="Times New Roman"/>
            <w:color w:val="376FAA"/>
            <w:kern w:val="0"/>
            <w:sz w:val="24"/>
            <w:szCs w:val="24"/>
            <w:u w:val="single"/>
            <w14:ligatures w14:val="none"/>
          </w:rPr>
          <w:t>Fig. 3</w:t>
        </w:r>
      </w:hyperlink>
    </w:p>
    <w:p w14:paraId="50060EF6" w14:textId="77777777" w:rsidR="00535D57" w:rsidRPr="00535D57" w:rsidRDefault="00535D57" w:rsidP="00535D57">
      <w:pPr>
        <w:shd w:val="clear" w:color="auto" w:fill="FFFCF0"/>
        <w:spacing w:after="0" w:line="240" w:lineRule="auto"/>
        <w:rPr>
          <w:rFonts w:ascii="Cambria" w:eastAsia="Times New Roman" w:hAnsi="Cambria" w:cs="Times New Roman"/>
          <w:color w:val="333333"/>
          <w:kern w:val="0"/>
          <w:sz w:val="24"/>
          <w:szCs w:val="24"/>
          <w14:ligatures w14:val="none"/>
        </w:rPr>
      </w:pPr>
      <w:r w:rsidRPr="00535D57">
        <w:rPr>
          <w:rFonts w:ascii="Cambria" w:eastAsia="Times New Roman" w:hAnsi="Cambria" w:cs="Times New Roman"/>
          <w:color w:val="333333"/>
          <w:kern w:val="0"/>
          <w:sz w:val="24"/>
          <w:szCs w:val="24"/>
          <w14:ligatures w14:val="none"/>
        </w:rPr>
        <w:t>EVH and SARVH generated from the various array configurations for GTV and cerebellum. </w:t>
      </w:r>
      <w:r w:rsidRPr="00535D57">
        <w:rPr>
          <w:rFonts w:ascii="Cambria" w:eastAsia="Times New Roman" w:hAnsi="Cambria" w:cs="Times New Roman"/>
          <w:b/>
          <w:bCs/>
          <w:color w:val="333333"/>
          <w:kern w:val="0"/>
          <w:sz w:val="24"/>
          <w:szCs w:val="24"/>
          <w14:ligatures w14:val="none"/>
        </w:rPr>
        <w:t>a</w:t>
      </w:r>
      <w:r w:rsidRPr="00535D57">
        <w:rPr>
          <w:rFonts w:ascii="Cambria" w:eastAsia="Times New Roman" w:hAnsi="Cambria" w:cs="Times New Roman"/>
          <w:color w:val="333333"/>
          <w:kern w:val="0"/>
          <w:sz w:val="24"/>
          <w:szCs w:val="24"/>
          <w14:ligatures w14:val="none"/>
        </w:rPr>
        <w:t> EVH of the GTV for the various array configurations. </w:t>
      </w:r>
      <w:r w:rsidRPr="00535D57">
        <w:rPr>
          <w:rFonts w:ascii="Cambria" w:eastAsia="Times New Roman" w:hAnsi="Cambria" w:cs="Times New Roman"/>
          <w:b/>
          <w:bCs/>
          <w:color w:val="333333"/>
          <w:kern w:val="0"/>
          <w:sz w:val="24"/>
          <w:szCs w:val="24"/>
          <w14:ligatures w14:val="none"/>
        </w:rPr>
        <w:t>b</w:t>
      </w:r>
      <w:r w:rsidRPr="00535D57">
        <w:rPr>
          <w:rFonts w:ascii="Cambria" w:eastAsia="Times New Roman" w:hAnsi="Cambria" w:cs="Times New Roman"/>
          <w:color w:val="333333"/>
          <w:kern w:val="0"/>
          <w:sz w:val="24"/>
          <w:szCs w:val="24"/>
          <w14:ligatures w14:val="none"/>
        </w:rPr>
        <w:t> CDVH of the GTV for the various array configurations. </w:t>
      </w:r>
      <w:r w:rsidRPr="00535D57">
        <w:rPr>
          <w:rFonts w:ascii="Cambria" w:eastAsia="Times New Roman" w:hAnsi="Cambria" w:cs="Times New Roman"/>
          <w:b/>
          <w:bCs/>
          <w:color w:val="333333"/>
          <w:kern w:val="0"/>
          <w:sz w:val="24"/>
          <w:szCs w:val="24"/>
          <w14:ligatures w14:val="none"/>
        </w:rPr>
        <w:t>c</w:t>
      </w:r>
      <w:r w:rsidRPr="00535D57">
        <w:rPr>
          <w:rFonts w:ascii="Cambria" w:eastAsia="Times New Roman" w:hAnsi="Cambria" w:cs="Times New Roman"/>
          <w:color w:val="333333"/>
          <w:kern w:val="0"/>
          <w:sz w:val="24"/>
          <w:szCs w:val="24"/>
          <w14:ligatures w14:val="none"/>
        </w:rPr>
        <w:t> EVH of the cerebellum for the various array configurations. </w:t>
      </w:r>
      <w:r w:rsidRPr="00535D57">
        <w:rPr>
          <w:rFonts w:ascii="Cambria" w:eastAsia="Times New Roman" w:hAnsi="Cambria" w:cs="Times New Roman"/>
          <w:b/>
          <w:bCs/>
          <w:color w:val="333333"/>
          <w:kern w:val="0"/>
          <w:sz w:val="24"/>
          <w:szCs w:val="24"/>
          <w14:ligatures w14:val="none"/>
        </w:rPr>
        <w:t>d</w:t>
      </w:r>
      <w:r w:rsidRPr="00535D57">
        <w:rPr>
          <w:rFonts w:ascii="Cambria" w:eastAsia="Times New Roman" w:hAnsi="Cambria" w:cs="Times New Roman"/>
          <w:color w:val="333333"/>
          <w:kern w:val="0"/>
          <w:sz w:val="24"/>
          <w:szCs w:val="24"/>
          <w14:ligatures w14:val="none"/>
        </w:rPr>
        <w:t> CDVH of the cerebellum for the various array configurations</w:t>
      </w:r>
    </w:p>
    <w:p w14:paraId="5A609EA5"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In contrast, of the 6 alternative array configurations modeled, the arrangement that provided the largest increase in field coverage at the GTV was observed when the PA array was positioned centrally along the patient’s posterior neck and horizontally parallel, along the longer axis of the array, to the axial plane of the head, or the PA</w:t>
      </w:r>
      <w:r>
        <w:rPr>
          <w:rFonts w:ascii="Cambria" w:hAnsi="Cambria"/>
          <w:color w:val="212121"/>
          <w:sz w:val="23"/>
          <w:szCs w:val="23"/>
          <w:vertAlign w:val="subscript"/>
        </w:rPr>
        <w:t>Horizontal</w:t>
      </w:r>
      <w:r>
        <w:rPr>
          <w:rFonts w:ascii="Cambria" w:hAnsi="Cambria"/>
          <w:color w:val="212121"/>
          <w:sz w:val="30"/>
          <w:szCs w:val="30"/>
        </w:rPr>
        <w:t> configuration (Fig. </w:t>
      </w:r>
      <w:hyperlink r:id="rId41" w:tgtFrame="figure" w:history="1">
        <w:r>
          <w:rPr>
            <w:rStyle w:val="Hyperlink"/>
            <w:rFonts w:ascii="Cambria" w:hAnsi="Cambria"/>
            <w:color w:val="376FAA"/>
            <w:sz w:val="30"/>
            <w:szCs w:val="30"/>
          </w:rPr>
          <w:t>1</w:t>
        </w:r>
      </w:hyperlink>
      <w:r>
        <w:rPr>
          <w:rFonts w:ascii="Cambria" w:hAnsi="Cambria"/>
          <w:color w:val="212121"/>
          <w:sz w:val="30"/>
          <w:szCs w:val="30"/>
        </w:rPr>
        <w:t>b). This configuration yielded an E</w:t>
      </w:r>
      <w:r>
        <w:rPr>
          <w:rFonts w:ascii="Cambria" w:hAnsi="Cambria"/>
          <w:color w:val="212121"/>
          <w:sz w:val="23"/>
          <w:szCs w:val="23"/>
          <w:vertAlign w:val="subscript"/>
        </w:rPr>
        <w:t>AUC</w:t>
      </w:r>
      <w:r>
        <w:rPr>
          <w:rFonts w:ascii="Cambria" w:hAnsi="Cambria"/>
          <w:color w:val="212121"/>
          <w:sz w:val="30"/>
          <w:szCs w:val="30"/>
        </w:rPr>
        <w:t> of 41.0 versus an E</w:t>
      </w:r>
      <w:r>
        <w:rPr>
          <w:rFonts w:ascii="Cambria" w:hAnsi="Cambria"/>
          <w:color w:val="212121"/>
          <w:sz w:val="23"/>
          <w:szCs w:val="23"/>
          <w:vertAlign w:val="subscript"/>
        </w:rPr>
        <w:t>AUC</w:t>
      </w:r>
      <w:r>
        <w:rPr>
          <w:rFonts w:ascii="Cambria" w:hAnsi="Cambria"/>
          <w:color w:val="212121"/>
          <w:sz w:val="30"/>
          <w:szCs w:val="30"/>
        </w:rPr>
        <w:t> of 26.4 V/m in the supratentorial configuration (Fig. </w:t>
      </w:r>
      <w:hyperlink r:id="rId42" w:tgtFrame="figure" w:history="1">
        <w:r>
          <w:rPr>
            <w:rStyle w:val="Hyperlink"/>
            <w:rFonts w:ascii="Cambria" w:hAnsi="Cambria"/>
            <w:color w:val="376FAA"/>
            <w:sz w:val="30"/>
            <w:szCs w:val="30"/>
          </w:rPr>
          <w:t>3</w:t>
        </w:r>
      </w:hyperlink>
      <w:r>
        <w:rPr>
          <w:rFonts w:ascii="Cambria" w:hAnsi="Cambria"/>
          <w:color w:val="212121"/>
          <w:sz w:val="30"/>
          <w:szCs w:val="30"/>
        </w:rPr>
        <w:t>a and Table </w:t>
      </w:r>
      <w:hyperlink r:id="rId43"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or a 55.2% increase in overall electric field coverage. Similarly, this configuration produced a 36.3% increase in E</w:t>
      </w:r>
      <w:r>
        <w:rPr>
          <w:rFonts w:ascii="Cambria" w:hAnsi="Cambria"/>
          <w:color w:val="212121"/>
          <w:sz w:val="23"/>
          <w:szCs w:val="23"/>
          <w:vertAlign w:val="subscript"/>
        </w:rPr>
        <w:t>50%</w:t>
      </w:r>
      <w:r>
        <w:rPr>
          <w:rFonts w:ascii="Cambria" w:hAnsi="Cambria"/>
          <w:color w:val="212121"/>
          <w:sz w:val="30"/>
          <w:szCs w:val="30"/>
        </w:rPr>
        <w:t>, 38.1 versus 28.0 V/m (Fig. </w:t>
      </w:r>
      <w:hyperlink r:id="rId44" w:tgtFrame="figure" w:history="1">
        <w:r>
          <w:rPr>
            <w:rStyle w:val="Hyperlink"/>
            <w:rFonts w:ascii="Cambria" w:hAnsi="Cambria"/>
            <w:color w:val="376FAA"/>
            <w:sz w:val="30"/>
            <w:szCs w:val="30"/>
          </w:rPr>
          <w:t>3</w:t>
        </w:r>
      </w:hyperlink>
      <w:r>
        <w:rPr>
          <w:rFonts w:ascii="Cambria" w:hAnsi="Cambria"/>
          <w:color w:val="212121"/>
          <w:sz w:val="30"/>
          <w:szCs w:val="30"/>
        </w:rPr>
        <w:t>a and Table </w:t>
      </w:r>
      <w:hyperlink r:id="rId45"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respectively. Interestingly, the highest median electric field intensity within the GTV (42.3 V/m) was observed in the PA</w:t>
      </w:r>
      <w:r>
        <w:rPr>
          <w:rFonts w:ascii="Cambria" w:hAnsi="Cambria"/>
          <w:color w:val="212121"/>
          <w:sz w:val="23"/>
          <w:szCs w:val="23"/>
          <w:vertAlign w:val="subscript"/>
        </w:rPr>
        <w:t>Vertical-Center</w:t>
      </w:r>
      <w:r>
        <w:rPr>
          <w:rFonts w:ascii="Cambria" w:hAnsi="Cambria"/>
          <w:color w:val="212121"/>
          <w:sz w:val="30"/>
          <w:szCs w:val="30"/>
        </w:rPr>
        <w:t> configuration. Likewise, the PA</w:t>
      </w:r>
      <w:r>
        <w:rPr>
          <w:rFonts w:ascii="Cambria" w:hAnsi="Cambria"/>
          <w:color w:val="212121"/>
          <w:sz w:val="23"/>
          <w:szCs w:val="23"/>
          <w:vertAlign w:val="subscript"/>
        </w:rPr>
        <w:t>Horizontal</w:t>
      </w:r>
      <w:r>
        <w:rPr>
          <w:rFonts w:ascii="Cambria" w:hAnsi="Cambria"/>
          <w:color w:val="212121"/>
          <w:sz w:val="30"/>
          <w:szCs w:val="30"/>
        </w:rPr>
        <w:t> configuration had a 50.3% increase in overall current density CD</w:t>
      </w:r>
      <w:r>
        <w:rPr>
          <w:rFonts w:ascii="Cambria" w:hAnsi="Cambria"/>
          <w:color w:val="212121"/>
          <w:sz w:val="23"/>
          <w:szCs w:val="23"/>
          <w:vertAlign w:val="subscript"/>
        </w:rPr>
        <w:t>AUC</w:t>
      </w:r>
      <w:r>
        <w:rPr>
          <w:rFonts w:ascii="Cambria" w:hAnsi="Cambria"/>
          <w:color w:val="212121"/>
          <w:sz w:val="30"/>
          <w:szCs w:val="30"/>
        </w:rPr>
        <w:t xml:space="preserve"> when compared to the supratentorial configuration, 11.6 versus </w:t>
      </w:r>
      <w:r>
        <w:rPr>
          <w:rFonts w:ascii="Cambria" w:hAnsi="Cambria"/>
          <w:color w:val="212121"/>
          <w:sz w:val="30"/>
          <w:szCs w:val="30"/>
        </w:rPr>
        <w:lastRenderedPageBreak/>
        <w:t>7.7 A/m</w:t>
      </w:r>
      <w:r>
        <w:rPr>
          <w:rFonts w:ascii="Cambria" w:hAnsi="Cambria"/>
          <w:color w:val="212121"/>
          <w:sz w:val="23"/>
          <w:szCs w:val="23"/>
          <w:vertAlign w:val="superscript"/>
        </w:rPr>
        <w:t>2</w:t>
      </w:r>
      <w:r>
        <w:rPr>
          <w:rFonts w:ascii="Cambria" w:hAnsi="Cambria"/>
          <w:color w:val="212121"/>
          <w:sz w:val="30"/>
          <w:szCs w:val="30"/>
        </w:rPr>
        <w:t> (Fig. </w:t>
      </w:r>
      <w:hyperlink r:id="rId46" w:tgtFrame="figure" w:history="1">
        <w:r>
          <w:rPr>
            <w:rStyle w:val="Hyperlink"/>
            <w:rFonts w:ascii="Cambria" w:hAnsi="Cambria"/>
            <w:color w:val="376FAA"/>
            <w:sz w:val="30"/>
            <w:szCs w:val="30"/>
          </w:rPr>
          <w:t>3</w:t>
        </w:r>
      </w:hyperlink>
      <w:r>
        <w:rPr>
          <w:rFonts w:ascii="Cambria" w:hAnsi="Cambria"/>
          <w:color w:val="212121"/>
          <w:sz w:val="30"/>
          <w:szCs w:val="30"/>
        </w:rPr>
        <w:t>b and Table </w:t>
      </w:r>
      <w:hyperlink r:id="rId47"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respectively. The CD</w:t>
      </w:r>
      <w:r>
        <w:rPr>
          <w:rFonts w:ascii="Cambria" w:hAnsi="Cambria"/>
          <w:color w:val="212121"/>
          <w:sz w:val="23"/>
          <w:szCs w:val="23"/>
          <w:vertAlign w:val="subscript"/>
        </w:rPr>
        <w:t>50%</w:t>
      </w:r>
      <w:r>
        <w:rPr>
          <w:rFonts w:ascii="Cambria" w:hAnsi="Cambria"/>
          <w:color w:val="212121"/>
          <w:sz w:val="30"/>
          <w:szCs w:val="30"/>
        </w:rPr>
        <w:t> for the PA</w:t>
      </w:r>
      <w:r>
        <w:rPr>
          <w:rFonts w:ascii="Cambria" w:hAnsi="Cambria"/>
          <w:color w:val="212121"/>
          <w:sz w:val="23"/>
          <w:szCs w:val="23"/>
          <w:vertAlign w:val="subscript"/>
        </w:rPr>
        <w:t>Horizontal</w:t>
      </w:r>
      <w:r>
        <w:rPr>
          <w:rFonts w:ascii="Cambria" w:hAnsi="Cambria"/>
          <w:color w:val="212121"/>
          <w:sz w:val="30"/>
          <w:szCs w:val="30"/>
        </w:rPr>
        <w:t> configuration was 10.0 A/m</w:t>
      </w:r>
      <w:r>
        <w:rPr>
          <w:rFonts w:ascii="Cambria" w:hAnsi="Cambria"/>
          <w:color w:val="212121"/>
          <w:sz w:val="23"/>
          <w:szCs w:val="23"/>
          <w:vertAlign w:val="superscript"/>
        </w:rPr>
        <w:t>2</w:t>
      </w:r>
      <w:r>
        <w:rPr>
          <w:rFonts w:ascii="Cambria" w:hAnsi="Cambria"/>
          <w:color w:val="212121"/>
          <w:sz w:val="30"/>
          <w:szCs w:val="30"/>
        </w:rPr>
        <w:t> while the CD</w:t>
      </w:r>
      <w:r>
        <w:rPr>
          <w:rFonts w:ascii="Cambria" w:hAnsi="Cambria"/>
          <w:color w:val="212121"/>
          <w:sz w:val="23"/>
          <w:szCs w:val="23"/>
          <w:vertAlign w:val="subscript"/>
        </w:rPr>
        <w:t>50%</w:t>
      </w:r>
      <w:r>
        <w:rPr>
          <w:rFonts w:ascii="Cambria" w:hAnsi="Cambria"/>
          <w:color w:val="212121"/>
          <w:sz w:val="30"/>
          <w:szCs w:val="30"/>
        </w:rPr>
        <w:t> for the supratentorial configuration was 8.3 A/m</w:t>
      </w:r>
      <w:r>
        <w:rPr>
          <w:rFonts w:ascii="Cambria" w:hAnsi="Cambria"/>
          <w:color w:val="212121"/>
          <w:sz w:val="23"/>
          <w:szCs w:val="23"/>
          <w:vertAlign w:val="superscript"/>
        </w:rPr>
        <w:t>2</w:t>
      </w:r>
      <w:r>
        <w:rPr>
          <w:rFonts w:ascii="Cambria" w:hAnsi="Cambria"/>
          <w:color w:val="212121"/>
          <w:sz w:val="30"/>
          <w:szCs w:val="30"/>
        </w:rPr>
        <w:t> (Fig. </w:t>
      </w:r>
      <w:hyperlink r:id="rId48" w:tgtFrame="figure" w:history="1">
        <w:r>
          <w:rPr>
            <w:rStyle w:val="Hyperlink"/>
            <w:rFonts w:ascii="Cambria" w:hAnsi="Cambria"/>
            <w:color w:val="376FAA"/>
            <w:sz w:val="30"/>
            <w:szCs w:val="30"/>
          </w:rPr>
          <w:t>3</w:t>
        </w:r>
      </w:hyperlink>
      <w:r>
        <w:rPr>
          <w:rFonts w:ascii="Cambria" w:hAnsi="Cambria"/>
          <w:color w:val="212121"/>
          <w:sz w:val="30"/>
          <w:szCs w:val="30"/>
        </w:rPr>
        <w:t>b and Table </w:t>
      </w:r>
      <w:hyperlink r:id="rId49"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or a 20.5% increase in median current density coverage to the GTV. Interestingly, the PA</w:t>
      </w:r>
      <w:r>
        <w:rPr>
          <w:rFonts w:ascii="Cambria" w:hAnsi="Cambria"/>
          <w:color w:val="212121"/>
          <w:sz w:val="23"/>
          <w:szCs w:val="23"/>
          <w:vertAlign w:val="subscript"/>
        </w:rPr>
        <w:t>Vertical-Center</w:t>
      </w:r>
      <w:r>
        <w:rPr>
          <w:rFonts w:ascii="Cambria" w:hAnsi="Cambria"/>
          <w:color w:val="212121"/>
          <w:sz w:val="30"/>
          <w:szCs w:val="30"/>
        </w:rPr>
        <w:t> configuration also produced the highest median current density of 11.0 A/m</w:t>
      </w:r>
      <w:r>
        <w:rPr>
          <w:rFonts w:ascii="Cambria" w:hAnsi="Cambria"/>
          <w:color w:val="212121"/>
          <w:sz w:val="23"/>
          <w:szCs w:val="23"/>
          <w:vertAlign w:val="superscript"/>
        </w:rPr>
        <w:t>2</w:t>
      </w:r>
      <w:r>
        <w:rPr>
          <w:rFonts w:ascii="Cambria" w:hAnsi="Cambria"/>
          <w:color w:val="212121"/>
          <w:sz w:val="30"/>
          <w:szCs w:val="30"/>
        </w:rPr>
        <w:t> in the GTV (Fig. </w:t>
      </w:r>
      <w:hyperlink r:id="rId50" w:tgtFrame="figure" w:history="1">
        <w:r>
          <w:rPr>
            <w:rStyle w:val="Hyperlink"/>
            <w:rFonts w:ascii="Cambria" w:hAnsi="Cambria"/>
            <w:color w:val="376FAA"/>
            <w:sz w:val="30"/>
            <w:szCs w:val="30"/>
          </w:rPr>
          <w:t>3</w:t>
        </w:r>
      </w:hyperlink>
      <w:r>
        <w:rPr>
          <w:rFonts w:ascii="Cambria" w:hAnsi="Cambria"/>
          <w:color w:val="212121"/>
          <w:sz w:val="30"/>
          <w:szCs w:val="30"/>
        </w:rPr>
        <w:t>b and Table </w:t>
      </w:r>
      <w:hyperlink r:id="rId51"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w:t>
      </w:r>
    </w:p>
    <w:p w14:paraId="47B2FF7A"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AP array is complementary to the PA</w:t>
      </w:r>
      <w:r>
        <w:rPr>
          <w:rFonts w:ascii="Cambria" w:hAnsi="Cambria"/>
          <w:color w:val="212121"/>
          <w:sz w:val="23"/>
          <w:szCs w:val="23"/>
          <w:vertAlign w:val="subscript"/>
        </w:rPr>
        <w:t>Horizontal</w:t>
      </w:r>
      <w:r>
        <w:rPr>
          <w:rFonts w:ascii="Cambria" w:hAnsi="Cambria"/>
          <w:color w:val="212121"/>
          <w:sz w:val="30"/>
          <w:szCs w:val="30"/>
        </w:rPr>
        <w:t> array and therefore the AP array position may alter the electric field and current density. To investigate this, we rotated the AP array by 90° in the AP-PA</w:t>
      </w:r>
      <w:r>
        <w:rPr>
          <w:rFonts w:ascii="Cambria" w:hAnsi="Cambria"/>
          <w:color w:val="212121"/>
          <w:sz w:val="23"/>
          <w:szCs w:val="23"/>
          <w:vertAlign w:val="subscript"/>
        </w:rPr>
        <w:t>Horizontal</w:t>
      </w:r>
      <w:r>
        <w:rPr>
          <w:rFonts w:ascii="Cambria" w:hAnsi="Cambria"/>
          <w:color w:val="212121"/>
          <w:sz w:val="30"/>
          <w:szCs w:val="30"/>
        </w:rPr>
        <w:t> array configuration and solved for various electric field and current density parameters in the model. Both AP-PA</w:t>
      </w:r>
      <w:r>
        <w:rPr>
          <w:rFonts w:ascii="Cambria" w:hAnsi="Cambria"/>
          <w:color w:val="212121"/>
          <w:sz w:val="23"/>
          <w:szCs w:val="23"/>
          <w:vertAlign w:val="subscript"/>
        </w:rPr>
        <w:t>Horizontal</w:t>
      </w:r>
      <w:r>
        <w:rPr>
          <w:rFonts w:ascii="Cambria" w:hAnsi="Cambria"/>
          <w:color w:val="212121"/>
          <w:sz w:val="30"/>
          <w:szCs w:val="30"/>
        </w:rPr>
        <w:t> and PA</w:t>
      </w:r>
      <w:r>
        <w:rPr>
          <w:rFonts w:ascii="Cambria" w:hAnsi="Cambria"/>
          <w:color w:val="212121"/>
          <w:sz w:val="23"/>
          <w:szCs w:val="23"/>
          <w:vertAlign w:val="subscript"/>
        </w:rPr>
        <w:t>Horizontal</w:t>
      </w:r>
      <w:r>
        <w:rPr>
          <w:rFonts w:ascii="Cambria" w:hAnsi="Cambria"/>
          <w:color w:val="212121"/>
          <w:sz w:val="30"/>
          <w:szCs w:val="30"/>
        </w:rPr>
        <w:t> configurations had comparable E</w:t>
      </w:r>
      <w:r>
        <w:rPr>
          <w:rFonts w:ascii="Cambria" w:hAnsi="Cambria"/>
          <w:color w:val="212121"/>
          <w:sz w:val="23"/>
          <w:szCs w:val="23"/>
          <w:vertAlign w:val="subscript"/>
        </w:rPr>
        <w:t>AUC</w:t>
      </w:r>
      <w:r>
        <w:rPr>
          <w:rFonts w:ascii="Cambria" w:hAnsi="Cambria"/>
          <w:color w:val="212121"/>
          <w:sz w:val="30"/>
          <w:szCs w:val="30"/>
        </w:rPr>
        <w:t> metrics, 40.9 versus 41.0 V/m respectively or a difference of 0.4%, and E</w:t>
      </w:r>
      <w:r>
        <w:rPr>
          <w:rFonts w:ascii="Cambria" w:hAnsi="Cambria"/>
          <w:color w:val="212121"/>
          <w:sz w:val="23"/>
          <w:szCs w:val="23"/>
          <w:vertAlign w:val="subscript"/>
        </w:rPr>
        <w:t>50%</w:t>
      </w:r>
      <w:r>
        <w:rPr>
          <w:rFonts w:ascii="Cambria" w:hAnsi="Cambria"/>
          <w:color w:val="212121"/>
          <w:sz w:val="30"/>
          <w:szCs w:val="30"/>
        </w:rPr>
        <w:t> metrics, 37.9 versus 38.1 V/m respectively or a difference of 0.5% (Fig. </w:t>
      </w:r>
      <w:hyperlink r:id="rId52" w:tgtFrame="figure" w:history="1">
        <w:r>
          <w:rPr>
            <w:rStyle w:val="Hyperlink"/>
            <w:rFonts w:ascii="Cambria" w:hAnsi="Cambria"/>
            <w:color w:val="376FAA"/>
            <w:sz w:val="30"/>
            <w:szCs w:val="30"/>
          </w:rPr>
          <w:t>3</w:t>
        </w:r>
      </w:hyperlink>
      <w:r>
        <w:rPr>
          <w:rFonts w:ascii="Cambria" w:hAnsi="Cambria"/>
          <w:color w:val="212121"/>
          <w:sz w:val="30"/>
          <w:szCs w:val="30"/>
        </w:rPr>
        <w:t>a and Table </w:t>
      </w:r>
      <w:hyperlink r:id="rId53"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Similarly, both configurations had comparable CD</w:t>
      </w:r>
      <w:r>
        <w:rPr>
          <w:rFonts w:ascii="Cambria" w:hAnsi="Cambria"/>
          <w:color w:val="212121"/>
          <w:sz w:val="23"/>
          <w:szCs w:val="23"/>
          <w:vertAlign w:val="subscript"/>
        </w:rPr>
        <w:t>AUC</w:t>
      </w:r>
      <w:r>
        <w:rPr>
          <w:rFonts w:ascii="Cambria" w:hAnsi="Cambria"/>
          <w:color w:val="212121"/>
          <w:sz w:val="30"/>
          <w:szCs w:val="30"/>
        </w:rPr>
        <w:t> metrics, 11.7 versus 11.6 A/m</w:t>
      </w:r>
      <w:r>
        <w:rPr>
          <w:rFonts w:ascii="Cambria" w:hAnsi="Cambria"/>
          <w:color w:val="212121"/>
          <w:sz w:val="23"/>
          <w:szCs w:val="23"/>
          <w:vertAlign w:val="superscript"/>
        </w:rPr>
        <w:t>2</w:t>
      </w:r>
      <w:r>
        <w:rPr>
          <w:rFonts w:ascii="Cambria" w:hAnsi="Cambria"/>
          <w:color w:val="212121"/>
          <w:sz w:val="30"/>
          <w:szCs w:val="30"/>
        </w:rPr>
        <w:t> respectively or a difference of 0.4%, and CD</w:t>
      </w:r>
      <w:r>
        <w:rPr>
          <w:rFonts w:ascii="Cambria" w:hAnsi="Cambria"/>
          <w:color w:val="212121"/>
          <w:sz w:val="23"/>
          <w:szCs w:val="23"/>
          <w:vertAlign w:val="subscript"/>
        </w:rPr>
        <w:t>50%</w:t>
      </w:r>
      <w:r>
        <w:rPr>
          <w:rFonts w:ascii="Cambria" w:hAnsi="Cambria"/>
          <w:color w:val="212121"/>
          <w:sz w:val="30"/>
          <w:szCs w:val="30"/>
        </w:rPr>
        <w:t> metrics, 9.9 versus 10.0 A/m</w:t>
      </w:r>
      <w:r>
        <w:rPr>
          <w:rFonts w:ascii="Cambria" w:hAnsi="Cambria"/>
          <w:color w:val="212121"/>
          <w:sz w:val="23"/>
          <w:szCs w:val="23"/>
          <w:vertAlign w:val="superscript"/>
        </w:rPr>
        <w:t>2</w:t>
      </w:r>
      <w:r>
        <w:rPr>
          <w:rFonts w:ascii="Cambria" w:hAnsi="Cambria"/>
          <w:color w:val="212121"/>
          <w:sz w:val="30"/>
          <w:szCs w:val="30"/>
        </w:rPr>
        <w:t> respectively or a difference of 0.1% (Fig. </w:t>
      </w:r>
      <w:hyperlink r:id="rId54" w:tgtFrame="figure" w:history="1">
        <w:r>
          <w:rPr>
            <w:rStyle w:val="Hyperlink"/>
            <w:rFonts w:ascii="Cambria" w:hAnsi="Cambria"/>
            <w:color w:val="376FAA"/>
            <w:sz w:val="30"/>
            <w:szCs w:val="30"/>
          </w:rPr>
          <w:t>3</w:t>
        </w:r>
      </w:hyperlink>
      <w:r>
        <w:rPr>
          <w:rFonts w:ascii="Cambria" w:hAnsi="Cambria"/>
          <w:color w:val="212121"/>
          <w:sz w:val="30"/>
          <w:szCs w:val="30"/>
        </w:rPr>
        <w:t>b and Table </w:t>
      </w:r>
      <w:hyperlink r:id="rId55"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Other alternative array configurations yielded comparable electric field and current density coverage. Collectively, the computer simulation data indicate that any one of the posterior fossa configuration provided improved electric field delivery to our patient’s cerebellar glioblastoma compared to the standard supratentorial configuration.</w:t>
      </w:r>
    </w:p>
    <w:p w14:paraId="38FFB580" w14:textId="77777777" w:rsidR="005A05FB" w:rsidRDefault="005A05FB" w:rsidP="005A05FB">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Hotspots are proportional to TTFields coverage of the GTV in the posterior fossa</w:t>
      </w:r>
    </w:p>
    <w:p w14:paraId="44E2C298"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Hotspots are generally regions or a percentage volume of a particular ROI that receives a greater quantity than that prescribed. Since TTFields do not currently have a clinically relevant threshold dose, 5% of the ROI receiving the highest TTFields intensity was chosen as the percentage volume representing a hotspot within that ROI and this is denoted as the E</w:t>
      </w:r>
      <w:r>
        <w:rPr>
          <w:rFonts w:ascii="Cambria" w:hAnsi="Cambria"/>
          <w:color w:val="212121"/>
          <w:sz w:val="23"/>
          <w:szCs w:val="23"/>
          <w:vertAlign w:val="subscript"/>
        </w:rPr>
        <w:t>5%</w:t>
      </w:r>
      <w:r>
        <w:rPr>
          <w:rFonts w:ascii="Cambria" w:hAnsi="Cambria"/>
          <w:color w:val="212121"/>
          <w:sz w:val="30"/>
          <w:szCs w:val="30"/>
        </w:rPr>
        <w:t>. The average electric field hotspot within the GTV was 44.1 V/m using the supratentorial array configuration while the average for the alternative array configurations was 86.2 V/m, or an average increase of 95.6%.</w:t>
      </w:r>
    </w:p>
    <w:p w14:paraId="4A502BEB"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alternative array configuration with the lowest hotspot intensity within the GTV was PA</w:t>
      </w:r>
      <w:r>
        <w:rPr>
          <w:rFonts w:ascii="Cambria" w:hAnsi="Cambria"/>
          <w:color w:val="212121"/>
          <w:sz w:val="23"/>
          <w:szCs w:val="23"/>
          <w:vertAlign w:val="subscript"/>
        </w:rPr>
        <w:t>Vertical-Superior</w:t>
      </w:r>
      <w:r>
        <w:rPr>
          <w:rFonts w:ascii="Cambria" w:hAnsi="Cambria"/>
          <w:color w:val="212121"/>
          <w:sz w:val="30"/>
          <w:szCs w:val="30"/>
        </w:rPr>
        <w:t>, with E</w:t>
      </w:r>
      <w:r>
        <w:rPr>
          <w:rFonts w:ascii="Cambria" w:hAnsi="Cambria"/>
          <w:color w:val="212121"/>
          <w:sz w:val="23"/>
          <w:szCs w:val="23"/>
          <w:vertAlign w:val="subscript"/>
        </w:rPr>
        <w:t>5%</w:t>
      </w:r>
      <w:r>
        <w:rPr>
          <w:rFonts w:ascii="Cambria" w:hAnsi="Cambria"/>
          <w:color w:val="212121"/>
          <w:sz w:val="30"/>
          <w:szCs w:val="30"/>
        </w:rPr>
        <w:t> of 60.8 V/m compared to 44.1 V/m from the supratentorial configuration (Fig. </w:t>
      </w:r>
      <w:hyperlink r:id="rId56" w:tgtFrame="figure" w:history="1">
        <w:r>
          <w:rPr>
            <w:rStyle w:val="Hyperlink"/>
            <w:rFonts w:ascii="Cambria" w:hAnsi="Cambria"/>
            <w:color w:val="376FAA"/>
            <w:sz w:val="30"/>
            <w:szCs w:val="30"/>
          </w:rPr>
          <w:t>3</w:t>
        </w:r>
      </w:hyperlink>
      <w:r>
        <w:rPr>
          <w:rFonts w:ascii="Cambria" w:hAnsi="Cambria"/>
          <w:color w:val="212121"/>
          <w:sz w:val="30"/>
          <w:szCs w:val="30"/>
        </w:rPr>
        <w:t>a and Table </w:t>
      </w:r>
      <w:hyperlink r:id="rId57"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xml:space="preserve">), respectively, or a 38.1% increase. In contrast, the alternative array configuration with the highest hotspot </w:t>
      </w:r>
      <w:r>
        <w:rPr>
          <w:rFonts w:ascii="Cambria" w:hAnsi="Cambria"/>
          <w:color w:val="212121"/>
          <w:sz w:val="30"/>
          <w:szCs w:val="30"/>
        </w:rPr>
        <w:lastRenderedPageBreak/>
        <w:t>intensity within the GTV was the PA</w:t>
      </w:r>
      <w:r>
        <w:rPr>
          <w:rFonts w:ascii="Cambria" w:hAnsi="Cambria"/>
          <w:color w:val="212121"/>
          <w:sz w:val="23"/>
          <w:szCs w:val="23"/>
          <w:vertAlign w:val="subscript"/>
        </w:rPr>
        <w:t>Horizontal</w:t>
      </w:r>
      <w:r>
        <w:rPr>
          <w:rFonts w:ascii="Cambria" w:hAnsi="Cambria"/>
          <w:color w:val="212121"/>
          <w:sz w:val="30"/>
          <w:szCs w:val="30"/>
        </w:rPr>
        <w:t> configuration with E</w:t>
      </w:r>
      <w:r>
        <w:rPr>
          <w:rFonts w:ascii="Cambria" w:hAnsi="Cambria"/>
          <w:color w:val="212121"/>
          <w:sz w:val="23"/>
          <w:szCs w:val="23"/>
          <w:vertAlign w:val="subscript"/>
        </w:rPr>
        <w:t>5%</w:t>
      </w:r>
      <w:r>
        <w:rPr>
          <w:rFonts w:ascii="Cambria" w:hAnsi="Cambria"/>
          <w:color w:val="212121"/>
          <w:sz w:val="30"/>
          <w:szCs w:val="30"/>
        </w:rPr>
        <w:t> of 99.1 V/m compared to 44.1 V/m from the supratentorial configuration (Fig. </w:t>
      </w:r>
      <w:hyperlink r:id="rId58" w:tgtFrame="figure" w:history="1">
        <w:r>
          <w:rPr>
            <w:rStyle w:val="Hyperlink"/>
            <w:rFonts w:ascii="Cambria" w:hAnsi="Cambria"/>
            <w:color w:val="376FAA"/>
            <w:sz w:val="30"/>
            <w:szCs w:val="30"/>
          </w:rPr>
          <w:t>3</w:t>
        </w:r>
      </w:hyperlink>
      <w:r>
        <w:rPr>
          <w:rFonts w:ascii="Cambria" w:hAnsi="Cambria"/>
          <w:color w:val="212121"/>
          <w:sz w:val="30"/>
          <w:szCs w:val="30"/>
        </w:rPr>
        <w:t>a and Table </w:t>
      </w:r>
      <w:hyperlink r:id="rId59"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respectively, or a 125.0% increase.</w:t>
      </w:r>
    </w:p>
    <w:p w14:paraId="00B1A307" w14:textId="77777777" w:rsidR="005A05FB" w:rsidRDefault="005A05FB" w:rsidP="005A05FB">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Array positioning significantly alters TTFields coverage within the cerebellum</w:t>
      </w:r>
    </w:p>
    <w:p w14:paraId="39C7F00D"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Although the main ROI for TTFields therapy is the GTV, it is also informative to observe and compare differences in TTFields distribution within adjacent normal tissue structures such as the cerebellum in this particular study. With an E</w:t>
      </w:r>
      <w:r>
        <w:rPr>
          <w:rFonts w:ascii="Cambria" w:hAnsi="Cambria"/>
          <w:color w:val="212121"/>
          <w:sz w:val="23"/>
          <w:szCs w:val="23"/>
          <w:vertAlign w:val="subscript"/>
        </w:rPr>
        <w:t>AUC</w:t>
      </w:r>
      <w:r>
        <w:rPr>
          <w:rFonts w:ascii="Cambria" w:hAnsi="Cambria"/>
          <w:color w:val="212121"/>
          <w:sz w:val="30"/>
          <w:szCs w:val="30"/>
        </w:rPr>
        <w:t> of 20.5 V/m in the supratentorial array configuration, the average E</w:t>
      </w:r>
      <w:r>
        <w:rPr>
          <w:rFonts w:ascii="Cambria" w:hAnsi="Cambria"/>
          <w:color w:val="212121"/>
          <w:sz w:val="23"/>
          <w:szCs w:val="23"/>
          <w:vertAlign w:val="subscript"/>
        </w:rPr>
        <w:t>AUC</w:t>
      </w:r>
      <w:r>
        <w:rPr>
          <w:rFonts w:ascii="Cambria" w:hAnsi="Cambria"/>
          <w:color w:val="212121"/>
          <w:sz w:val="30"/>
          <w:szCs w:val="30"/>
        </w:rPr>
        <w:t> for the alternative array configurations in aggregate was 60.8 V/m (Fig. </w:t>
      </w:r>
      <w:hyperlink r:id="rId60" w:tgtFrame="figure" w:history="1">
        <w:r>
          <w:rPr>
            <w:rStyle w:val="Hyperlink"/>
            <w:rFonts w:ascii="Cambria" w:hAnsi="Cambria"/>
            <w:color w:val="376FAA"/>
            <w:sz w:val="30"/>
            <w:szCs w:val="30"/>
          </w:rPr>
          <w:t>3</w:t>
        </w:r>
      </w:hyperlink>
      <w:r>
        <w:rPr>
          <w:rFonts w:ascii="Cambria" w:hAnsi="Cambria"/>
          <w:color w:val="212121"/>
          <w:sz w:val="30"/>
          <w:szCs w:val="30"/>
        </w:rPr>
        <w:t>c and Table </w:t>
      </w:r>
      <w:hyperlink r:id="rId61"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or a 197.1% increase. The median electric field within the cerebellum for the supratentorial configuration yielded an E</w:t>
      </w:r>
      <w:r>
        <w:rPr>
          <w:rFonts w:ascii="Cambria" w:hAnsi="Cambria"/>
          <w:color w:val="212121"/>
          <w:sz w:val="23"/>
          <w:szCs w:val="23"/>
          <w:vertAlign w:val="subscript"/>
        </w:rPr>
        <w:t>50%</w:t>
      </w:r>
      <w:r>
        <w:rPr>
          <w:rFonts w:ascii="Cambria" w:hAnsi="Cambria"/>
          <w:color w:val="212121"/>
          <w:sz w:val="30"/>
          <w:szCs w:val="30"/>
        </w:rPr>
        <w:t> of 21.5 V/m compared to an E</w:t>
      </w:r>
      <w:r>
        <w:rPr>
          <w:rFonts w:ascii="Cambria" w:hAnsi="Cambria"/>
          <w:color w:val="212121"/>
          <w:sz w:val="23"/>
          <w:szCs w:val="23"/>
          <w:vertAlign w:val="subscript"/>
        </w:rPr>
        <w:t>50%</w:t>
      </w:r>
      <w:r>
        <w:rPr>
          <w:rFonts w:ascii="Cambria" w:hAnsi="Cambria"/>
          <w:color w:val="212121"/>
          <w:sz w:val="30"/>
          <w:szCs w:val="30"/>
        </w:rPr>
        <w:t> of 36.7 V/m, or 70.7% increase, for the PA</w:t>
      </w:r>
      <w:r>
        <w:rPr>
          <w:rFonts w:ascii="Cambria" w:hAnsi="Cambria"/>
          <w:color w:val="212121"/>
          <w:sz w:val="23"/>
          <w:szCs w:val="23"/>
          <w:vertAlign w:val="subscript"/>
        </w:rPr>
        <w:t>Vertical-Superior</w:t>
      </w:r>
      <w:r>
        <w:rPr>
          <w:rFonts w:ascii="Cambria" w:hAnsi="Cambria"/>
          <w:color w:val="212121"/>
          <w:sz w:val="30"/>
          <w:szCs w:val="30"/>
        </w:rPr>
        <w:t> and an E</w:t>
      </w:r>
      <w:r>
        <w:rPr>
          <w:rFonts w:ascii="Cambria" w:hAnsi="Cambria"/>
          <w:color w:val="212121"/>
          <w:sz w:val="23"/>
          <w:szCs w:val="23"/>
          <w:vertAlign w:val="subscript"/>
        </w:rPr>
        <w:t>50%</w:t>
      </w:r>
      <w:r>
        <w:rPr>
          <w:rFonts w:ascii="Cambria" w:hAnsi="Cambria"/>
          <w:color w:val="212121"/>
          <w:sz w:val="30"/>
          <w:szCs w:val="30"/>
        </w:rPr>
        <w:t> of 62.9 V/m, or 192.6% increase, for the PA</w:t>
      </w:r>
      <w:r>
        <w:rPr>
          <w:rFonts w:ascii="Cambria" w:hAnsi="Cambria"/>
          <w:color w:val="212121"/>
          <w:sz w:val="23"/>
          <w:szCs w:val="23"/>
          <w:vertAlign w:val="subscript"/>
        </w:rPr>
        <w:t>Horizontal</w:t>
      </w:r>
      <w:r>
        <w:rPr>
          <w:rFonts w:ascii="Cambria" w:hAnsi="Cambria"/>
          <w:color w:val="212121"/>
          <w:sz w:val="30"/>
          <w:szCs w:val="30"/>
        </w:rPr>
        <w:t> configuration, which were the alternative array configurations with the smallest and largest field intensity change, respectively (Fig. </w:t>
      </w:r>
      <w:hyperlink r:id="rId62" w:tgtFrame="figure" w:history="1">
        <w:r>
          <w:rPr>
            <w:rStyle w:val="Hyperlink"/>
            <w:rFonts w:ascii="Cambria" w:hAnsi="Cambria"/>
            <w:color w:val="376FAA"/>
            <w:sz w:val="30"/>
            <w:szCs w:val="30"/>
          </w:rPr>
          <w:t>3</w:t>
        </w:r>
      </w:hyperlink>
      <w:r>
        <w:rPr>
          <w:rFonts w:ascii="Cambria" w:hAnsi="Cambria"/>
          <w:color w:val="212121"/>
          <w:sz w:val="30"/>
          <w:szCs w:val="30"/>
        </w:rPr>
        <w:t>c and Table </w:t>
      </w:r>
      <w:hyperlink r:id="rId63"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Similarly, the supratentorial array configuration produced a CD</w:t>
      </w:r>
      <w:r>
        <w:rPr>
          <w:rFonts w:ascii="Cambria" w:hAnsi="Cambria"/>
          <w:color w:val="212121"/>
          <w:sz w:val="23"/>
          <w:szCs w:val="23"/>
          <w:vertAlign w:val="subscript"/>
        </w:rPr>
        <w:t>AUC</w:t>
      </w:r>
      <w:r>
        <w:rPr>
          <w:rFonts w:ascii="Cambria" w:hAnsi="Cambria"/>
          <w:color w:val="212121"/>
          <w:sz w:val="30"/>
          <w:szCs w:val="30"/>
        </w:rPr>
        <w:t> of 3.4 A/m</w:t>
      </w:r>
      <w:r>
        <w:rPr>
          <w:rFonts w:ascii="Cambria" w:hAnsi="Cambria"/>
          <w:color w:val="212121"/>
          <w:sz w:val="23"/>
          <w:szCs w:val="23"/>
          <w:vertAlign w:val="superscript"/>
        </w:rPr>
        <w:t>2</w:t>
      </w:r>
      <w:r>
        <w:rPr>
          <w:rFonts w:ascii="Cambria" w:hAnsi="Cambria"/>
          <w:color w:val="212121"/>
          <w:sz w:val="30"/>
          <w:szCs w:val="30"/>
        </w:rPr>
        <w:t> while the average CD</w:t>
      </w:r>
      <w:r>
        <w:rPr>
          <w:rFonts w:ascii="Cambria" w:hAnsi="Cambria"/>
          <w:color w:val="212121"/>
          <w:sz w:val="23"/>
          <w:szCs w:val="23"/>
          <w:vertAlign w:val="subscript"/>
        </w:rPr>
        <w:t>AUC</w:t>
      </w:r>
      <w:r>
        <w:rPr>
          <w:rFonts w:ascii="Cambria" w:hAnsi="Cambria"/>
          <w:color w:val="212121"/>
          <w:sz w:val="30"/>
          <w:szCs w:val="30"/>
        </w:rPr>
        <w:t> in the alternative array configurations was 10.0 A/m</w:t>
      </w:r>
      <w:r>
        <w:rPr>
          <w:rFonts w:ascii="Cambria" w:hAnsi="Cambria"/>
          <w:color w:val="212121"/>
          <w:sz w:val="23"/>
          <w:szCs w:val="23"/>
          <w:vertAlign w:val="superscript"/>
        </w:rPr>
        <w:t>2</w:t>
      </w:r>
      <w:r>
        <w:rPr>
          <w:rFonts w:ascii="Cambria" w:hAnsi="Cambria"/>
          <w:color w:val="212121"/>
          <w:sz w:val="30"/>
          <w:szCs w:val="30"/>
        </w:rPr>
        <w:t> (Fig. </w:t>
      </w:r>
      <w:hyperlink r:id="rId64" w:tgtFrame="figure" w:history="1">
        <w:r>
          <w:rPr>
            <w:rStyle w:val="Hyperlink"/>
            <w:rFonts w:ascii="Cambria" w:hAnsi="Cambria"/>
            <w:color w:val="376FAA"/>
            <w:sz w:val="30"/>
            <w:szCs w:val="30"/>
          </w:rPr>
          <w:t>3</w:t>
        </w:r>
      </w:hyperlink>
      <w:r>
        <w:rPr>
          <w:rFonts w:ascii="Cambria" w:hAnsi="Cambria"/>
          <w:color w:val="212121"/>
          <w:sz w:val="30"/>
          <w:szCs w:val="30"/>
        </w:rPr>
        <w:t>d and Table </w:t>
      </w:r>
      <w:hyperlink r:id="rId65"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or a 192.6% increase on average. The alternative array configuration with the smallest median current density was the PA</w:t>
      </w:r>
      <w:r>
        <w:rPr>
          <w:rFonts w:ascii="Cambria" w:hAnsi="Cambria"/>
          <w:color w:val="212121"/>
          <w:sz w:val="23"/>
          <w:szCs w:val="23"/>
          <w:vertAlign w:val="subscript"/>
        </w:rPr>
        <w:t>Vertical-Superior</w:t>
      </w:r>
      <w:r>
        <w:rPr>
          <w:rFonts w:ascii="Cambria" w:hAnsi="Cambria"/>
          <w:color w:val="212121"/>
          <w:sz w:val="30"/>
          <w:szCs w:val="30"/>
        </w:rPr>
        <w:t> with a CD</w:t>
      </w:r>
      <w:r>
        <w:rPr>
          <w:rFonts w:ascii="Cambria" w:hAnsi="Cambria"/>
          <w:color w:val="212121"/>
          <w:sz w:val="23"/>
          <w:szCs w:val="23"/>
          <w:vertAlign w:val="subscript"/>
        </w:rPr>
        <w:t>50%</w:t>
      </w:r>
      <w:r>
        <w:rPr>
          <w:rFonts w:ascii="Cambria" w:hAnsi="Cambria"/>
          <w:color w:val="212121"/>
          <w:sz w:val="30"/>
          <w:szCs w:val="30"/>
        </w:rPr>
        <w:t> of 5.7 A/m</w:t>
      </w:r>
      <w:r>
        <w:rPr>
          <w:rFonts w:ascii="Cambria" w:hAnsi="Cambria"/>
          <w:color w:val="212121"/>
          <w:sz w:val="23"/>
          <w:szCs w:val="23"/>
          <w:vertAlign w:val="superscript"/>
        </w:rPr>
        <w:t>2</w:t>
      </w:r>
      <w:r>
        <w:rPr>
          <w:rFonts w:ascii="Cambria" w:hAnsi="Cambria"/>
          <w:color w:val="212121"/>
          <w:sz w:val="30"/>
          <w:szCs w:val="30"/>
        </w:rPr>
        <w:t> while the PA</w:t>
      </w:r>
      <w:r>
        <w:rPr>
          <w:rFonts w:ascii="Cambria" w:hAnsi="Cambria"/>
          <w:color w:val="212121"/>
          <w:sz w:val="23"/>
          <w:szCs w:val="23"/>
          <w:vertAlign w:val="subscript"/>
        </w:rPr>
        <w:t>Horizontal</w:t>
      </w:r>
      <w:r>
        <w:rPr>
          <w:rFonts w:ascii="Cambria" w:hAnsi="Cambria"/>
          <w:color w:val="212121"/>
          <w:sz w:val="30"/>
          <w:szCs w:val="30"/>
        </w:rPr>
        <w:t> array configuration yielded the largest median current density of CD</w:t>
      </w:r>
      <w:r>
        <w:rPr>
          <w:rFonts w:ascii="Cambria" w:hAnsi="Cambria"/>
          <w:color w:val="212121"/>
          <w:sz w:val="23"/>
          <w:szCs w:val="23"/>
          <w:vertAlign w:val="subscript"/>
        </w:rPr>
        <w:t>50%</w:t>
      </w:r>
      <w:r>
        <w:rPr>
          <w:rFonts w:ascii="Cambria" w:hAnsi="Cambria"/>
          <w:color w:val="212121"/>
          <w:sz w:val="30"/>
          <w:szCs w:val="30"/>
        </w:rPr>
        <w:t> of 9.8 A/m</w:t>
      </w:r>
      <w:r>
        <w:rPr>
          <w:rFonts w:ascii="Cambria" w:hAnsi="Cambria"/>
          <w:color w:val="212121"/>
          <w:sz w:val="23"/>
          <w:szCs w:val="23"/>
          <w:vertAlign w:val="superscript"/>
        </w:rPr>
        <w:t>2</w:t>
      </w:r>
      <w:r>
        <w:rPr>
          <w:rFonts w:ascii="Cambria" w:hAnsi="Cambria"/>
          <w:color w:val="212121"/>
          <w:sz w:val="30"/>
          <w:szCs w:val="30"/>
        </w:rPr>
        <w:t>, compared to a CD</w:t>
      </w:r>
      <w:r>
        <w:rPr>
          <w:rFonts w:ascii="Cambria" w:hAnsi="Cambria"/>
          <w:color w:val="212121"/>
          <w:sz w:val="23"/>
          <w:szCs w:val="23"/>
          <w:vertAlign w:val="subscript"/>
        </w:rPr>
        <w:t>50%</w:t>
      </w:r>
      <w:r>
        <w:rPr>
          <w:rFonts w:ascii="Cambria" w:hAnsi="Cambria"/>
          <w:color w:val="212121"/>
          <w:sz w:val="30"/>
          <w:szCs w:val="30"/>
        </w:rPr>
        <w:t> of 3.5 A/m</w:t>
      </w:r>
      <w:r>
        <w:rPr>
          <w:rFonts w:ascii="Cambria" w:hAnsi="Cambria"/>
          <w:color w:val="212121"/>
          <w:sz w:val="23"/>
          <w:szCs w:val="23"/>
          <w:vertAlign w:val="superscript"/>
        </w:rPr>
        <w:t>2</w:t>
      </w:r>
      <w:r>
        <w:rPr>
          <w:rFonts w:ascii="Cambria" w:hAnsi="Cambria"/>
          <w:color w:val="212121"/>
          <w:sz w:val="30"/>
          <w:szCs w:val="30"/>
        </w:rPr>
        <w:t> for the supratentorial array configuration (Fig. </w:t>
      </w:r>
      <w:hyperlink r:id="rId66" w:tgtFrame="figure" w:history="1">
        <w:r>
          <w:rPr>
            <w:rStyle w:val="Hyperlink"/>
            <w:rFonts w:ascii="Cambria" w:hAnsi="Cambria"/>
            <w:color w:val="376FAA"/>
            <w:sz w:val="30"/>
            <w:szCs w:val="30"/>
          </w:rPr>
          <w:t>3</w:t>
        </w:r>
      </w:hyperlink>
      <w:r>
        <w:rPr>
          <w:rFonts w:ascii="Cambria" w:hAnsi="Cambria"/>
          <w:color w:val="212121"/>
          <w:sz w:val="30"/>
          <w:szCs w:val="30"/>
        </w:rPr>
        <w:t>d and Table </w:t>
      </w:r>
      <w:hyperlink r:id="rId67"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or a 61.4% increase versus a 176.1% increase, respectively.</w:t>
      </w:r>
    </w:p>
    <w:p w14:paraId="4650F884"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Electric field hotspots in the cerebellum measured by the E</w:t>
      </w:r>
      <w:r>
        <w:rPr>
          <w:rFonts w:ascii="Cambria" w:hAnsi="Cambria"/>
          <w:color w:val="212121"/>
          <w:sz w:val="23"/>
          <w:szCs w:val="23"/>
          <w:vertAlign w:val="subscript"/>
        </w:rPr>
        <w:t>5%</w:t>
      </w:r>
      <w:r>
        <w:rPr>
          <w:rFonts w:ascii="Cambria" w:hAnsi="Cambria"/>
          <w:color w:val="212121"/>
          <w:sz w:val="30"/>
          <w:szCs w:val="30"/>
        </w:rPr>
        <w:t> was 36.5 V/m for the supratentorial array configuration while the E</w:t>
      </w:r>
      <w:r>
        <w:rPr>
          <w:rFonts w:ascii="Cambria" w:hAnsi="Cambria"/>
          <w:color w:val="212121"/>
          <w:sz w:val="23"/>
          <w:szCs w:val="23"/>
          <w:vertAlign w:val="subscript"/>
        </w:rPr>
        <w:t>5%</w:t>
      </w:r>
      <w:r>
        <w:rPr>
          <w:rFonts w:ascii="Cambria" w:hAnsi="Cambria"/>
          <w:color w:val="212121"/>
          <w:sz w:val="30"/>
          <w:szCs w:val="30"/>
        </w:rPr>
        <w:t> for PA</w:t>
      </w:r>
      <w:r>
        <w:rPr>
          <w:rFonts w:ascii="Cambria" w:hAnsi="Cambria"/>
          <w:color w:val="212121"/>
          <w:sz w:val="23"/>
          <w:szCs w:val="23"/>
          <w:vertAlign w:val="subscript"/>
        </w:rPr>
        <w:t>Vertical-Superior</w:t>
      </w:r>
      <w:r>
        <w:rPr>
          <w:rFonts w:ascii="Cambria" w:hAnsi="Cambria"/>
          <w:color w:val="212121"/>
          <w:sz w:val="30"/>
          <w:szCs w:val="30"/>
        </w:rPr>
        <w:t> was 79.5 V/m, or a 117.6% increase, and the E</w:t>
      </w:r>
      <w:r>
        <w:rPr>
          <w:rFonts w:ascii="Cambria" w:hAnsi="Cambria"/>
          <w:color w:val="212121"/>
          <w:sz w:val="23"/>
          <w:szCs w:val="23"/>
          <w:vertAlign w:val="subscript"/>
        </w:rPr>
        <w:t>5%</w:t>
      </w:r>
      <w:r>
        <w:rPr>
          <w:rFonts w:ascii="Cambria" w:hAnsi="Cambria"/>
          <w:color w:val="212121"/>
          <w:sz w:val="30"/>
          <w:szCs w:val="30"/>
        </w:rPr>
        <w:t> for PA</w:t>
      </w:r>
      <w:r>
        <w:rPr>
          <w:rFonts w:ascii="Cambria" w:hAnsi="Cambria"/>
          <w:color w:val="212121"/>
          <w:sz w:val="23"/>
          <w:szCs w:val="23"/>
          <w:vertAlign w:val="subscript"/>
        </w:rPr>
        <w:t>Horizontal</w:t>
      </w:r>
      <w:r>
        <w:rPr>
          <w:rFonts w:ascii="Cambria" w:hAnsi="Cambria"/>
          <w:color w:val="212121"/>
          <w:sz w:val="30"/>
          <w:szCs w:val="30"/>
        </w:rPr>
        <w:t> was 159.4 V/m, or a 336.3% increase (Fig. </w:t>
      </w:r>
      <w:hyperlink r:id="rId68" w:tgtFrame="figure" w:history="1">
        <w:r>
          <w:rPr>
            <w:rStyle w:val="Hyperlink"/>
            <w:rFonts w:ascii="Cambria" w:hAnsi="Cambria"/>
            <w:color w:val="376FAA"/>
            <w:sz w:val="30"/>
            <w:szCs w:val="30"/>
          </w:rPr>
          <w:t>3</w:t>
        </w:r>
      </w:hyperlink>
      <w:r>
        <w:rPr>
          <w:rFonts w:ascii="Cambria" w:hAnsi="Cambria"/>
          <w:color w:val="212121"/>
          <w:sz w:val="30"/>
          <w:szCs w:val="30"/>
        </w:rPr>
        <w:t>c and Table </w:t>
      </w:r>
      <w:hyperlink r:id="rId69"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w:t>
      </w:r>
    </w:p>
    <w:p w14:paraId="2B5AC46F"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Similarly, current density hotspots within the cerebellum measured by the CD</w:t>
      </w:r>
      <w:r>
        <w:rPr>
          <w:rFonts w:ascii="Cambria" w:hAnsi="Cambria"/>
          <w:color w:val="212121"/>
          <w:sz w:val="23"/>
          <w:szCs w:val="23"/>
          <w:vertAlign w:val="subscript"/>
        </w:rPr>
        <w:t>5%</w:t>
      </w:r>
      <w:r>
        <w:rPr>
          <w:rFonts w:ascii="Cambria" w:hAnsi="Cambria"/>
          <w:color w:val="212121"/>
          <w:sz w:val="30"/>
          <w:szCs w:val="30"/>
        </w:rPr>
        <w:t> was 5.9 A/m</w:t>
      </w:r>
      <w:r>
        <w:rPr>
          <w:rFonts w:ascii="Cambria" w:hAnsi="Cambria"/>
          <w:color w:val="212121"/>
          <w:sz w:val="23"/>
          <w:szCs w:val="23"/>
          <w:vertAlign w:val="superscript"/>
        </w:rPr>
        <w:t>2</w:t>
      </w:r>
      <w:r>
        <w:rPr>
          <w:rFonts w:ascii="Cambria" w:hAnsi="Cambria"/>
          <w:color w:val="212121"/>
          <w:sz w:val="30"/>
          <w:szCs w:val="30"/>
        </w:rPr>
        <w:t> for the supratentorial array configuration while the CD</w:t>
      </w:r>
      <w:r>
        <w:rPr>
          <w:rFonts w:ascii="Cambria" w:hAnsi="Cambria"/>
          <w:color w:val="212121"/>
          <w:sz w:val="23"/>
          <w:szCs w:val="23"/>
          <w:vertAlign w:val="subscript"/>
        </w:rPr>
        <w:t>5%</w:t>
      </w:r>
      <w:r>
        <w:rPr>
          <w:rFonts w:ascii="Cambria" w:hAnsi="Cambria"/>
          <w:color w:val="212121"/>
          <w:sz w:val="30"/>
          <w:szCs w:val="30"/>
        </w:rPr>
        <w:t> was 15.3 A/m</w:t>
      </w:r>
      <w:r>
        <w:rPr>
          <w:rFonts w:ascii="Cambria" w:hAnsi="Cambria"/>
          <w:color w:val="212121"/>
          <w:sz w:val="23"/>
          <w:szCs w:val="23"/>
          <w:vertAlign w:val="superscript"/>
        </w:rPr>
        <w:t>2</w:t>
      </w:r>
      <w:r>
        <w:rPr>
          <w:rFonts w:ascii="Cambria" w:hAnsi="Cambria"/>
          <w:color w:val="212121"/>
          <w:sz w:val="30"/>
          <w:szCs w:val="30"/>
        </w:rPr>
        <w:t>, or a 157.3% increase, and 26.0 A/m</w:t>
      </w:r>
      <w:r>
        <w:rPr>
          <w:rFonts w:ascii="Cambria" w:hAnsi="Cambria"/>
          <w:color w:val="212121"/>
          <w:sz w:val="23"/>
          <w:szCs w:val="23"/>
          <w:vertAlign w:val="superscript"/>
        </w:rPr>
        <w:t>2</w:t>
      </w:r>
      <w:r>
        <w:rPr>
          <w:rFonts w:ascii="Cambria" w:hAnsi="Cambria"/>
          <w:color w:val="212121"/>
          <w:sz w:val="30"/>
          <w:szCs w:val="30"/>
        </w:rPr>
        <w:t>, or a 338.2% increase, for the PA</w:t>
      </w:r>
      <w:r>
        <w:rPr>
          <w:rFonts w:ascii="Cambria" w:hAnsi="Cambria"/>
          <w:color w:val="212121"/>
          <w:sz w:val="23"/>
          <w:szCs w:val="23"/>
          <w:vertAlign w:val="subscript"/>
        </w:rPr>
        <w:t>Vertical-Superior</w:t>
      </w:r>
      <w:r>
        <w:rPr>
          <w:rFonts w:ascii="Cambria" w:hAnsi="Cambria"/>
          <w:color w:val="212121"/>
          <w:sz w:val="30"/>
          <w:szCs w:val="30"/>
        </w:rPr>
        <w:t> and the PA</w:t>
      </w:r>
      <w:r>
        <w:rPr>
          <w:rFonts w:ascii="Cambria" w:hAnsi="Cambria"/>
          <w:color w:val="212121"/>
          <w:sz w:val="23"/>
          <w:szCs w:val="23"/>
          <w:vertAlign w:val="subscript"/>
        </w:rPr>
        <w:t>Horizontal</w:t>
      </w:r>
      <w:r>
        <w:rPr>
          <w:rFonts w:ascii="Cambria" w:hAnsi="Cambria"/>
          <w:color w:val="212121"/>
          <w:sz w:val="30"/>
          <w:szCs w:val="30"/>
        </w:rPr>
        <w:t> posterior fossa array configurations, respectively (Fig. </w:t>
      </w:r>
      <w:hyperlink r:id="rId70" w:tgtFrame="figure" w:history="1">
        <w:r>
          <w:rPr>
            <w:rStyle w:val="Hyperlink"/>
            <w:rFonts w:ascii="Cambria" w:hAnsi="Cambria"/>
            <w:color w:val="376FAA"/>
            <w:sz w:val="30"/>
            <w:szCs w:val="30"/>
          </w:rPr>
          <w:t>3</w:t>
        </w:r>
      </w:hyperlink>
      <w:r>
        <w:rPr>
          <w:rFonts w:ascii="Cambria" w:hAnsi="Cambria"/>
          <w:color w:val="212121"/>
          <w:sz w:val="30"/>
          <w:szCs w:val="30"/>
        </w:rPr>
        <w:t>d and Table </w:t>
      </w:r>
      <w:hyperlink r:id="rId71"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w:t>
      </w:r>
    </w:p>
    <w:p w14:paraId="542EA00E" w14:textId="77777777" w:rsidR="005A05FB" w:rsidRDefault="005A05FB" w:rsidP="005A05FB">
      <w:pPr>
        <w:shd w:val="clear" w:color="auto" w:fill="FFFFFF"/>
        <w:jc w:val="right"/>
        <w:rPr>
          <w:rFonts w:ascii="Cambria" w:hAnsi="Cambria"/>
          <w:color w:val="212121"/>
          <w:sz w:val="30"/>
          <w:szCs w:val="30"/>
        </w:rPr>
      </w:pPr>
      <w:hyperlink r:id="rId72" w:tooltip="Go to other sections in this page" w:history="1">
        <w:r>
          <w:rPr>
            <w:rStyle w:val="Hyperlink"/>
            <w:rFonts w:ascii="Source Sans Pro" w:hAnsi="Source Sans Pro"/>
            <w:color w:val="376FAA"/>
            <w:sz w:val="28"/>
            <w:szCs w:val="28"/>
          </w:rPr>
          <w:t>Go to:</w:t>
        </w:r>
      </w:hyperlink>
    </w:p>
    <w:p w14:paraId="1BBF08BD" w14:textId="77777777" w:rsidR="005A05FB" w:rsidRDefault="005A05FB" w:rsidP="005A05FB">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lastRenderedPageBreak/>
        <w:t>Discussion</w:t>
      </w:r>
    </w:p>
    <w:p w14:paraId="0ABEF15D"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TTFields therapy is an accepted treatment modality for patients with glioblastoma and a better understanding is needed on array positioning that can affect TTFields coverage at the tumor target. This is particularly important for glioblastomas located within the posterior fossa and, to our knowledge, we are first to show that the standard array configuration does not provide adequate electric field coverage for the GTV located in this region. However, the alternative array configurations for the posterior fossa provided an average of 48.0% more coverage to the GTV as measured by the E</w:t>
      </w:r>
      <w:r>
        <w:rPr>
          <w:rFonts w:ascii="Cambria" w:hAnsi="Cambria"/>
          <w:color w:val="212121"/>
          <w:sz w:val="23"/>
          <w:szCs w:val="23"/>
          <w:vertAlign w:val="subscript"/>
        </w:rPr>
        <w:t>AUC</w:t>
      </w:r>
      <w:r>
        <w:rPr>
          <w:rFonts w:ascii="Cambria" w:hAnsi="Cambria"/>
          <w:color w:val="212121"/>
          <w:sz w:val="30"/>
          <w:szCs w:val="30"/>
        </w:rPr>
        <w:t>. In addition, hotspots defined by the E</w:t>
      </w:r>
      <w:r>
        <w:rPr>
          <w:rFonts w:ascii="Cambria" w:hAnsi="Cambria"/>
          <w:color w:val="212121"/>
          <w:sz w:val="23"/>
          <w:szCs w:val="23"/>
          <w:vertAlign w:val="subscript"/>
        </w:rPr>
        <w:t>5%</w:t>
      </w:r>
      <w:r>
        <w:rPr>
          <w:rFonts w:ascii="Cambria" w:hAnsi="Cambria"/>
          <w:color w:val="212121"/>
          <w:sz w:val="30"/>
          <w:szCs w:val="30"/>
        </w:rPr>
        <w:t> had an average increase as much as 95.6%. Although only 4% of adult gliomas are located in the posterior fossa and the biology of these tumors is probably different from those located in the supratentorial brain [</w:t>
      </w:r>
      <w:hyperlink r:id="rId73" w:anchor="CR10" w:history="1">
        <w:r>
          <w:rPr>
            <w:rStyle w:val="Hyperlink"/>
            <w:rFonts w:ascii="Cambria" w:hAnsi="Cambria"/>
            <w:color w:val="376FAA"/>
            <w:sz w:val="30"/>
            <w:szCs w:val="30"/>
          </w:rPr>
          <w:t>10</w:t>
        </w:r>
      </w:hyperlink>
      <w:r>
        <w:rPr>
          <w:rFonts w:ascii="Cambria" w:hAnsi="Cambria"/>
          <w:color w:val="212121"/>
          <w:sz w:val="30"/>
          <w:szCs w:val="30"/>
        </w:rPr>
        <w:t>], posterior fossa glioblastomas may still benefit from TTFields. This is because the mechanism of TTFields’ anti-tumor effect applies to any dividing tumor cells where large proteins with high dipole moments are required for cytokinesis and segregation of sister chromatids during metaphase and anaphase in mitosis [</w:t>
      </w:r>
      <w:hyperlink r:id="rId74" w:anchor="CR2" w:history="1">
        <w:r>
          <w:rPr>
            <w:rStyle w:val="Hyperlink"/>
            <w:rFonts w:ascii="Cambria" w:hAnsi="Cambria"/>
            <w:color w:val="376FAA"/>
            <w:sz w:val="30"/>
            <w:szCs w:val="30"/>
          </w:rPr>
          <w:t>2</w:t>
        </w:r>
      </w:hyperlink>
      <w:r>
        <w:rPr>
          <w:rFonts w:ascii="Cambria" w:hAnsi="Cambria"/>
          <w:color w:val="212121"/>
          <w:sz w:val="30"/>
          <w:szCs w:val="30"/>
        </w:rPr>
        <w:t>, </w:t>
      </w:r>
      <w:hyperlink r:id="rId75" w:anchor="CR11" w:history="1">
        <w:r>
          <w:rPr>
            <w:rStyle w:val="Hyperlink"/>
            <w:rFonts w:ascii="Cambria" w:hAnsi="Cambria"/>
            <w:color w:val="376FAA"/>
            <w:sz w:val="30"/>
            <w:szCs w:val="30"/>
          </w:rPr>
          <w:t>11</w:t>
        </w:r>
      </w:hyperlink>
      <w:r>
        <w:rPr>
          <w:rFonts w:ascii="Cambria" w:hAnsi="Cambria"/>
          <w:color w:val="212121"/>
          <w:sz w:val="30"/>
          <w:szCs w:val="30"/>
        </w:rPr>
        <w:t>]. With specific placement of the arrays as part of treatment planning, TTFields can potentially become a precision-guided anti-tumor therapy targeting dividing glioblastoma cells at a pre-specified location in the brain. Therefore, determining the electric field coverage of the glioblastoma within the intracranial space is highly relevant to patient care.</w:t>
      </w:r>
    </w:p>
    <w:p w14:paraId="5A3E20D3"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Array positioning has been shown to affect the electric field strength at various intracranial structures and particularly at the GTV [</w:t>
      </w:r>
      <w:hyperlink r:id="rId76" w:anchor="CR7" w:history="1">
        <w:r>
          <w:rPr>
            <w:rStyle w:val="Hyperlink"/>
            <w:rFonts w:ascii="Cambria" w:hAnsi="Cambria"/>
            <w:color w:val="376FAA"/>
            <w:sz w:val="30"/>
            <w:szCs w:val="30"/>
          </w:rPr>
          <w:t>7</w:t>
        </w:r>
      </w:hyperlink>
      <w:r>
        <w:rPr>
          <w:rFonts w:ascii="Cambria" w:hAnsi="Cambria"/>
          <w:color w:val="212121"/>
          <w:sz w:val="30"/>
          <w:szCs w:val="30"/>
        </w:rPr>
        <w:t>, </w:t>
      </w:r>
      <w:hyperlink r:id="rId77" w:anchor="CR12" w:history="1">
        <w:r>
          <w:rPr>
            <w:rStyle w:val="Hyperlink"/>
            <w:rFonts w:ascii="Cambria" w:hAnsi="Cambria"/>
            <w:color w:val="376FAA"/>
            <w:sz w:val="30"/>
            <w:szCs w:val="30"/>
          </w:rPr>
          <w:t>12</w:t>
        </w:r>
      </w:hyperlink>
      <w:r>
        <w:rPr>
          <w:rFonts w:ascii="Cambria" w:hAnsi="Cambria"/>
          <w:color w:val="212121"/>
          <w:sz w:val="30"/>
          <w:szCs w:val="30"/>
        </w:rPr>
        <w:t>]. To quantify this effect, we used a set of PQM parameters derived from the EVH and CDVH of different models. PQM has been used to evaluate radiation treatment plans to ensure adequate coverage to the target(s) while minimizing doses to the surrounding normal tissue [</w:t>
      </w:r>
      <w:hyperlink r:id="rId78" w:anchor="CR13" w:history="1">
        <w:r>
          <w:rPr>
            <w:rStyle w:val="Hyperlink"/>
            <w:rFonts w:ascii="Cambria" w:hAnsi="Cambria"/>
            <w:color w:val="376FAA"/>
            <w:sz w:val="30"/>
            <w:szCs w:val="30"/>
          </w:rPr>
          <w:t>13</w:t>
        </w:r>
      </w:hyperlink>
      <w:r>
        <w:rPr>
          <w:rFonts w:ascii="Cambria" w:hAnsi="Cambria"/>
          <w:color w:val="212121"/>
          <w:sz w:val="30"/>
          <w:szCs w:val="30"/>
        </w:rPr>
        <w:t>, </w:t>
      </w:r>
      <w:hyperlink r:id="rId79" w:anchor="CR14" w:history="1">
        <w:r>
          <w:rPr>
            <w:rStyle w:val="Hyperlink"/>
            <w:rFonts w:ascii="Cambria" w:hAnsi="Cambria"/>
            <w:color w:val="376FAA"/>
            <w:sz w:val="30"/>
            <w:szCs w:val="30"/>
          </w:rPr>
          <w:t>14</w:t>
        </w:r>
      </w:hyperlink>
      <w:r>
        <w:rPr>
          <w:rFonts w:ascii="Cambria" w:hAnsi="Cambria"/>
          <w:color w:val="212121"/>
          <w:sz w:val="30"/>
          <w:szCs w:val="30"/>
        </w:rPr>
        <w:t>]. For our application in TTFields, relevant parameters include E</w:t>
      </w:r>
      <w:r>
        <w:rPr>
          <w:rFonts w:ascii="Cambria" w:hAnsi="Cambria"/>
          <w:color w:val="212121"/>
          <w:sz w:val="23"/>
          <w:szCs w:val="23"/>
          <w:vertAlign w:val="subscript"/>
        </w:rPr>
        <w:t>AUC</w:t>
      </w:r>
      <w:r>
        <w:rPr>
          <w:rFonts w:ascii="Cambria" w:hAnsi="Cambria"/>
          <w:color w:val="212121"/>
          <w:sz w:val="30"/>
          <w:szCs w:val="30"/>
        </w:rPr>
        <w:t> and CDVH</w:t>
      </w:r>
      <w:r>
        <w:rPr>
          <w:rFonts w:ascii="Cambria" w:hAnsi="Cambria"/>
          <w:color w:val="212121"/>
          <w:sz w:val="23"/>
          <w:szCs w:val="23"/>
          <w:vertAlign w:val="subscript"/>
        </w:rPr>
        <w:t>AUC</w:t>
      </w:r>
      <w:r>
        <w:rPr>
          <w:rFonts w:ascii="Cambria" w:hAnsi="Cambria"/>
          <w:color w:val="212121"/>
          <w:sz w:val="30"/>
          <w:szCs w:val="30"/>
        </w:rPr>
        <w:t> for an aggregate measure of electric field and current density coverage at the GTV, as well as measurements of E</w:t>
      </w:r>
      <w:r>
        <w:rPr>
          <w:rFonts w:ascii="Cambria" w:hAnsi="Cambria"/>
          <w:color w:val="212121"/>
          <w:sz w:val="23"/>
          <w:szCs w:val="23"/>
          <w:vertAlign w:val="subscript"/>
        </w:rPr>
        <w:t>5%</w:t>
      </w:r>
      <w:r>
        <w:rPr>
          <w:rFonts w:ascii="Cambria" w:hAnsi="Cambria"/>
          <w:color w:val="212121"/>
          <w:sz w:val="30"/>
          <w:szCs w:val="30"/>
        </w:rPr>
        <w:t> and CDVH</w:t>
      </w:r>
      <w:r>
        <w:rPr>
          <w:rFonts w:ascii="Cambria" w:hAnsi="Cambria"/>
          <w:color w:val="212121"/>
          <w:sz w:val="23"/>
          <w:szCs w:val="23"/>
          <w:vertAlign w:val="subscript"/>
        </w:rPr>
        <w:t>5%</w:t>
      </w:r>
      <w:r>
        <w:rPr>
          <w:rFonts w:ascii="Cambria" w:hAnsi="Cambria"/>
          <w:color w:val="212121"/>
          <w:sz w:val="30"/>
          <w:szCs w:val="30"/>
        </w:rPr>
        <w:t> at hotspots within the GTV, respectively. Indeed, using this method, we were able to compare quantitatively the strength of the electric fields and current densities across a number of array configurations.</w:t>
      </w:r>
    </w:p>
    <w:p w14:paraId="1C7E26A8"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 similar analysis consisting of computing TTFields intensity and power distribution for supratentorial glioblastomas was performed utilizing MRI data from subjects participated in the EF-14 randomized clinical trial [</w:t>
      </w:r>
      <w:hyperlink r:id="rId80" w:anchor="CR3" w:history="1">
        <w:r>
          <w:rPr>
            <w:rStyle w:val="Hyperlink"/>
            <w:rFonts w:ascii="Cambria" w:hAnsi="Cambria"/>
            <w:color w:val="376FAA"/>
            <w:sz w:val="30"/>
            <w:szCs w:val="30"/>
          </w:rPr>
          <w:t>3</w:t>
        </w:r>
      </w:hyperlink>
      <w:r>
        <w:rPr>
          <w:rFonts w:ascii="Cambria" w:hAnsi="Cambria"/>
          <w:color w:val="212121"/>
          <w:sz w:val="30"/>
          <w:szCs w:val="30"/>
        </w:rPr>
        <w:t>]. Using a parameter of local minimum dose density at the GTV, which is defined as the product of TTFields intensity, tissue-specific conductivities and patient compliance, a correlation was found between dose density and survival [</w:t>
      </w:r>
      <w:hyperlink r:id="rId81" w:anchor="CR15" w:history="1">
        <w:r>
          <w:rPr>
            <w:rStyle w:val="Hyperlink"/>
            <w:rFonts w:ascii="Cambria" w:hAnsi="Cambria"/>
            <w:color w:val="376FAA"/>
            <w:sz w:val="30"/>
            <w:szCs w:val="30"/>
          </w:rPr>
          <w:t>15</w:t>
        </w:r>
      </w:hyperlink>
      <w:r>
        <w:rPr>
          <w:rFonts w:ascii="Cambria" w:hAnsi="Cambria"/>
          <w:color w:val="212121"/>
          <w:sz w:val="30"/>
          <w:szCs w:val="30"/>
        </w:rPr>
        <w:t xml:space="preserve">]. However, only 340 (73%) of the </w:t>
      </w:r>
      <w:r>
        <w:rPr>
          <w:rFonts w:ascii="Cambria" w:hAnsi="Cambria"/>
          <w:color w:val="212121"/>
          <w:sz w:val="30"/>
          <w:szCs w:val="30"/>
        </w:rPr>
        <w:lastRenderedPageBreak/>
        <w:t>entire TTFields-treated population (n = 466) had MRI qualities acceptable for analysis and the outcome of this analysis remains to be confirmed in a validation cohort.</w:t>
      </w:r>
    </w:p>
    <w:p w14:paraId="2E9DB301"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Our finite element analysis revealed that TTFields coverage of the cerebellar glioblastoma was greatly improved with any of the alternative array configurations for the posterior fossa when compared to the standard supratentorial configuration. This is most likely due to the increased proximity of the PA array to the tumor, which is located at the dorsal region of the posterior fossa. Of the 6 alternative configurations, the PA</w:t>
      </w:r>
      <w:r>
        <w:rPr>
          <w:rFonts w:ascii="Cambria" w:hAnsi="Cambria"/>
          <w:color w:val="212121"/>
          <w:sz w:val="23"/>
          <w:szCs w:val="23"/>
          <w:vertAlign w:val="subscript"/>
        </w:rPr>
        <w:t>Horizontal</w:t>
      </w:r>
      <w:r>
        <w:rPr>
          <w:rFonts w:ascii="Cambria" w:hAnsi="Cambria"/>
          <w:color w:val="212121"/>
          <w:sz w:val="30"/>
          <w:szCs w:val="30"/>
        </w:rPr>
        <w:t> array configuration provided the most extensive coverage to the GTV. This benefit is most likely attributed to coverage of the entire GTV with increased electric fields provided by the PA array. Specifically, the PA</w:t>
      </w:r>
      <w:r>
        <w:rPr>
          <w:rFonts w:ascii="Cambria" w:hAnsi="Cambria"/>
          <w:color w:val="212121"/>
          <w:sz w:val="23"/>
          <w:szCs w:val="23"/>
          <w:vertAlign w:val="subscript"/>
        </w:rPr>
        <w:t>horizontal</w:t>
      </w:r>
      <w:r>
        <w:rPr>
          <w:rFonts w:ascii="Cambria" w:hAnsi="Cambria"/>
          <w:color w:val="212121"/>
          <w:sz w:val="30"/>
          <w:szCs w:val="30"/>
        </w:rPr>
        <w:t> configuration, in comparison to the PA</w:t>
      </w:r>
      <w:r>
        <w:rPr>
          <w:rFonts w:ascii="Cambria" w:hAnsi="Cambria"/>
          <w:color w:val="212121"/>
          <w:sz w:val="23"/>
          <w:szCs w:val="23"/>
          <w:vertAlign w:val="subscript"/>
        </w:rPr>
        <w:t>Vertical-Superior</w:t>
      </w:r>
      <w:r>
        <w:rPr>
          <w:rFonts w:ascii="Cambria" w:hAnsi="Cambria"/>
          <w:color w:val="212121"/>
          <w:sz w:val="30"/>
          <w:szCs w:val="30"/>
        </w:rPr>
        <w:t> and PA</w:t>
      </w:r>
      <w:r>
        <w:rPr>
          <w:rFonts w:ascii="Cambria" w:hAnsi="Cambria"/>
          <w:color w:val="212121"/>
          <w:sz w:val="23"/>
          <w:szCs w:val="23"/>
          <w:vertAlign w:val="subscript"/>
        </w:rPr>
        <w:t>Vertical-Center</w:t>
      </w:r>
      <w:r>
        <w:rPr>
          <w:rFonts w:ascii="Cambria" w:hAnsi="Cambria"/>
          <w:color w:val="212121"/>
          <w:sz w:val="30"/>
          <w:szCs w:val="30"/>
        </w:rPr>
        <w:t> configurations, decreases the distance between the PA and the two lateral arrays, and therefore increases the electric field intensity within the posterior fossa. This increase in field strength has been observed by other studies performing similar TTFields modeling [</w:t>
      </w:r>
      <w:hyperlink r:id="rId82" w:anchor="CR7" w:history="1">
        <w:r>
          <w:rPr>
            <w:rStyle w:val="Hyperlink"/>
            <w:rFonts w:ascii="Cambria" w:hAnsi="Cambria"/>
            <w:color w:val="376FAA"/>
            <w:sz w:val="30"/>
            <w:szCs w:val="30"/>
          </w:rPr>
          <w:t>7</w:t>
        </w:r>
      </w:hyperlink>
      <w:r>
        <w:rPr>
          <w:rFonts w:ascii="Cambria" w:hAnsi="Cambria"/>
          <w:color w:val="212121"/>
          <w:sz w:val="30"/>
          <w:szCs w:val="30"/>
        </w:rPr>
        <w:t>, </w:t>
      </w:r>
      <w:hyperlink r:id="rId83" w:anchor="CR16" w:history="1">
        <w:r>
          <w:rPr>
            <w:rStyle w:val="Hyperlink"/>
            <w:rFonts w:ascii="Cambria" w:hAnsi="Cambria"/>
            <w:color w:val="376FAA"/>
            <w:sz w:val="30"/>
            <w:szCs w:val="30"/>
          </w:rPr>
          <w:t>16</w:t>
        </w:r>
      </w:hyperlink>
      <w:r>
        <w:rPr>
          <w:rFonts w:ascii="Cambria" w:hAnsi="Cambria"/>
          <w:color w:val="212121"/>
          <w:sz w:val="30"/>
          <w:szCs w:val="30"/>
        </w:rPr>
        <w:t>]. A probable and additional attribution to the increased coverage could be due to the slight angular rotation and posterior shift of the right and left lateral arrays, providing a higher current density throughout the posterior portion of the brain and thereby increasing electric field coverage to the GTV.</w:t>
      </w:r>
    </w:p>
    <w:p w14:paraId="72E8FB23"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By applying the fields to the head using the PA</w:t>
      </w:r>
      <w:r>
        <w:rPr>
          <w:rFonts w:ascii="Cambria" w:hAnsi="Cambria"/>
          <w:color w:val="212121"/>
          <w:sz w:val="23"/>
          <w:szCs w:val="23"/>
          <w:vertAlign w:val="subscript"/>
        </w:rPr>
        <w:t>Horizontal</w:t>
      </w:r>
      <w:r>
        <w:rPr>
          <w:rFonts w:ascii="Cambria" w:hAnsi="Cambria"/>
          <w:color w:val="212121"/>
          <w:sz w:val="30"/>
          <w:szCs w:val="30"/>
        </w:rPr>
        <w:t> configuration, our computer modeling revealed a qualitative increase in the electric field penetration at the GTV, compared to the PA</w:t>
      </w:r>
      <w:r>
        <w:rPr>
          <w:rFonts w:ascii="Cambria" w:hAnsi="Cambria"/>
          <w:color w:val="212121"/>
          <w:sz w:val="23"/>
          <w:szCs w:val="23"/>
          <w:vertAlign w:val="subscript"/>
        </w:rPr>
        <w:t>Vertical-Superior</w:t>
      </w:r>
      <w:r>
        <w:rPr>
          <w:rFonts w:ascii="Cambria" w:hAnsi="Cambria"/>
          <w:color w:val="212121"/>
          <w:sz w:val="30"/>
          <w:szCs w:val="30"/>
        </w:rPr>
        <w:t> and PA</w:t>
      </w:r>
      <w:r>
        <w:rPr>
          <w:rFonts w:ascii="Cambria" w:hAnsi="Cambria"/>
          <w:color w:val="212121"/>
          <w:sz w:val="23"/>
          <w:szCs w:val="23"/>
          <w:vertAlign w:val="subscript"/>
        </w:rPr>
        <w:t>Vertical-Center</w:t>
      </w:r>
      <w:r>
        <w:rPr>
          <w:rFonts w:ascii="Cambria" w:hAnsi="Cambria"/>
          <w:color w:val="212121"/>
          <w:sz w:val="30"/>
          <w:szCs w:val="30"/>
        </w:rPr>
        <w:t> configurations, when the PA array was rotated so that the long axis of the array was parallel to the coronal plane. However, this array position also increased the field intensity within the vertebral bodies and muscles posteriorly in the neck. As shown in Fig. </w:t>
      </w:r>
      <w:hyperlink r:id="rId84" w:tgtFrame="figure" w:history="1">
        <w:r>
          <w:rPr>
            <w:rStyle w:val="Hyperlink"/>
            <w:rFonts w:ascii="Cambria" w:hAnsi="Cambria"/>
            <w:color w:val="376FAA"/>
            <w:sz w:val="30"/>
            <w:szCs w:val="30"/>
          </w:rPr>
          <w:t>2</w:t>
        </w:r>
      </w:hyperlink>
      <w:r>
        <w:rPr>
          <w:rFonts w:ascii="Cambria" w:hAnsi="Cambria"/>
          <w:color w:val="212121"/>
          <w:sz w:val="30"/>
          <w:szCs w:val="30"/>
        </w:rPr>
        <w:t>b–d, the three horizontal PA configurations produced higher field intensities at the odontoid of the C2 vertebral body when compared to the PA</w:t>
      </w:r>
      <w:r>
        <w:rPr>
          <w:rFonts w:ascii="Cambria" w:hAnsi="Cambria"/>
          <w:color w:val="212121"/>
          <w:sz w:val="23"/>
          <w:szCs w:val="23"/>
          <w:vertAlign w:val="subscript"/>
        </w:rPr>
        <w:t>Vertical-Superior</w:t>
      </w:r>
      <w:r>
        <w:rPr>
          <w:rFonts w:ascii="Cambria" w:hAnsi="Cambria"/>
          <w:color w:val="212121"/>
          <w:sz w:val="30"/>
          <w:szCs w:val="30"/>
        </w:rPr>
        <w:t> and PA</w:t>
      </w:r>
      <w:r>
        <w:rPr>
          <w:rFonts w:ascii="Cambria" w:hAnsi="Cambria"/>
          <w:color w:val="212121"/>
          <w:sz w:val="23"/>
          <w:szCs w:val="23"/>
          <w:vertAlign w:val="subscript"/>
        </w:rPr>
        <w:t>Vertical-Center</w:t>
      </w:r>
      <w:r>
        <w:rPr>
          <w:rFonts w:ascii="Cambria" w:hAnsi="Cambria"/>
          <w:color w:val="212121"/>
          <w:sz w:val="30"/>
          <w:szCs w:val="30"/>
        </w:rPr>
        <w:t> configurations, and even more so when compared to the supratentorial configuration. In addition, a qualitative assessment of models applying the PA</w:t>
      </w:r>
      <w:r>
        <w:rPr>
          <w:rFonts w:ascii="Cambria" w:hAnsi="Cambria"/>
          <w:color w:val="212121"/>
          <w:sz w:val="23"/>
          <w:szCs w:val="23"/>
          <w:vertAlign w:val="subscript"/>
        </w:rPr>
        <w:t>Horizontal</w:t>
      </w:r>
      <w:r>
        <w:rPr>
          <w:rFonts w:ascii="Cambria" w:hAnsi="Cambria"/>
          <w:color w:val="212121"/>
          <w:sz w:val="30"/>
          <w:szCs w:val="30"/>
        </w:rPr>
        <w:t>, PA</w:t>
      </w:r>
      <w:r>
        <w:rPr>
          <w:rFonts w:ascii="Cambria" w:hAnsi="Cambria"/>
          <w:color w:val="212121"/>
          <w:sz w:val="23"/>
          <w:szCs w:val="23"/>
          <w:vertAlign w:val="subscript"/>
        </w:rPr>
        <w:t>Horizontal-RT</w:t>
      </w:r>
      <w:r>
        <w:rPr>
          <w:rFonts w:ascii="Cambria" w:hAnsi="Cambria"/>
          <w:color w:val="212121"/>
          <w:sz w:val="30"/>
          <w:szCs w:val="30"/>
        </w:rPr>
        <w:t> and PA</w:t>
      </w:r>
      <w:r>
        <w:rPr>
          <w:rFonts w:ascii="Cambria" w:hAnsi="Cambria"/>
          <w:color w:val="212121"/>
          <w:sz w:val="23"/>
          <w:szCs w:val="23"/>
          <w:vertAlign w:val="subscript"/>
        </w:rPr>
        <w:t>Horizontal-LT</w:t>
      </w:r>
      <w:r>
        <w:rPr>
          <w:rFonts w:ascii="Cambria" w:hAnsi="Cambria"/>
          <w:color w:val="212121"/>
          <w:sz w:val="30"/>
          <w:szCs w:val="30"/>
        </w:rPr>
        <w:t> configurations produced an increase in field intensity within the scalp region inferiorly but a decrease in field intensity superiorly. When shifted laterally left or right by 2 cm from the PA</w:t>
      </w:r>
      <w:r>
        <w:rPr>
          <w:rFonts w:ascii="Cambria" w:hAnsi="Cambria"/>
          <w:color w:val="212121"/>
          <w:sz w:val="23"/>
          <w:szCs w:val="23"/>
          <w:vertAlign w:val="subscript"/>
        </w:rPr>
        <w:t>Horizontal</w:t>
      </w:r>
      <w:r>
        <w:rPr>
          <w:rFonts w:ascii="Cambria" w:hAnsi="Cambria"/>
          <w:color w:val="212121"/>
          <w:sz w:val="30"/>
          <w:szCs w:val="30"/>
        </w:rPr>
        <w:t> configuration, only marginal and probably non-clinically relevant differences in field coverage of the GTV were observed. Additionally, by rotating the AP array by 90° in the AP-PA</w:t>
      </w:r>
      <w:r>
        <w:rPr>
          <w:rFonts w:ascii="Cambria" w:hAnsi="Cambria"/>
          <w:color w:val="212121"/>
          <w:sz w:val="23"/>
          <w:szCs w:val="23"/>
          <w:vertAlign w:val="subscript"/>
        </w:rPr>
        <w:t>Horizontal</w:t>
      </w:r>
      <w:r>
        <w:rPr>
          <w:rFonts w:ascii="Cambria" w:hAnsi="Cambria"/>
          <w:color w:val="212121"/>
          <w:sz w:val="30"/>
          <w:szCs w:val="30"/>
        </w:rPr>
        <w:t xml:space="preserve"> configuration, only marginal differences were observed in fields coverage quantified by the various PQM metrics. This suggests that rotating the AP array, potentially provides another </w:t>
      </w:r>
      <w:r>
        <w:rPr>
          <w:rFonts w:ascii="Cambria" w:hAnsi="Cambria"/>
          <w:color w:val="212121"/>
          <w:sz w:val="30"/>
          <w:szCs w:val="30"/>
        </w:rPr>
        <w:lastRenderedPageBreak/>
        <w:t>means of applying roughly the same field intensity as the PA</w:t>
      </w:r>
      <w:r>
        <w:rPr>
          <w:rFonts w:ascii="Cambria" w:hAnsi="Cambria"/>
          <w:color w:val="212121"/>
          <w:sz w:val="23"/>
          <w:szCs w:val="23"/>
          <w:vertAlign w:val="subscript"/>
        </w:rPr>
        <w:t>Horizontal</w:t>
      </w:r>
      <w:r>
        <w:rPr>
          <w:rFonts w:ascii="Cambria" w:hAnsi="Cambria"/>
          <w:color w:val="212121"/>
          <w:sz w:val="30"/>
          <w:szCs w:val="30"/>
        </w:rPr>
        <w:t> configuration for tumors in the posterior fossa (Fig. </w:t>
      </w:r>
      <w:hyperlink r:id="rId85" w:tgtFrame="figure" w:history="1">
        <w:r>
          <w:rPr>
            <w:rStyle w:val="Hyperlink"/>
            <w:rFonts w:ascii="Cambria" w:hAnsi="Cambria"/>
            <w:color w:val="376FAA"/>
            <w:sz w:val="30"/>
            <w:szCs w:val="30"/>
          </w:rPr>
          <w:t>3</w:t>
        </w:r>
      </w:hyperlink>
      <w:r>
        <w:rPr>
          <w:rFonts w:ascii="Cambria" w:hAnsi="Cambria"/>
          <w:color w:val="212121"/>
          <w:sz w:val="30"/>
          <w:szCs w:val="30"/>
        </w:rPr>
        <w:t>).</w:t>
      </w:r>
    </w:p>
    <w:p w14:paraId="6EF75C62"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An increase in the electric field intensity was also observed at the genu of the corpus callosum and the anterior one-third of the body of this structure in the alternative array configurations. This is likely due to the fact that the most inferior margin of the fields extends well beyond the posterior commissure line and thus TTFields cover a greater area of the corpus callosum. However, in the supratentorial array configuration, the margin of the field only tangentially skims the posterior commissure line.</w:t>
      </w:r>
    </w:p>
    <w:p w14:paraId="22A00062"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 limitation of our finite element modeling is a lack of experimentally measured electric field data for both supratentorial and alternative array configurations in the posterior fossa. This will require a clinical trial in which the electric field intensity is measured in the patient while TTFields are being applied to the scalp. Furthermore, the exact conductivity and permittivity values for glioblastoma are unknown. However, our prior sensitivity analysis has shown that the electric field strength from modeling is primarily influenced by tissue conductivity rather than permittivity [</w:t>
      </w:r>
      <w:hyperlink r:id="rId86" w:anchor="CR12" w:history="1">
        <w:r>
          <w:rPr>
            <w:rStyle w:val="Hyperlink"/>
            <w:rFonts w:ascii="Cambria" w:hAnsi="Cambria"/>
            <w:color w:val="376FAA"/>
            <w:sz w:val="30"/>
            <w:szCs w:val="30"/>
          </w:rPr>
          <w:t>12</w:t>
        </w:r>
      </w:hyperlink>
      <w:r>
        <w:rPr>
          <w:rFonts w:ascii="Cambria" w:hAnsi="Cambria"/>
          <w:color w:val="212121"/>
          <w:sz w:val="30"/>
          <w:szCs w:val="30"/>
        </w:rPr>
        <w:t>] and to obtain tumor-specific conductivity value will require experimental measurements as well.</w:t>
      </w:r>
    </w:p>
    <w:p w14:paraId="6F3B6EEA" w14:textId="77777777" w:rsidR="005A05FB" w:rsidRDefault="005A05FB" w:rsidP="005A05FB">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In summary, this is the first finite element modeling of a cerebellar glioblastoma and we showed that the alternative array configuration for the posterior fossa offers an improved TTFields coverage to the tumor compared to the conventional supratentorial array configuration. This increased electric field coverage is due to shifting of the PA array to the lower occipital and upper cervical regions while the right and left lateral arrays are moved backward. Benefit of this array positioning will require clinical validation.</w:t>
      </w:r>
    </w:p>
    <w:p w14:paraId="561AF381" w14:textId="77777777" w:rsidR="005A05FB" w:rsidRDefault="005A05FB" w:rsidP="005A05FB">
      <w:pPr>
        <w:shd w:val="clear" w:color="auto" w:fill="FFFFFF"/>
        <w:jc w:val="right"/>
        <w:rPr>
          <w:rFonts w:ascii="Cambria" w:hAnsi="Cambria"/>
          <w:color w:val="212121"/>
          <w:sz w:val="30"/>
          <w:szCs w:val="30"/>
        </w:rPr>
      </w:pPr>
      <w:hyperlink r:id="rId87" w:tooltip="Go to other sections in this page" w:history="1">
        <w:r>
          <w:rPr>
            <w:rStyle w:val="Hyperlink"/>
            <w:rFonts w:ascii="Source Sans Pro" w:hAnsi="Source Sans Pro"/>
            <w:color w:val="376FAA"/>
            <w:sz w:val="28"/>
            <w:szCs w:val="28"/>
          </w:rPr>
          <w:t>Go to:</w:t>
        </w:r>
      </w:hyperlink>
    </w:p>
    <w:p w14:paraId="62FC764D" w14:textId="77777777" w:rsidR="005A05FB" w:rsidRDefault="005A05FB" w:rsidP="005A05FB">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Funding</w:t>
      </w:r>
    </w:p>
    <w:p w14:paraId="0A534B08"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This work is supported in part by </w:t>
      </w:r>
      <w:r>
        <w:rPr>
          <w:rStyle w:val="Emphasis"/>
          <w:rFonts w:ascii="Cambria" w:hAnsi="Cambria"/>
          <w:color w:val="212121"/>
          <w:sz w:val="30"/>
          <w:szCs w:val="30"/>
        </w:rPr>
        <w:t>A Reason To Ride</w:t>
      </w:r>
      <w:r>
        <w:rPr>
          <w:rFonts w:ascii="Cambria" w:hAnsi="Cambria"/>
          <w:color w:val="212121"/>
          <w:sz w:val="30"/>
          <w:szCs w:val="30"/>
        </w:rPr>
        <w:t> research fund.</w:t>
      </w:r>
    </w:p>
    <w:p w14:paraId="38722A54" w14:textId="77777777" w:rsidR="005A05FB" w:rsidRDefault="005A05FB" w:rsidP="005A05FB">
      <w:pPr>
        <w:shd w:val="clear" w:color="auto" w:fill="FFFFFF"/>
        <w:jc w:val="right"/>
        <w:rPr>
          <w:rFonts w:ascii="Cambria" w:hAnsi="Cambria"/>
          <w:color w:val="212121"/>
          <w:sz w:val="30"/>
          <w:szCs w:val="30"/>
        </w:rPr>
      </w:pPr>
      <w:hyperlink r:id="rId88" w:tooltip="Go to other sections in this page" w:history="1">
        <w:r>
          <w:rPr>
            <w:rStyle w:val="Hyperlink"/>
            <w:rFonts w:ascii="Source Sans Pro" w:hAnsi="Source Sans Pro"/>
            <w:color w:val="376FAA"/>
            <w:sz w:val="28"/>
            <w:szCs w:val="28"/>
          </w:rPr>
          <w:t>Go to:</w:t>
        </w:r>
      </w:hyperlink>
    </w:p>
    <w:p w14:paraId="0ECEA9BE" w14:textId="77777777" w:rsidR="005A05FB" w:rsidRDefault="005A05FB" w:rsidP="005A05FB">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lastRenderedPageBreak/>
        <w:t>Compliance with ethical standards</w:t>
      </w:r>
    </w:p>
    <w:p w14:paraId="29528D9B" w14:textId="77777777" w:rsidR="005A05FB" w:rsidRDefault="005A05FB" w:rsidP="005A05FB">
      <w:pPr>
        <w:shd w:val="clear" w:color="auto" w:fill="FFFFFF"/>
        <w:rPr>
          <w:rFonts w:ascii="Cambria" w:hAnsi="Cambria"/>
          <w:color w:val="212121"/>
          <w:sz w:val="30"/>
          <w:szCs w:val="30"/>
        </w:rPr>
      </w:pPr>
      <w:r>
        <w:rPr>
          <w:rFonts w:ascii="Cambria" w:hAnsi="Cambria"/>
          <w:color w:val="212121"/>
          <w:sz w:val="30"/>
          <w:szCs w:val="30"/>
        </w:rPr>
        <w:t>Conflict of interest</w:t>
      </w:r>
    </w:p>
    <w:p w14:paraId="5F0F33E5"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Eric T Wong has received research funding for clinical trials and a laboratory project investigating the basic mechanisms of alternating electric fields on dividing tumor cells from Novocure, the company that makes the patient treatment device that emits Tumor Treating Fields. Edwin Lok, Pyay San, Olivia Liang and Victoria White have no conflict of interest.</w:t>
      </w:r>
    </w:p>
    <w:p w14:paraId="6546C80F" w14:textId="77777777" w:rsidR="005A05FB" w:rsidRDefault="005A05FB" w:rsidP="005A05FB">
      <w:pPr>
        <w:shd w:val="clear" w:color="auto" w:fill="FFFFFF"/>
        <w:rPr>
          <w:rFonts w:ascii="Cambria" w:hAnsi="Cambria"/>
          <w:color w:val="212121"/>
          <w:sz w:val="30"/>
          <w:szCs w:val="30"/>
        </w:rPr>
      </w:pPr>
      <w:r>
        <w:rPr>
          <w:rFonts w:ascii="Cambria" w:hAnsi="Cambria"/>
          <w:color w:val="212121"/>
          <w:sz w:val="30"/>
          <w:szCs w:val="30"/>
        </w:rPr>
        <w:t>Informed consent</w:t>
      </w:r>
    </w:p>
    <w:p w14:paraId="6775C88E" w14:textId="77777777" w:rsidR="005A05FB" w:rsidRDefault="005A05FB" w:rsidP="005A05FB">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Informed consent was obtained from the human participant in this study. This research was performed according to an IRB-approved protocol at Dana Farber Cancer Institute.</w:t>
      </w:r>
    </w:p>
    <w:p w14:paraId="2C9BD903" w14:textId="77777777" w:rsidR="005A05FB" w:rsidRDefault="005A05FB" w:rsidP="005A05FB">
      <w:pPr>
        <w:shd w:val="clear" w:color="auto" w:fill="FFFFFF"/>
        <w:jc w:val="right"/>
        <w:rPr>
          <w:rFonts w:ascii="Cambria" w:hAnsi="Cambria"/>
          <w:color w:val="212121"/>
          <w:sz w:val="30"/>
          <w:szCs w:val="30"/>
        </w:rPr>
      </w:pPr>
      <w:hyperlink r:id="rId89" w:tooltip="Go to other sections in this page" w:history="1">
        <w:r>
          <w:rPr>
            <w:rStyle w:val="Hyperlink"/>
            <w:rFonts w:ascii="Source Sans Pro" w:hAnsi="Source Sans Pro"/>
            <w:color w:val="376FAA"/>
            <w:sz w:val="28"/>
            <w:szCs w:val="28"/>
          </w:rPr>
          <w:t>Go to:</w:t>
        </w:r>
      </w:hyperlink>
    </w:p>
    <w:p w14:paraId="71E1115E" w14:textId="77777777" w:rsidR="005A05FB" w:rsidRDefault="005A05FB" w:rsidP="005A05FB">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Footnotes</w:t>
      </w:r>
    </w:p>
    <w:p w14:paraId="626435B6" w14:textId="77777777" w:rsidR="005A05FB" w:rsidRDefault="005A05FB" w:rsidP="005A05FB">
      <w:pPr>
        <w:pStyle w:val="p"/>
        <w:shd w:val="clear" w:color="auto" w:fill="FFFFFF"/>
        <w:spacing w:before="400" w:beforeAutospacing="0" w:after="400" w:afterAutospacing="0"/>
        <w:rPr>
          <w:rFonts w:ascii="Helvetica" w:hAnsi="Helvetica" w:cs="Helvetica"/>
          <w:color w:val="212121"/>
        </w:rPr>
      </w:pPr>
      <w:r>
        <w:rPr>
          <w:rStyle w:val="Strong"/>
          <w:rFonts w:ascii="Helvetica" w:hAnsi="Helvetica" w:cs="Helvetica"/>
          <w:color w:val="212121"/>
        </w:rPr>
        <w:t>Publisher's Note</w:t>
      </w:r>
    </w:p>
    <w:p w14:paraId="396D7CFB" w14:textId="77777777" w:rsidR="005A05FB" w:rsidRDefault="005A05FB" w:rsidP="005A05FB">
      <w:pPr>
        <w:pStyle w:val="p"/>
        <w:shd w:val="clear" w:color="auto" w:fill="FFFFFF"/>
        <w:spacing w:before="400" w:beforeAutospacing="0" w:after="400" w:afterAutospacing="0"/>
        <w:rPr>
          <w:rFonts w:ascii="Helvetica" w:hAnsi="Helvetica" w:cs="Helvetica"/>
          <w:color w:val="212121"/>
        </w:rPr>
      </w:pPr>
      <w:r>
        <w:rPr>
          <w:rFonts w:ascii="Helvetica" w:hAnsi="Helvetica" w:cs="Helvetica"/>
          <w:color w:val="212121"/>
        </w:rPr>
        <w:t>Springer Nature remains neutral with regard to jurisdictional claims in published maps and institutional affiliations.</w:t>
      </w:r>
    </w:p>
    <w:p w14:paraId="3860784F" w14:textId="77777777" w:rsidR="005A05FB" w:rsidRDefault="005A05FB" w:rsidP="005A05FB">
      <w:pPr>
        <w:pStyle w:val="p"/>
        <w:shd w:val="clear" w:color="auto" w:fill="FFFFFF"/>
        <w:spacing w:before="400" w:beforeAutospacing="0" w:after="400" w:afterAutospacing="0"/>
        <w:rPr>
          <w:rFonts w:ascii="Helvetica" w:hAnsi="Helvetica" w:cs="Helvetica"/>
          <w:color w:val="212121"/>
        </w:rPr>
      </w:pPr>
      <w:r>
        <w:rPr>
          <w:rFonts w:ascii="Helvetica" w:hAnsi="Helvetica" w:cs="Helvetica"/>
          <w:color w:val="212121"/>
        </w:rPr>
        <w:t>Edwin Lok and Pyay San have contributed equally to this work.</w:t>
      </w:r>
    </w:p>
    <w:p w14:paraId="5D102B45" w14:textId="77777777" w:rsidR="00535D57" w:rsidRDefault="00535D57"/>
    <w:sectPr w:rsidR="00535D57" w:rsidSect="00E11B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6F"/>
    <w:rsid w:val="00011FB9"/>
    <w:rsid w:val="001C4D7D"/>
    <w:rsid w:val="00293F6D"/>
    <w:rsid w:val="00333CD5"/>
    <w:rsid w:val="004123CF"/>
    <w:rsid w:val="00535D57"/>
    <w:rsid w:val="005777F4"/>
    <w:rsid w:val="005A05FB"/>
    <w:rsid w:val="00633B6F"/>
    <w:rsid w:val="00684ED7"/>
    <w:rsid w:val="00B432D9"/>
    <w:rsid w:val="00E11B38"/>
    <w:rsid w:val="00E937B6"/>
    <w:rsid w:val="00EA3792"/>
    <w:rsid w:val="00EE24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AC2B"/>
  <w15:chartTrackingRefBased/>
  <w15:docId w15:val="{0F5CF26F-9B3F-4699-96A8-7111F8453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245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EE2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24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45A"/>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EE245A"/>
    <w:rPr>
      <w:color w:val="0000FF"/>
      <w:u w:val="single"/>
    </w:rPr>
  </w:style>
  <w:style w:type="character" w:customStyle="1" w:styleId="fm-vol-iss-date">
    <w:name w:val="fm-vol-iss-date"/>
    <w:basedOn w:val="DefaultParagraphFont"/>
    <w:rsid w:val="00EE245A"/>
  </w:style>
  <w:style w:type="character" w:customStyle="1" w:styleId="doi">
    <w:name w:val="doi"/>
    <w:basedOn w:val="DefaultParagraphFont"/>
    <w:rsid w:val="00EE245A"/>
  </w:style>
  <w:style w:type="character" w:customStyle="1" w:styleId="fm-citation-ids-label">
    <w:name w:val="fm-citation-ids-label"/>
    <w:basedOn w:val="DefaultParagraphFont"/>
    <w:rsid w:val="00EE245A"/>
  </w:style>
  <w:style w:type="character" w:customStyle="1" w:styleId="Heading2Char">
    <w:name w:val="Heading 2 Char"/>
    <w:basedOn w:val="DefaultParagraphFont"/>
    <w:link w:val="Heading2"/>
    <w:uiPriority w:val="9"/>
    <w:semiHidden/>
    <w:rsid w:val="00EE24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245A"/>
    <w:rPr>
      <w:rFonts w:asciiTheme="majorHAnsi" w:eastAsiaTheme="majorEastAsia" w:hAnsiTheme="majorHAnsi" w:cstheme="majorBidi"/>
      <w:color w:val="1F3763" w:themeColor="accent1" w:themeShade="7F"/>
      <w:sz w:val="24"/>
      <w:szCs w:val="24"/>
    </w:rPr>
  </w:style>
  <w:style w:type="paragraph" w:customStyle="1" w:styleId="p">
    <w:name w:val="p"/>
    <w:basedOn w:val="Normal"/>
    <w:rsid w:val="00EE24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E245A"/>
    <w:rPr>
      <w:b/>
      <w:bCs/>
    </w:rPr>
  </w:style>
  <w:style w:type="character" w:customStyle="1" w:styleId="kwd-text">
    <w:name w:val="kwd-text"/>
    <w:basedOn w:val="DefaultParagraphFont"/>
    <w:rsid w:val="00EE245A"/>
  </w:style>
  <w:style w:type="paragraph" w:styleId="NormalWeb">
    <w:name w:val="Normal (Web)"/>
    <w:basedOn w:val="Normal"/>
    <w:uiPriority w:val="99"/>
    <w:semiHidden/>
    <w:unhideWhenUsed/>
    <w:rsid w:val="00EE24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igpopup-sensitive-area">
    <w:name w:val="figpopup-sensitive-area"/>
    <w:basedOn w:val="DefaultParagraphFont"/>
    <w:rsid w:val="00EE245A"/>
  </w:style>
  <w:style w:type="character" w:styleId="Emphasis">
    <w:name w:val="Emphasis"/>
    <w:basedOn w:val="DefaultParagraphFont"/>
    <w:uiPriority w:val="20"/>
    <w:qFormat/>
    <w:rsid w:val="005A05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768507">
      <w:bodyDiv w:val="1"/>
      <w:marLeft w:val="0"/>
      <w:marRight w:val="0"/>
      <w:marTop w:val="0"/>
      <w:marBottom w:val="0"/>
      <w:divBdr>
        <w:top w:val="none" w:sz="0" w:space="0" w:color="auto"/>
        <w:left w:val="none" w:sz="0" w:space="0" w:color="auto"/>
        <w:bottom w:val="none" w:sz="0" w:space="0" w:color="auto"/>
        <w:right w:val="none" w:sz="0" w:space="0" w:color="auto"/>
      </w:divBdr>
      <w:divsChild>
        <w:div w:id="1991253672">
          <w:marLeft w:val="0"/>
          <w:marRight w:val="0"/>
          <w:marTop w:val="0"/>
          <w:marBottom w:val="0"/>
          <w:divBdr>
            <w:top w:val="none" w:sz="0" w:space="0" w:color="auto"/>
            <w:left w:val="none" w:sz="0" w:space="0" w:color="auto"/>
            <w:bottom w:val="none" w:sz="0" w:space="0" w:color="auto"/>
            <w:right w:val="none" w:sz="0" w:space="0" w:color="auto"/>
          </w:divBdr>
          <w:divsChild>
            <w:div w:id="1539971710">
              <w:marLeft w:val="0"/>
              <w:marRight w:val="0"/>
              <w:marTop w:val="0"/>
              <w:marBottom w:val="0"/>
              <w:divBdr>
                <w:top w:val="none" w:sz="0" w:space="0" w:color="auto"/>
                <w:left w:val="none" w:sz="0" w:space="0" w:color="auto"/>
                <w:bottom w:val="none" w:sz="0" w:space="0" w:color="auto"/>
                <w:right w:val="none" w:sz="0" w:space="0" w:color="auto"/>
              </w:divBdr>
              <w:divsChild>
                <w:div w:id="2001034349">
                  <w:marLeft w:val="0"/>
                  <w:marRight w:val="0"/>
                  <w:marTop w:val="0"/>
                  <w:marBottom w:val="0"/>
                  <w:divBdr>
                    <w:top w:val="none" w:sz="0" w:space="0" w:color="auto"/>
                    <w:left w:val="none" w:sz="0" w:space="0" w:color="auto"/>
                    <w:bottom w:val="none" w:sz="0" w:space="0" w:color="auto"/>
                    <w:right w:val="none" w:sz="0" w:space="0" w:color="auto"/>
                  </w:divBdr>
                  <w:divsChild>
                    <w:div w:id="1872380842">
                      <w:marLeft w:val="0"/>
                      <w:marRight w:val="0"/>
                      <w:marTop w:val="0"/>
                      <w:marBottom w:val="0"/>
                      <w:divBdr>
                        <w:top w:val="none" w:sz="0" w:space="0" w:color="auto"/>
                        <w:left w:val="none" w:sz="0" w:space="0" w:color="auto"/>
                        <w:bottom w:val="none" w:sz="0" w:space="0" w:color="auto"/>
                        <w:right w:val="none" w:sz="0" w:space="0" w:color="auto"/>
                      </w:divBdr>
                    </w:div>
                    <w:div w:id="16105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7848">
              <w:marLeft w:val="240"/>
              <w:marRight w:val="0"/>
              <w:marTop w:val="0"/>
              <w:marBottom w:val="0"/>
              <w:divBdr>
                <w:top w:val="none" w:sz="0" w:space="0" w:color="auto"/>
                <w:left w:val="none" w:sz="0" w:space="0" w:color="auto"/>
                <w:bottom w:val="none" w:sz="0" w:space="0" w:color="auto"/>
                <w:right w:val="none" w:sz="0" w:space="0" w:color="auto"/>
              </w:divBdr>
              <w:divsChild>
                <w:div w:id="1791434802">
                  <w:marLeft w:val="0"/>
                  <w:marRight w:val="0"/>
                  <w:marTop w:val="0"/>
                  <w:marBottom w:val="0"/>
                  <w:divBdr>
                    <w:top w:val="none" w:sz="0" w:space="0" w:color="auto"/>
                    <w:left w:val="none" w:sz="0" w:space="0" w:color="auto"/>
                    <w:bottom w:val="none" w:sz="0" w:space="0" w:color="auto"/>
                    <w:right w:val="none" w:sz="0" w:space="0" w:color="auto"/>
                  </w:divBdr>
                </w:div>
                <w:div w:id="8287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68658">
      <w:bodyDiv w:val="1"/>
      <w:marLeft w:val="0"/>
      <w:marRight w:val="0"/>
      <w:marTop w:val="0"/>
      <w:marBottom w:val="0"/>
      <w:divBdr>
        <w:top w:val="none" w:sz="0" w:space="0" w:color="auto"/>
        <w:left w:val="none" w:sz="0" w:space="0" w:color="auto"/>
        <w:bottom w:val="none" w:sz="0" w:space="0" w:color="auto"/>
        <w:right w:val="none" w:sz="0" w:space="0" w:color="auto"/>
      </w:divBdr>
      <w:divsChild>
        <w:div w:id="658533682">
          <w:marLeft w:val="0"/>
          <w:marRight w:val="0"/>
          <w:marTop w:val="400"/>
          <w:marBottom w:val="400"/>
          <w:divBdr>
            <w:top w:val="none" w:sz="0" w:space="0" w:color="auto"/>
            <w:left w:val="none" w:sz="0" w:space="0" w:color="auto"/>
            <w:bottom w:val="none" w:sz="0" w:space="0" w:color="auto"/>
            <w:right w:val="none" w:sz="0" w:space="0" w:color="auto"/>
          </w:divBdr>
          <w:divsChild>
            <w:div w:id="287203841">
              <w:marLeft w:val="0"/>
              <w:marRight w:val="0"/>
              <w:marTop w:val="400"/>
              <w:marBottom w:val="400"/>
              <w:divBdr>
                <w:top w:val="none" w:sz="0" w:space="0" w:color="auto"/>
                <w:left w:val="none" w:sz="0" w:space="0" w:color="auto"/>
                <w:bottom w:val="none" w:sz="0" w:space="0" w:color="auto"/>
                <w:right w:val="none" w:sz="0" w:space="0" w:color="auto"/>
              </w:divBdr>
            </w:div>
            <w:div w:id="1655572537">
              <w:marLeft w:val="0"/>
              <w:marRight w:val="0"/>
              <w:marTop w:val="400"/>
              <w:marBottom w:val="400"/>
              <w:divBdr>
                <w:top w:val="none" w:sz="0" w:space="0" w:color="auto"/>
                <w:left w:val="none" w:sz="0" w:space="0" w:color="auto"/>
                <w:bottom w:val="none" w:sz="0" w:space="0" w:color="auto"/>
                <w:right w:val="none" w:sz="0" w:space="0" w:color="auto"/>
              </w:divBdr>
            </w:div>
            <w:div w:id="1820919432">
              <w:marLeft w:val="0"/>
              <w:marRight w:val="0"/>
              <w:marTop w:val="400"/>
              <w:marBottom w:val="400"/>
              <w:divBdr>
                <w:top w:val="none" w:sz="0" w:space="0" w:color="auto"/>
                <w:left w:val="none" w:sz="0" w:space="0" w:color="auto"/>
                <w:bottom w:val="none" w:sz="0" w:space="0" w:color="auto"/>
                <w:right w:val="none" w:sz="0" w:space="0" w:color="auto"/>
              </w:divBdr>
            </w:div>
          </w:divsChild>
        </w:div>
        <w:div w:id="803742444">
          <w:marLeft w:val="0"/>
          <w:marRight w:val="0"/>
          <w:marTop w:val="400"/>
          <w:marBottom w:val="400"/>
          <w:divBdr>
            <w:top w:val="none" w:sz="0" w:space="0" w:color="auto"/>
            <w:left w:val="none" w:sz="0" w:space="0" w:color="auto"/>
            <w:bottom w:val="none" w:sz="0" w:space="0" w:color="auto"/>
            <w:right w:val="none" w:sz="0" w:space="0" w:color="auto"/>
          </w:divBdr>
        </w:div>
        <w:div w:id="1543513460">
          <w:marLeft w:val="0"/>
          <w:marRight w:val="0"/>
          <w:marTop w:val="400"/>
          <w:marBottom w:val="400"/>
          <w:divBdr>
            <w:top w:val="none" w:sz="0" w:space="0" w:color="auto"/>
            <w:left w:val="none" w:sz="0" w:space="0" w:color="auto"/>
            <w:bottom w:val="none" w:sz="0" w:space="0" w:color="auto"/>
            <w:right w:val="none" w:sz="0" w:space="0" w:color="auto"/>
          </w:divBdr>
        </w:div>
        <w:div w:id="1731614757">
          <w:marLeft w:val="0"/>
          <w:marRight w:val="0"/>
          <w:marTop w:val="400"/>
          <w:marBottom w:val="400"/>
          <w:divBdr>
            <w:top w:val="none" w:sz="0" w:space="0" w:color="auto"/>
            <w:left w:val="none" w:sz="0" w:space="0" w:color="auto"/>
            <w:bottom w:val="none" w:sz="0" w:space="0" w:color="auto"/>
            <w:right w:val="none" w:sz="0" w:space="0" w:color="auto"/>
          </w:divBdr>
          <w:divsChild>
            <w:div w:id="1525050685">
              <w:marLeft w:val="0"/>
              <w:marRight w:val="0"/>
              <w:marTop w:val="0"/>
              <w:marBottom w:val="0"/>
              <w:divBdr>
                <w:top w:val="none" w:sz="0" w:space="0" w:color="auto"/>
                <w:left w:val="none" w:sz="0" w:space="0" w:color="auto"/>
                <w:bottom w:val="none" w:sz="0" w:space="0" w:color="auto"/>
                <w:right w:val="none" w:sz="0" w:space="0" w:color="auto"/>
              </w:divBdr>
            </w:div>
            <w:div w:id="1544636517">
              <w:marLeft w:val="0"/>
              <w:marRight w:val="0"/>
              <w:marTop w:val="0"/>
              <w:marBottom w:val="0"/>
              <w:divBdr>
                <w:top w:val="none" w:sz="0" w:space="0" w:color="auto"/>
                <w:left w:val="none" w:sz="0" w:space="0" w:color="auto"/>
                <w:bottom w:val="none" w:sz="0" w:space="0" w:color="auto"/>
                <w:right w:val="none" w:sz="0" w:space="0" w:color="auto"/>
              </w:divBdr>
            </w:div>
          </w:divsChild>
        </w:div>
        <w:div w:id="103812604">
          <w:marLeft w:val="0"/>
          <w:marRight w:val="0"/>
          <w:marTop w:val="400"/>
          <w:marBottom w:val="400"/>
          <w:divBdr>
            <w:top w:val="none" w:sz="0" w:space="0" w:color="auto"/>
            <w:left w:val="none" w:sz="0" w:space="0" w:color="auto"/>
            <w:bottom w:val="none" w:sz="0" w:space="0" w:color="auto"/>
            <w:right w:val="none" w:sz="0" w:space="0" w:color="auto"/>
          </w:divBdr>
          <w:divsChild>
            <w:div w:id="596981951">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 w:id="842203643">
      <w:bodyDiv w:val="1"/>
      <w:marLeft w:val="0"/>
      <w:marRight w:val="0"/>
      <w:marTop w:val="0"/>
      <w:marBottom w:val="0"/>
      <w:divBdr>
        <w:top w:val="none" w:sz="0" w:space="0" w:color="auto"/>
        <w:left w:val="none" w:sz="0" w:space="0" w:color="auto"/>
        <w:bottom w:val="none" w:sz="0" w:space="0" w:color="auto"/>
        <w:right w:val="none" w:sz="0" w:space="0" w:color="auto"/>
      </w:divBdr>
      <w:divsChild>
        <w:div w:id="1976712864">
          <w:marLeft w:val="0"/>
          <w:marRight w:val="0"/>
          <w:marTop w:val="0"/>
          <w:marBottom w:val="0"/>
          <w:divBdr>
            <w:top w:val="none" w:sz="0" w:space="0" w:color="auto"/>
            <w:left w:val="none" w:sz="0" w:space="0" w:color="auto"/>
            <w:bottom w:val="none" w:sz="0" w:space="0" w:color="auto"/>
            <w:right w:val="none" w:sz="0" w:space="0" w:color="auto"/>
          </w:divBdr>
        </w:div>
        <w:div w:id="372267853">
          <w:marLeft w:val="0"/>
          <w:marRight w:val="0"/>
          <w:marTop w:val="200"/>
          <w:marBottom w:val="0"/>
          <w:divBdr>
            <w:top w:val="none" w:sz="0" w:space="0" w:color="auto"/>
            <w:left w:val="none" w:sz="0" w:space="0" w:color="auto"/>
            <w:bottom w:val="none" w:sz="0" w:space="0" w:color="auto"/>
            <w:right w:val="none" w:sz="0" w:space="0" w:color="auto"/>
          </w:divBdr>
        </w:div>
      </w:divsChild>
    </w:div>
    <w:div w:id="1367675229">
      <w:bodyDiv w:val="1"/>
      <w:marLeft w:val="0"/>
      <w:marRight w:val="0"/>
      <w:marTop w:val="0"/>
      <w:marBottom w:val="0"/>
      <w:divBdr>
        <w:top w:val="none" w:sz="0" w:space="0" w:color="auto"/>
        <w:left w:val="none" w:sz="0" w:space="0" w:color="auto"/>
        <w:bottom w:val="none" w:sz="0" w:space="0" w:color="auto"/>
        <w:right w:val="none" w:sz="0" w:space="0" w:color="auto"/>
      </w:divBdr>
      <w:divsChild>
        <w:div w:id="912202166">
          <w:marLeft w:val="0"/>
          <w:marRight w:val="0"/>
          <w:marTop w:val="0"/>
          <w:marBottom w:val="0"/>
          <w:divBdr>
            <w:top w:val="none" w:sz="0" w:space="0" w:color="auto"/>
            <w:left w:val="none" w:sz="0" w:space="0" w:color="auto"/>
            <w:bottom w:val="none" w:sz="0" w:space="0" w:color="auto"/>
            <w:right w:val="none" w:sz="0" w:space="0" w:color="auto"/>
          </w:divBdr>
        </w:div>
        <w:div w:id="1619802131">
          <w:marLeft w:val="0"/>
          <w:marRight w:val="0"/>
          <w:marTop w:val="200"/>
          <w:marBottom w:val="0"/>
          <w:divBdr>
            <w:top w:val="none" w:sz="0" w:space="0" w:color="auto"/>
            <w:left w:val="none" w:sz="0" w:space="0" w:color="auto"/>
            <w:bottom w:val="none" w:sz="0" w:space="0" w:color="auto"/>
            <w:right w:val="none" w:sz="0" w:space="0" w:color="auto"/>
          </w:divBdr>
        </w:div>
      </w:divsChild>
    </w:div>
    <w:div w:id="1448617860">
      <w:bodyDiv w:val="1"/>
      <w:marLeft w:val="0"/>
      <w:marRight w:val="0"/>
      <w:marTop w:val="0"/>
      <w:marBottom w:val="0"/>
      <w:divBdr>
        <w:top w:val="none" w:sz="0" w:space="0" w:color="auto"/>
        <w:left w:val="none" w:sz="0" w:space="0" w:color="auto"/>
        <w:bottom w:val="none" w:sz="0" w:space="0" w:color="auto"/>
        <w:right w:val="none" w:sz="0" w:space="0" w:color="auto"/>
      </w:divBdr>
      <w:divsChild>
        <w:div w:id="558397112">
          <w:marLeft w:val="0"/>
          <w:marRight w:val="0"/>
          <w:marTop w:val="0"/>
          <w:marBottom w:val="0"/>
          <w:divBdr>
            <w:top w:val="none" w:sz="0" w:space="0" w:color="auto"/>
            <w:left w:val="none" w:sz="0" w:space="0" w:color="auto"/>
            <w:bottom w:val="none" w:sz="0" w:space="0" w:color="auto"/>
            <w:right w:val="none" w:sz="0" w:space="0" w:color="auto"/>
          </w:divBdr>
          <w:divsChild>
            <w:div w:id="1458643439">
              <w:marLeft w:val="0"/>
              <w:marRight w:val="0"/>
              <w:marTop w:val="400"/>
              <w:marBottom w:val="400"/>
              <w:divBdr>
                <w:top w:val="none" w:sz="0" w:space="0" w:color="auto"/>
                <w:left w:val="none" w:sz="0" w:space="0" w:color="auto"/>
                <w:bottom w:val="none" w:sz="0" w:space="0" w:color="auto"/>
                <w:right w:val="none" w:sz="0" w:space="0" w:color="auto"/>
              </w:divBdr>
            </w:div>
            <w:div w:id="1861896933">
              <w:marLeft w:val="0"/>
              <w:marRight w:val="0"/>
              <w:marTop w:val="400"/>
              <w:marBottom w:val="400"/>
              <w:divBdr>
                <w:top w:val="none" w:sz="0" w:space="0" w:color="auto"/>
                <w:left w:val="none" w:sz="0" w:space="0" w:color="auto"/>
                <w:bottom w:val="none" w:sz="0" w:space="0" w:color="auto"/>
                <w:right w:val="none" w:sz="0" w:space="0" w:color="auto"/>
              </w:divBdr>
            </w:div>
            <w:div w:id="1050542296">
              <w:marLeft w:val="0"/>
              <w:marRight w:val="0"/>
              <w:marTop w:val="400"/>
              <w:marBottom w:val="400"/>
              <w:divBdr>
                <w:top w:val="none" w:sz="0" w:space="0" w:color="auto"/>
                <w:left w:val="none" w:sz="0" w:space="0" w:color="auto"/>
                <w:bottom w:val="none" w:sz="0" w:space="0" w:color="auto"/>
                <w:right w:val="none" w:sz="0" w:space="0" w:color="auto"/>
              </w:divBdr>
            </w:div>
            <w:div w:id="1927297966">
              <w:marLeft w:val="0"/>
              <w:marRight w:val="0"/>
              <w:marTop w:val="400"/>
              <w:marBottom w:val="400"/>
              <w:divBdr>
                <w:top w:val="none" w:sz="0" w:space="0" w:color="auto"/>
                <w:left w:val="none" w:sz="0" w:space="0" w:color="auto"/>
                <w:bottom w:val="none" w:sz="0" w:space="0" w:color="auto"/>
                <w:right w:val="none" w:sz="0" w:space="0" w:color="auto"/>
              </w:divBdr>
            </w:div>
          </w:divsChild>
        </w:div>
        <w:div w:id="451024336">
          <w:marLeft w:val="0"/>
          <w:marRight w:val="0"/>
          <w:marTop w:val="400"/>
          <w:marBottom w:val="400"/>
          <w:divBdr>
            <w:top w:val="none" w:sz="0" w:space="0" w:color="auto"/>
            <w:left w:val="none" w:sz="0" w:space="0" w:color="auto"/>
            <w:bottom w:val="none" w:sz="0" w:space="0" w:color="auto"/>
            <w:right w:val="none" w:sz="0" w:space="0" w:color="auto"/>
          </w:divBdr>
        </w:div>
      </w:divsChild>
    </w:div>
    <w:div w:id="1564174262">
      <w:bodyDiv w:val="1"/>
      <w:marLeft w:val="0"/>
      <w:marRight w:val="0"/>
      <w:marTop w:val="0"/>
      <w:marBottom w:val="0"/>
      <w:divBdr>
        <w:top w:val="none" w:sz="0" w:space="0" w:color="auto"/>
        <w:left w:val="none" w:sz="0" w:space="0" w:color="auto"/>
        <w:bottom w:val="none" w:sz="0" w:space="0" w:color="auto"/>
        <w:right w:val="none" w:sz="0" w:space="0" w:color="auto"/>
      </w:divBdr>
      <w:divsChild>
        <w:div w:id="1297181563">
          <w:marLeft w:val="0"/>
          <w:marRight w:val="0"/>
          <w:marTop w:val="200"/>
          <w:marBottom w:val="200"/>
          <w:divBdr>
            <w:top w:val="none" w:sz="0" w:space="0" w:color="auto"/>
            <w:left w:val="none" w:sz="0" w:space="0" w:color="auto"/>
            <w:bottom w:val="none" w:sz="0" w:space="0" w:color="auto"/>
            <w:right w:val="none" w:sz="0" w:space="0" w:color="auto"/>
          </w:divBdr>
        </w:div>
        <w:div w:id="1218779406">
          <w:marLeft w:val="0"/>
          <w:marRight w:val="0"/>
          <w:marTop w:val="0"/>
          <w:marBottom w:val="0"/>
          <w:divBdr>
            <w:top w:val="none" w:sz="0" w:space="0" w:color="auto"/>
            <w:left w:val="none" w:sz="0" w:space="0" w:color="auto"/>
            <w:bottom w:val="none" w:sz="0" w:space="0" w:color="auto"/>
            <w:right w:val="none" w:sz="0" w:space="0" w:color="auto"/>
          </w:divBdr>
        </w:div>
        <w:div w:id="840006512">
          <w:marLeft w:val="200"/>
          <w:marRight w:val="200"/>
          <w:marTop w:val="200"/>
          <w:marBottom w:val="200"/>
          <w:divBdr>
            <w:top w:val="none" w:sz="0" w:space="0" w:color="auto"/>
            <w:left w:val="none" w:sz="0" w:space="0" w:color="auto"/>
            <w:bottom w:val="none" w:sz="0" w:space="0" w:color="auto"/>
            <w:right w:val="none" w:sz="0" w:space="0" w:color="auto"/>
          </w:divBdr>
        </w:div>
        <w:div w:id="501897915">
          <w:marLeft w:val="0"/>
          <w:marRight w:val="0"/>
          <w:marTop w:val="0"/>
          <w:marBottom w:val="0"/>
          <w:divBdr>
            <w:top w:val="none" w:sz="0" w:space="0" w:color="auto"/>
            <w:left w:val="none" w:sz="0" w:space="0" w:color="auto"/>
            <w:bottom w:val="none" w:sz="0" w:space="0" w:color="auto"/>
            <w:right w:val="none" w:sz="0" w:space="0" w:color="auto"/>
          </w:divBdr>
        </w:div>
      </w:divsChild>
    </w:div>
    <w:div w:id="1603144974">
      <w:bodyDiv w:val="1"/>
      <w:marLeft w:val="0"/>
      <w:marRight w:val="0"/>
      <w:marTop w:val="0"/>
      <w:marBottom w:val="0"/>
      <w:divBdr>
        <w:top w:val="none" w:sz="0" w:space="0" w:color="auto"/>
        <w:left w:val="none" w:sz="0" w:space="0" w:color="auto"/>
        <w:bottom w:val="none" w:sz="0" w:space="0" w:color="auto"/>
        <w:right w:val="none" w:sz="0" w:space="0" w:color="auto"/>
      </w:divBdr>
      <w:divsChild>
        <w:div w:id="1910069820">
          <w:marLeft w:val="0"/>
          <w:marRight w:val="0"/>
          <w:marTop w:val="400"/>
          <w:marBottom w:val="400"/>
          <w:divBdr>
            <w:top w:val="none" w:sz="0" w:space="0" w:color="auto"/>
            <w:left w:val="none" w:sz="0" w:space="0" w:color="auto"/>
            <w:bottom w:val="none" w:sz="0" w:space="0" w:color="auto"/>
            <w:right w:val="none" w:sz="0" w:space="0" w:color="auto"/>
          </w:divBdr>
        </w:div>
        <w:div w:id="1456633963">
          <w:marLeft w:val="0"/>
          <w:marRight w:val="0"/>
          <w:marTop w:val="400"/>
          <w:marBottom w:val="400"/>
          <w:divBdr>
            <w:top w:val="none" w:sz="0" w:space="0" w:color="auto"/>
            <w:left w:val="none" w:sz="0" w:space="0" w:color="auto"/>
            <w:bottom w:val="none" w:sz="0" w:space="0" w:color="auto"/>
            <w:right w:val="none" w:sz="0" w:space="0" w:color="auto"/>
          </w:divBdr>
        </w:div>
      </w:divsChild>
    </w:div>
    <w:div w:id="1686202085">
      <w:bodyDiv w:val="1"/>
      <w:marLeft w:val="0"/>
      <w:marRight w:val="0"/>
      <w:marTop w:val="0"/>
      <w:marBottom w:val="0"/>
      <w:divBdr>
        <w:top w:val="none" w:sz="0" w:space="0" w:color="auto"/>
        <w:left w:val="none" w:sz="0" w:space="0" w:color="auto"/>
        <w:bottom w:val="none" w:sz="0" w:space="0" w:color="auto"/>
        <w:right w:val="none" w:sz="0" w:space="0" w:color="auto"/>
      </w:divBdr>
      <w:divsChild>
        <w:div w:id="964778667">
          <w:marLeft w:val="0"/>
          <w:marRight w:val="0"/>
          <w:marTop w:val="0"/>
          <w:marBottom w:val="0"/>
          <w:divBdr>
            <w:top w:val="none" w:sz="0" w:space="0" w:color="auto"/>
            <w:left w:val="none" w:sz="0" w:space="0" w:color="auto"/>
            <w:bottom w:val="none" w:sz="0" w:space="0" w:color="auto"/>
            <w:right w:val="none" w:sz="0" w:space="0" w:color="auto"/>
          </w:divBdr>
        </w:div>
        <w:div w:id="1664697254">
          <w:marLeft w:val="0"/>
          <w:marRight w:val="0"/>
          <w:marTop w:val="200"/>
          <w:marBottom w:val="0"/>
          <w:divBdr>
            <w:top w:val="none" w:sz="0" w:space="0" w:color="auto"/>
            <w:left w:val="none" w:sz="0" w:space="0" w:color="auto"/>
            <w:bottom w:val="none" w:sz="0" w:space="0" w:color="auto"/>
            <w:right w:val="none" w:sz="0" w:space="0" w:color="auto"/>
          </w:divBdr>
        </w:div>
      </w:divsChild>
    </w:div>
    <w:div w:id="1923951119">
      <w:bodyDiv w:val="1"/>
      <w:marLeft w:val="0"/>
      <w:marRight w:val="0"/>
      <w:marTop w:val="0"/>
      <w:marBottom w:val="0"/>
      <w:divBdr>
        <w:top w:val="none" w:sz="0" w:space="0" w:color="auto"/>
        <w:left w:val="none" w:sz="0" w:space="0" w:color="auto"/>
        <w:bottom w:val="none" w:sz="0" w:space="0" w:color="auto"/>
        <w:right w:val="none" w:sz="0" w:space="0" w:color="auto"/>
      </w:divBdr>
      <w:divsChild>
        <w:div w:id="574979160">
          <w:marLeft w:val="0"/>
          <w:marRight w:val="0"/>
          <w:marTop w:val="400"/>
          <w:marBottom w:val="400"/>
          <w:divBdr>
            <w:top w:val="none" w:sz="0" w:space="0" w:color="auto"/>
            <w:left w:val="none" w:sz="0" w:space="0" w:color="auto"/>
            <w:bottom w:val="none" w:sz="0" w:space="0" w:color="auto"/>
            <w:right w:val="none" w:sz="0" w:space="0" w:color="auto"/>
          </w:divBdr>
        </w:div>
        <w:div w:id="1086465206">
          <w:marLeft w:val="0"/>
          <w:marRight w:val="0"/>
          <w:marTop w:val="400"/>
          <w:marBottom w:val="400"/>
          <w:divBdr>
            <w:top w:val="none" w:sz="0" w:space="0" w:color="auto"/>
            <w:left w:val="none" w:sz="0" w:space="0" w:color="auto"/>
            <w:bottom w:val="none" w:sz="0" w:space="0" w:color="auto"/>
            <w:right w:val="none" w:sz="0" w:space="0" w:color="auto"/>
          </w:divBdr>
          <w:divsChild>
            <w:div w:id="1938709532">
              <w:marLeft w:val="0"/>
              <w:marRight w:val="0"/>
              <w:marTop w:val="400"/>
              <w:marBottom w:val="4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7076058/figure/Fig2/" TargetMode="External"/><Relationship Id="rId21" Type="http://schemas.openxmlformats.org/officeDocument/2006/relationships/hyperlink" Target="https://www.ncbi.nlm.nih.gov/pmc/articles/PMC7076058/figure/Fig1/" TargetMode="External"/><Relationship Id="rId42" Type="http://schemas.openxmlformats.org/officeDocument/2006/relationships/hyperlink" Target="https://www.ncbi.nlm.nih.gov/pmc/articles/PMC7076058/figure/Fig3/" TargetMode="External"/><Relationship Id="rId47" Type="http://schemas.openxmlformats.org/officeDocument/2006/relationships/hyperlink" Target="https://www.ncbi.nlm.nih.gov/pmc/articles/PMC7076058/table/Tab1/" TargetMode="External"/><Relationship Id="rId63" Type="http://schemas.openxmlformats.org/officeDocument/2006/relationships/hyperlink" Target="https://www.ncbi.nlm.nih.gov/pmc/articles/PMC7076058/table/Tab1/" TargetMode="External"/><Relationship Id="rId68" Type="http://schemas.openxmlformats.org/officeDocument/2006/relationships/hyperlink" Target="https://www.ncbi.nlm.nih.gov/pmc/articles/PMC7076058/figure/Fig3/" TargetMode="External"/><Relationship Id="rId84" Type="http://schemas.openxmlformats.org/officeDocument/2006/relationships/hyperlink" Target="https://www.ncbi.nlm.nih.gov/pmc/articles/PMC7076058/figure/Fig2/" TargetMode="External"/><Relationship Id="rId89" Type="http://schemas.openxmlformats.org/officeDocument/2006/relationships/hyperlink" Target="https://www.ncbi.nlm.nih.gov/pmc/articles/PMC7076058/" TargetMode="External"/><Relationship Id="rId16" Type="http://schemas.openxmlformats.org/officeDocument/2006/relationships/hyperlink" Target="https://www.ncbi.nlm.nih.gov/pmc/articles/PMC7076058/" TargetMode="External"/><Relationship Id="rId11" Type="http://schemas.openxmlformats.org/officeDocument/2006/relationships/hyperlink" Target="https://www.ncbi.nlm.nih.gov/pmc/articles/PMC7076058/" TargetMode="External"/><Relationship Id="rId32" Type="http://schemas.openxmlformats.org/officeDocument/2006/relationships/image" Target="media/image1.jpeg"/><Relationship Id="rId37" Type="http://schemas.openxmlformats.org/officeDocument/2006/relationships/hyperlink" Target="https://www.ncbi.nlm.nih.gov/pmc/articles/PMC7076058/table/Tab1/" TargetMode="External"/><Relationship Id="rId53" Type="http://schemas.openxmlformats.org/officeDocument/2006/relationships/hyperlink" Target="https://www.ncbi.nlm.nih.gov/pmc/articles/PMC7076058/table/Tab1/" TargetMode="External"/><Relationship Id="rId58" Type="http://schemas.openxmlformats.org/officeDocument/2006/relationships/hyperlink" Target="https://www.ncbi.nlm.nih.gov/pmc/articles/PMC7076058/figure/Fig3/" TargetMode="External"/><Relationship Id="rId74" Type="http://schemas.openxmlformats.org/officeDocument/2006/relationships/hyperlink" Target="https://www.ncbi.nlm.nih.gov/pmc/articles/PMC7076058/" TargetMode="External"/><Relationship Id="rId79" Type="http://schemas.openxmlformats.org/officeDocument/2006/relationships/hyperlink" Target="https://www.ncbi.nlm.nih.gov/pmc/articles/PMC7076058/" TargetMode="External"/><Relationship Id="rId5" Type="http://schemas.openxmlformats.org/officeDocument/2006/relationships/hyperlink" Target="https://doi.org/10.1007%2Fs11060-020-03406-x" TargetMode="External"/><Relationship Id="rId90" Type="http://schemas.openxmlformats.org/officeDocument/2006/relationships/fontTable" Target="fontTable.xml"/><Relationship Id="rId14" Type="http://schemas.openxmlformats.org/officeDocument/2006/relationships/hyperlink" Target="https://www.ncbi.nlm.nih.gov/pmc/articles/PMC7076058/" TargetMode="External"/><Relationship Id="rId22" Type="http://schemas.openxmlformats.org/officeDocument/2006/relationships/hyperlink" Target="https://www.ncbi.nlm.nih.gov/pmc/articles/PMC7076058/figure/Fig1/" TargetMode="External"/><Relationship Id="rId27" Type="http://schemas.openxmlformats.org/officeDocument/2006/relationships/hyperlink" Target="https://www.ncbi.nlm.nih.gov/pmc/articles/PMC7076058/figure/Fig2/" TargetMode="External"/><Relationship Id="rId30" Type="http://schemas.openxmlformats.org/officeDocument/2006/relationships/hyperlink" Target="https://www.ncbi.nlm.nih.gov/pmc/articles/PMC7076058/figure/Fig2/" TargetMode="External"/><Relationship Id="rId35" Type="http://schemas.openxmlformats.org/officeDocument/2006/relationships/hyperlink" Target="https://www.ncbi.nlm.nih.gov/pmc/articles/PMC7076058/figure/Fig2/" TargetMode="External"/><Relationship Id="rId43" Type="http://schemas.openxmlformats.org/officeDocument/2006/relationships/hyperlink" Target="https://www.ncbi.nlm.nih.gov/pmc/articles/PMC7076058/table/Tab1/" TargetMode="External"/><Relationship Id="rId48" Type="http://schemas.openxmlformats.org/officeDocument/2006/relationships/hyperlink" Target="https://www.ncbi.nlm.nih.gov/pmc/articles/PMC7076058/figure/Fig3/" TargetMode="External"/><Relationship Id="rId56" Type="http://schemas.openxmlformats.org/officeDocument/2006/relationships/hyperlink" Target="https://www.ncbi.nlm.nih.gov/pmc/articles/PMC7076058/figure/Fig3/" TargetMode="External"/><Relationship Id="rId64" Type="http://schemas.openxmlformats.org/officeDocument/2006/relationships/hyperlink" Target="https://www.ncbi.nlm.nih.gov/pmc/articles/PMC7076058/figure/Fig3/" TargetMode="External"/><Relationship Id="rId69" Type="http://schemas.openxmlformats.org/officeDocument/2006/relationships/hyperlink" Target="https://www.ncbi.nlm.nih.gov/pmc/articles/PMC7076058/table/Tab1/" TargetMode="External"/><Relationship Id="rId77" Type="http://schemas.openxmlformats.org/officeDocument/2006/relationships/hyperlink" Target="https://www.ncbi.nlm.nih.gov/pmc/articles/PMC7076058/" TargetMode="External"/><Relationship Id="rId8" Type="http://schemas.openxmlformats.org/officeDocument/2006/relationships/hyperlink" Target="https://www.ncbi.nlm.nih.gov/pmc/articles/PMC7076058/" TargetMode="External"/><Relationship Id="rId51" Type="http://schemas.openxmlformats.org/officeDocument/2006/relationships/hyperlink" Target="https://www.ncbi.nlm.nih.gov/pmc/articles/PMC7076058/table/Tab1/" TargetMode="External"/><Relationship Id="rId72" Type="http://schemas.openxmlformats.org/officeDocument/2006/relationships/hyperlink" Target="https://www.ncbi.nlm.nih.gov/pmc/articles/PMC7076058/" TargetMode="External"/><Relationship Id="rId80" Type="http://schemas.openxmlformats.org/officeDocument/2006/relationships/hyperlink" Target="https://www.ncbi.nlm.nih.gov/pmc/articles/PMC7076058/" TargetMode="External"/><Relationship Id="rId85" Type="http://schemas.openxmlformats.org/officeDocument/2006/relationships/hyperlink" Target="https://www.ncbi.nlm.nih.gov/pmc/articles/PMC7076058/figure/Fig3/" TargetMode="External"/><Relationship Id="rId3" Type="http://schemas.openxmlformats.org/officeDocument/2006/relationships/webSettings" Target="webSettings.xml"/><Relationship Id="rId12" Type="http://schemas.openxmlformats.org/officeDocument/2006/relationships/hyperlink" Target="https://www.ncbi.nlm.nih.gov/pmc/articles/PMC7076058/" TargetMode="External"/><Relationship Id="rId17" Type="http://schemas.openxmlformats.org/officeDocument/2006/relationships/hyperlink" Target="https://www.ncbi.nlm.nih.gov/pmc/articles/PMC7076058/" TargetMode="External"/><Relationship Id="rId25" Type="http://schemas.openxmlformats.org/officeDocument/2006/relationships/hyperlink" Target="https://www.ncbi.nlm.nih.gov/pmc/articles/PMC7076058/figure/Fig2/" TargetMode="External"/><Relationship Id="rId33" Type="http://schemas.openxmlformats.org/officeDocument/2006/relationships/hyperlink" Target="https://www.ncbi.nlm.nih.gov/pmc/articles/PMC7076058/figure/Fig1/" TargetMode="External"/><Relationship Id="rId38" Type="http://schemas.openxmlformats.org/officeDocument/2006/relationships/hyperlink" Target="https://www.ncbi.nlm.nih.gov/pmc/articles/PMC7076058/table/Tab1/?report=objectonly" TargetMode="External"/><Relationship Id="rId46" Type="http://schemas.openxmlformats.org/officeDocument/2006/relationships/hyperlink" Target="https://www.ncbi.nlm.nih.gov/pmc/articles/PMC7076058/figure/Fig3/" TargetMode="External"/><Relationship Id="rId59" Type="http://schemas.openxmlformats.org/officeDocument/2006/relationships/hyperlink" Target="https://www.ncbi.nlm.nih.gov/pmc/articles/PMC7076058/table/Tab1/" TargetMode="External"/><Relationship Id="rId67" Type="http://schemas.openxmlformats.org/officeDocument/2006/relationships/hyperlink" Target="https://www.ncbi.nlm.nih.gov/pmc/articles/PMC7076058/table/Tab1/" TargetMode="External"/><Relationship Id="rId20" Type="http://schemas.openxmlformats.org/officeDocument/2006/relationships/hyperlink" Target="https://www.ncbi.nlm.nih.gov/pmc/articles/PMC7076058/figure/Fig1/" TargetMode="External"/><Relationship Id="rId41" Type="http://schemas.openxmlformats.org/officeDocument/2006/relationships/hyperlink" Target="https://www.ncbi.nlm.nih.gov/pmc/articles/PMC7076058/figure/Fig1/" TargetMode="External"/><Relationship Id="rId54" Type="http://schemas.openxmlformats.org/officeDocument/2006/relationships/hyperlink" Target="https://www.ncbi.nlm.nih.gov/pmc/articles/PMC7076058/figure/Fig3/" TargetMode="External"/><Relationship Id="rId62" Type="http://schemas.openxmlformats.org/officeDocument/2006/relationships/hyperlink" Target="https://www.ncbi.nlm.nih.gov/pmc/articles/PMC7076058/figure/Fig3/" TargetMode="External"/><Relationship Id="rId70" Type="http://schemas.openxmlformats.org/officeDocument/2006/relationships/hyperlink" Target="https://www.ncbi.nlm.nih.gov/pmc/articles/PMC7076058/figure/Fig3/" TargetMode="External"/><Relationship Id="rId75" Type="http://schemas.openxmlformats.org/officeDocument/2006/relationships/hyperlink" Target="https://www.ncbi.nlm.nih.gov/pmc/articles/PMC7076058/" TargetMode="External"/><Relationship Id="rId83" Type="http://schemas.openxmlformats.org/officeDocument/2006/relationships/hyperlink" Target="https://www.ncbi.nlm.nih.gov/pmc/articles/PMC7076058/" TargetMode="External"/><Relationship Id="rId88" Type="http://schemas.openxmlformats.org/officeDocument/2006/relationships/hyperlink" Target="https://www.ncbi.nlm.nih.gov/pmc/articles/PMC7076058/" TargetMode="External"/><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pubmed.ncbi.nlm.nih.gov/31989489" TargetMode="External"/><Relationship Id="rId15" Type="http://schemas.openxmlformats.org/officeDocument/2006/relationships/hyperlink" Target="https://www.ncbi.nlm.nih.gov/pmc/articles/PMC7076058/" TargetMode="External"/><Relationship Id="rId23" Type="http://schemas.openxmlformats.org/officeDocument/2006/relationships/hyperlink" Target="https://www.ncbi.nlm.nih.gov/pmc/articles/PMC7076058/figure/Fig1/" TargetMode="External"/><Relationship Id="rId28" Type="http://schemas.openxmlformats.org/officeDocument/2006/relationships/hyperlink" Target="https://www.ncbi.nlm.nih.gov/pmc/articles/PMC7076058/figure/Fig2/" TargetMode="External"/><Relationship Id="rId36" Type="http://schemas.openxmlformats.org/officeDocument/2006/relationships/hyperlink" Target="https://www.ncbi.nlm.nih.gov/pmc/articles/PMC7076058/" TargetMode="External"/><Relationship Id="rId49" Type="http://schemas.openxmlformats.org/officeDocument/2006/relationships/hyperlink" Target="https://www.ncbi.nlm.nih.gov/pmc/articles/PMC7076058/table/Tab1/" TargetMode="External"/><Relationship Id="rId57" Type="http://schemas.openxmlformats.org/officeDocument/2006/relationships/hyperlink" Target="https://www.ncbi.nlm.nih.gov/pmc/articles/PMC7076058/table/Tab1/" TargetMode="External"/><Relationship Id="rId10" Type="http://schemas.openxmlformats.org/officeDocument/2006/relationships/hyperlink" Target="https://www.ncbi.nlm.nih.gov/pmc/articles/PMC7076058/" TargetMode="External"/><Relationship Id="rId31" Type="http://schemas.openxmlformats.org/officeDocument/2006/relationships/hyperlink" Target="https://www.ncbi.nlm.nih.gov/pmc/articles/PMC7076058/figure/Fig2/" TargetMode="External"/><Relationship Id="rId44" Type="http://schemas.openxmlformats.org/officeDocument/2006/relationships/hyperlink" Target="https://www.ncbi.nlm.nih.gov/pmc/articles/PMC7076058/figure/Fig3/" TargetMode="External"/><Relationship Id="rId52" Type="http://schemas.openxmlformats.org/officeDocument/2006/relationships/hyperlink" Target="https://www.ncbi.nlm.nih.gov/pmc/articles/PMC7076058/figure/Fig3/" TargetMode="External"/><Relationship Id="rId60" Type="http://schemas.openxmlformats.org/officeDocument/2006/relationships/hyperlink" Target="https://www.ncbi.nlm.nih.gov/pmc/articles/PMC7076058/figure/Fig3/" TargetMode="External"/><Relationship Id="rId65" Type="http://schemas.openxmlformats.org/officeDocument/2006/relationships/hyperlink" Target="https://www.ncbi.nlm.nih.gov/pmc/articles/PMC7076058/table/Tab1/" TargetMode="External"/><Relationship Id="rId73" Type="http://schemas.openxmlformats.org/officeDocument/2006/relationships/hyperlink" Target="https://www.ncbi.nlm.nih.gov/pmc/articles/PMC7076058/" TargetMode="External"/><Relationship Id="rId78" Type="http://schemas.openxmlformats.org/officeDocument/2006/relationships/hyperlink" Target="https://www.ncbi.nlm.nih.gov/pmc/articles/PMC7076058/" TargetMode="External"/><Relationship Id="rId81" Type="http://schemas.openxmlformats.org/officeDocument/2006/relationships/hyperlink" Target="https://www.ncbi.nlm.nih.gov/pmc/articles/PMC7076058/" TargetMode="External"/><Relationship Id="rId86" Type="http://schemas.openxmlformats.org/officeDocument/2006/relationships/hyperlink" Target="https://www.ncbi.nlm.nih.gov/pmc/articles/PMC7076058/" TargetMode="External"/><Relationship Id="rId4" Type="http://schemas.openxmlformats.org/officeDocument/2006/relationships/hyperlink" Target="https://www.ncbi.nlm.nih.gov/pmc/articles/PMC7076058/" TargetMode="External"/><Relationship Id="rId9" Type="http://schemas.openxmlformats.org/officeDocument/2006/relationships/hyperlink" Target="https://www.ncbi.nlm.nih.gov/pmc/articles/PMC7076058/" TargetMode="External"/><Relationship Id="rId13" Type="http://schemas.openxmlformats.org/officeDocument/2006/relationships/hyperlink" Target="https://www.ncbi.nlm.nih.gov/pmc/articles/PMC7076058/" TargetMode="External"/><Relationship Id="rId18" Type="http://schemas.openxmlformats.org/officeDocument/2006/relationships/hyperlink" Target="https://www.ncbi.nlm.nih.gov/pmc/articles/PMC7076058/figure/Fig1/" TargetMode="External"/><Relationship Id="rId39" Type="http://schemas.openxmlformats.org/officeDocument/2006/relationships/image" Target="media/image3.png"/><Relationship Id="rId34" Type="http://schemas.openxmlformats.org/officeDocument/2006/relationships/image" Target="media/image2.jpeg"/><Relationship Id="rId50" Type="http://schemas.openxmlformats.org/officeDocument/2006/relationships/hyperlink" Target="https://www.ncbi.nlm.nih.gov/pmc/articles/PMC7076058/figure/Fig3/" TargetMode="External"/><Relationship Id="rId55" Type="http://schemas.openxmlformats.org/officeDocument/2006/relationships/hyperlink" Target="https://www.ncbi.nlm.nih.gov/pmc/articles/PMC7076058/table/Tab1/" TargetMode="External"/><Relationship Id="rId76" Type="http://schemas.openxmlformats.org/officeDocument/2006/relationships/hyperlink" Target="https://www.ncbi.nlm.nih.gov/pmc/articles/PMC7076058/" TargetMode="External"/><Relationship Id="rId7" Type="http://schemas.openxmlformats.org/officeDocument/2006/relationships/hyperlink" Target="https://www.ncbi.nlm.nih.gov/pmc/articles/PMC7076058/" TargetMode="External"/><Relationship Id="rId71" Type="http://schemas.openxmlformats.org/officeDocument/2006/relationships/hyperlink" Target="https://www.ncbi.nlm.nih.gov/pmc/articles/PMC7076058/table/Tab1/" TargetMode="External"/><Relationship Id="rId2" Type="http://schemas.openxmlformats.org/officeDocument/2006/relationships/settings" Target="settings.xml"/><Relationship Id="rId29" Type="http://schemas.openxmlformats.org/officeDocument/2006/relationships/hyperlink" Target="https://www.ncbi.nlm.nih.gov/pmc/articles/PMC7076058/figure/Fig2/" TargetMode="External"/><Relationship Id="rId24" Type="http://schemas.openxmlformats.org/officeDocument/2006/relationships/hyperlink" Target="https://www.ncbi.nlm.nih.gov/pmc/articles/PMC7076058/figure/Fig1/" TargetMode="External"/><Relationship Id="rId40" Type="http://schemas.openxmlformats.org/officeDocument/2006/relationships/hyperlink" Target="https://www.ncbi.nlm.nih.gov/pmc/articles/PMC7076058/figure/Fig3/" TargetMode="External"/><Relationship Id="rId45" Type="http://schemas.openxmlformats.org/officeDocument/2006/relationships/hyperlink" Target="https://www.ncbi.nlm.nih.gov/pmc/articles/PMC7076058/table/Tab1/" TargetMode="External"/><Relationship Id="rId66" Type="http://schemas.openxmlformats.org/officeDocument/2006/relationships/hyperlink" Target="https://www.ncbi.nlm.nih.gov/pmc/articles/PMC7076058/figure/Fig3/" TargetMode="External"/><Relationship Id="rId87" Type="http://schemas.openxmlformats.org/officeDocument/2006/relationships/hyperlink" Target="https://www.ncbi.nlm.nih.gov/pmc/articles/PMC7076058/" TargetMode="External"/><Relationship Id="rId61" Type="http://schemas.openxmlformats.org/officeDocument/2006/relationships/hyperlink" Target="https://www.ncbi.nlm.nih.gov/pmc/articles/PMC7076058/table/Tab1/" TargetMode="External"/><Relationship Id="rId82" Type="http://schemas.openxmlformats.org/officeDocument/2006/relationships/hyperlink" Target="https://www.ncbi.nlm.nih.gov/pmc/articles/PMC7076058/" TargetMode="External"/><Relationship Id="rId19" Type="http://schemas.openxmlformats.org/officeDocument/2006/relationships/hyperlink" Target="https://www.ncbi.nlm.nih.gov/pmc/articles/PMC7076058/figure/Fig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5080</Words>
  <Characters>28960</Characters>
  <Application>Microsoft Office Word</Application>
  <DocSecurity>0</DocSecurity>
  <Lines>241</Lines>
  <Paragraphs>67</Paragraphs>
  <ScaleCrop>false</ScaleCrop>
  <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2024-07-24T11:21:00Z</dcterms:created>
  <dcterms:modified xsi:type="dcterms:W3CDTF">2024-07-24T11:31:00Z</dcterms:modified>
</cp:coreProperties>
</file>