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8"/>
          <w:szCs w:val="48"/>
        </w:rPr>
        <w:t xml:space="preserve"/>
      </w:r>
    </w:p>
    <w:p>
      <w:pPr>
        <w:spacing w:after="120" w:before="720"/>
        <w:jc w:val="center"/>
      </w:pPr>
      <w:r>
        <w:rPr>
          <w:rFonts w:ascii="Arial" w:cs="Arial" w:eastAsia="Arial" w:hAnsi="Arial"/>
          <w:b/>
          <w:bCs/>
          <w:color w:val="1A3A5C"/>
          <w:sz w:val="52"/>
          <w:szCs w:val="52"/>
        </w:rPr>
        <w:t xml:space="preserve">FAHM Biotechnology</w:t>
      </w:r>
    </w:p>
    <w:p>
      <w:pPr>
        <w:spacing w:after="120" w:before="0"/>
        <w:jc w:val="center"/>
      </w:pPr>
      <w:r>
        <w:rPr>
          <w:rFonts w:ascii="Arial" w:cs="Arial" w:eastAsia="Arial" w:hAnsi="Arial"/>
          <w:color w:val="2E75B6"/>
          <w:sz w:val="40"/>
          <w:szCs w:val="40"/>
        </w:rPr>
        <w:t xml:space="preserve">Technical Assessment Report</w:t>
      </w:r>
    </w:p>
    <w:p>
      <w:pPr>
        <w:spacing w:after="600" w:before="0"/>
        <w:jc w:val="center"/>
      </w:pPr>
      <w:r>
        <w:rPr>
          <w:rFonts w:ascii="Arial" w:cs="Arial" w:eastAsia="Arial" w:hAnsi="Arial"/>
          <w:i/>
          <w:iCs/>
          <w:color w:val="555555"/>
          <w:sz w:val="28"/>
          <w:szCs w:val="28"/>
        </w:rPr>
        <w:t xml:space="preserve">Full-Stack AI &amp; Feature Implementation Lead</w:t>
      </w:r>
    </w:p>
    <w:p>
      <w:pPr>
        <w:pBdr>
          <w:bottom w:val="single" w:color="2E75B6" w:sz="12" w:space="1"/>
        </w:pBd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2"/>
                <w:szCs w:val="22"/>
              </w:rPr>
              <w:t xml:space="preserve">Project:</w:t>
            </w:r>
          </w:p>
        </w:tc>
        <w:tc>
          <w:tcPr>
            <w:tcW w:type="dxa" w:w="696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555555"/>
                <w:sz w:val="22"/>
                <w:szCs w:val="22"/>
              </w:rPr>
              <w:t xml:space="preserve">Mammogram Binary Classifier (Malignant vs. Benign/Normal)</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2"/>
                <w:szCs w:val="22"/>
              </w:rPr>
              <w:t xml:space="preserve">Submitted by:</w:t>
            </w:r>
          </w:p>
        </w:tc>
        <w:tc>
          <w:tcPr>
            <w:tcW w:type="dxa" w:w="696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555555"/>
                <w:sz w:val="22"/>
                <w:szCs w:val="22"/>
              </w:rPr>
              <w:t xml:space="preserve">Adeel Shah</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2"/>
                <w:szCs w:val="22"/>
              </w:rPr>
              <w:t xml:space="preserve">Deadline:</w:t>
            </w:r>
          </w:p>
        </w:tc>
        <w:tc>
          <w:tcPr>
            <w:tcW w:type="dxa" w:w="696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555555"/>
                <w:sz w:val="22"/>
                <w:szCs w:val="22"/>
              </w:rPr>
              <w:t xml:space="preserve">Sunday, 7 June 2026, 11:59 PM (AST, GMT+3)</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2"/>
                <w:szCs w:val="22"/>
              </w:rPr>
              <w:t xml:space="preserve">Dataset:</w:t>
            </w:r>
          </w:p>
        </w:tc>
        <w:tc>
          <w:tcPr>
            <w:tcW w:type="dxa" w:w="696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555555"/>
                <w:sz w:val="22"/>
                <w:szCs w:val="22"/>
              </w:rPr>
              <w:t xml:space="preserve">CBIS-DDSM (Kaggle — awsaf49)</w:t>
            </w:r>
          </w:p>
        </w:tc>
      </w:tr>
    </w:tbl>
    <w:p>
      <w:pPr>
        <w:spacing w:after="0" w:before="480"/>
      </w:pPr>
      <w:r>
        <w:t xml:space="preserve"/>
      </w:r>
    </w:p>
    <w:p>
      <w:r>
        <w:br w:type="page"/>
      </w:r>
    </w:p>
    <w:p>
      <w:pPr>
        <w:pStyle w:val="Heading1"/>
        <w:pBdr>
          <w:bottom w:val="single" w:color="2E75B6" w:sz="6" w:space="1"/>
        </w:pBdr>
        <w:spacing w:after="160" w:before="360"/>
      </w:pPr>
      <w:r>
        <w:rPr>
          <w:rFonts w:ascii="Arial" w:cs="Arial" w:eastAsia="Arial" w:hAnsi="Arial"/>
          <w:b/>
          <w:bCs/>
          <w:color w:val="1A3A5C"/>
          <w:sz w:val="32"/>
          <w:szCs w:val="32"/>
        </w:rPr>
        <w:t xml:space="preserve">Live Links &amp;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6E8F7" w:val="clear"/>
            <w:tcMar>
              <w:top w:type="dxa" w:w="100"/>
              <w:left w:type="dxa" w:w="150"/>
              <w:bottom w:type="dxa" w:w="100"/>
              <w:right w:type="dxa" w:w="150"/>
            </w:tcMar>
          </w:tcPr>
          <w:p>
            <w:r>
              <w:rPr>
                <w:rFonts w:ascii="Arial" w:cs="Arial" w:eastAsia="Arial" w:hAnsi="Arial"/>
                <w:b/>
                <w:bCs/>
                <w:color w:val="1A3A5C"/>
                <w:sz w:val="20"/>
                <w:szCs w:val="20"/>
              </w:rPr>
              <w:t xml:space="preserve">Resource</w:t>
            </w:r>
          </w:p>
        </w:tc>
        <w:tc>
          <w:tcPr>
            <w:tcW w:type="dxa" w:w="6760"/>
            <w:tcBorders>
              <w:top w:val="single" w:color="AAAAAA" w:sz="1"/>
              <w:left w:val="single" w:color="AAAAAA" w:sz="1"/>
              <w:bottom w:val="single" w:color="AAAAAA" w:sz="1"/>
              <w:right w:val="single" w:color="AAAAAA" w:sz="1"/>
            </w:tcBorders>
            <w:shd w:fill="D6E8F7" w:val="clear"/>
            <w:tcMar>
              <w:top w:type="dxa" w:w="100"/>
              <w:left w:type="dxa" w:w="150"/>
              <w:bottom w:type="dxa" w:w="100"/>
              <w:right w:type="dxa" w:w="150"/>
            </w:tcMar>
          </w:tcPr>
          <w:p>
            <w:r>
              <w:rPr>
                <w:rFonts w:ascii="Arial" w:cs="Arial" w:eastAsia="Arial" w:hAnsi="Arial"/>
                <w:b/>
                <w:bCs/>
                <w:color w:val="1A3A5C"/>
                <w:sz w:val="20"/>
                <w:szCs w:val="20"/>
              </w:rPr>
              <w:t xml:space="preserve">URL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Frontend (Live)</w:t>
            </w:r>
          </w:p>
        </w:tc>
        <w:tc>
          <w:tcPr>
            <w:tcW w:type="dxa" w:w="6760"/>
            <w:tcBorders>
              <w:top w:val="single" w:color="CCCCCC" w:sz="1"/>
              <w:left w:val="single" w:color="CCCCCC" w:sz="1"/>
              <w:bottom w:val="single" w:color="CCCCCC" w:sz="1"/>
              <w:right w:val="single" w:color="CCCCCC" w:sz="1"/>
            </w:tcBorders>
            <w:tcMar>
              <w:top w:type="dxa" w:w="100"/>
              <w:left w:type="dxa" w:w="150"/>
              <w:bottom w:type="dxa" w:w="100"/>
              <w:right w:type="dxa" w:w="150"/>
            </w:tcMar>
          </w:tcPr>
          <w:p>
            <w:hyperlink w:history="1" r:id="rIdqlivlsgzh0krx4rzortgd">
              <w:r>
                <w:rPr>
                  <w:rFonts w:ascii="Arial" w:cs="Arial" w:eastAsia="Arial" w:hAnsi="Arial"/>
                  <w:color w:val="2E75B6"/>
                  <w:sz w:val="20"/>
                  <w:szCs w:val="20"/>
                  <w:u w:val="single"/>
                </w:rPr>
                <w:t xml:space="preserve">https://fahm-mammogram-classifier.vercel.app</w:t>
              </w:r>
            </w:hyperlink>
          </w:p>
        </w:tc>
      </w:tr>
      <w:tr>
        <w:tc>
          <w:tcPr>
            <w:tcW w:type="dxa" w:w="26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Backend API Docs</w:t>
            </w:r>
          </w:p>
        </w:tc>
        <w:tc>
          <w:tcPr>
            <w:tcW w:type="dxa" w:w="67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hyperlink w:history="1" r:id="rIdvzopvv4rh-mcxxvs2y6vp">
              <w:r>
                <w:rPr>
                  <w:rFonts w:ascii="Arial" w:cs="Arial" w:eastAsia="Arial" w:hAnsi="Arial"/>
                  <w:color w:val="2E75B6"/>
                  <w:sz w:val="20"/>
                  <w:szCs w:val="20"/>
                  <w:u w:val="single"/>
                </w:rPr>
                <w:t xml:space="preserve">https://adeel41-mammogram-classifier.hf.space/docs</w:t>
              </w:r>
            </w:hyperlink>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GitHub Repository</w:t>
            </w:r>
          </w:p>
        </w:tc>
        <w:tc>
          <w:tcPr>
            <w:tcW w:type="dxa" w:w="6760"/>
            <w:tcBorders>
              <w:top w:val="single" w:color="CCCCCC" w:sz="1"/>
              <w:left w:val="single" w:color="CCCCCC" w:sz="1"/>
              <w:bottom w:val="single" w:color="CCCCCC" w:sz="1"/>
              <w:right w:val="single" w:color="CCCCCC" w:sz="1"/>
            </w:tcBorders>
            <w:tcMar>
              <w:top w:type="dxa" w:w="100"/>
              <w:left w:type="dxa" w:w="150"/>
              <w:bottom w:type="dxa" w:w="100"/>
              <w:right w:type="dxa" w:w="150"/>
            </w:tcMar>
          </w:tcPr>
          <w:p>
            <w:hyperlink w:history="1" r:id="rIdtm1tf5hlnn_xk4nnpjecs">
              <w:r>
                <w:rPr>
                  <w:rFonts w:ascii="Arial" w:cs="Arial" w:eastAsia="Arial" w:hAnsi="Arial"/>
                  <w:color w:val="2E75B6"/>
                  <w:sz w:val="20"/>
                  <w:szCs w:val="20"/>
                  <w:u w:val="single"/>
                </w:rPr>
                <w:t xml:space="preserve">https://github.com/adeelshah41/fahm-technical-assessment</w:t>
              </w:r>
            </w:hyperlink>
          </w:p>
        </w:tc>
      </w:tr>
    </w:tbl>
    <w:p>
      <w:pPr>
        <w:spacing w:after="0" w:before="120"/>
      </w:pPr>
      <w:r>
        <w:t xml:space="preserve"/>
      </w:r>
    </w:p>
    <w:p>
      <w:pPr>
        <w:pStyle w:val="Heading1"/>
        <w:pBdr>
          <w:bottom w:val="single" w:color="2E75B6" w:sz="6" w:space="1"/>
        </w:pBdr>
        <w:spacing w:after="160" w:before="360"/>
      </w:pPr>
      <w:r>
        <w:rPr>
          <w:rFonts w:ascii="Arial" w:cs="Arial" w:eastAsia="Arial" w:hAnsi="Arial"/>
          <w:b/>
          <w:bCs/>
          <w:color w:val="1A3A5C"/>
          <w:sz w:val="32"/>
          <w:szCs w:val="32"/>
        </w:rPr>
        <w:t xml:space="preserve">1. Architecture Overview</w:t>
      </w:r>
    </w:p>
    <w:p>
      <w:pPr>
        <w:spacing w:after="100" w:before="60"/>
      </w:pPr>
      <w:r>
        <w:rPr>
          <w:rFonts w:ascii="Arial" w:cs="Arial" w:eastAsia="Arial" w:hAnsi="Arial"/>
          <w:color w:val="555555"/>
          <w:sz w:val="22"/>
          <w:szCs w:val="22"/>
        </w:rPr>
        <w:t xml:space="preserve">The FAHM Mammogram Classifier is a secure, decoupled full-stack application built on a serverless cloud architecture. All components are independently scalable and communicate exclusively over HTTPS.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System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
        <w:gridCol w:w="2200"/>
        <w:gridCol w:w="340"/>
        <w:gridCol w:w="2200"/>
        <w:gridCol w:w="340"/>
        <w:gridCol w:w="2080"/>
      </w:tblGrid>
      <w:tr>
        <w:tc>
          <w:tcPr>
            <w:tcW w:type="dxa" w:w="2200"/>
            <w:tcBorders>
              <w:top w:val="single" w:color="2E75B6" w:sz="1"/>
              <w:left w:val="single" w:color="2E75B6" w:sz="1"/>
              <w:bottom w:val="single" w:color="2E75B6" w:sz="1"/>
              <w:right w:val="single" w:color="2E75B6" w:sz="1"/>
            </w:tcBorders>
            <w:shd w:fill="D6E8F7" w:val="clear"/>
            <w:tcMar>
              <w:top w:type="dxa" w:w="100"/>
              <w:left w:type="dxa" w:w="150"/>
              <w:bottom w:type="dxa" w:w="100"/>
              <w:right w:type="dxa" w:w="150"/>
            </w:tcMar>
            <w:vAlign w:val="center"/>
          </w:tcPr>
          <w:p>
            <w:pPr>
              <w:jc w:val="center"/>
            </w:pPr>
            <w:r>
              <w:rPr>
                <w:rFonts w:ascii="Arial" w:cs="Arial" w:eastAsia="Arial" w:hAnsi="Arial"/>
                <w:b/>
                <w:bCs/>
                <w:color w:val="1A3A5C"/>
                <w:sz w:val="20"/>
                <w:szCs w:val="20"/>
              </w:rPr>
              <w:t xml:space="preserve">React UI</w:t>
            </w:r>
          </w:p>
          <w:p>
            <w:pPr>
              <w:jc w:val="center"/>
            </w:pPr>
            <w:r>
              <w:rPr>
                <w:rFonts w:ascii="Arial" w:cs="Arial" w:eastAsia="Arial" w:hAnsi="Arial"/>
                <w:color w:val="555555"/>
                <w:sz w:val="18"/>
                <w:szCs w:val="18"/>
              </w:rPr>
              <w:t xml:space="preserve">Vercel CDN</w:t>
            </w:r>
          </w:p>
        </w:tc>
        <w:tc>
          <w:tcPr>
            <w:tcW w:type="dxa" w:w="34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jc w:val="center"/>
            </w:pPr>
            <w:r>
              <w:rPr>
                <w:rFonts w:ascii="Arial" w:cs="Arial" w:eastAsia="Arial" w:hAnsi="Arial"/>
                <w:b/>
                <w:bCs/>
                <w:color w:val="2E75B6"/>
                <w:sz w:val="24"/>
                <w:szCs w:val="24"/>
              </w:rPr>
              <w:t xml:space="preserve">→</w:t>
            </w:r>
          </w:p>
        </w:tc>
        <w:tc>
          <w:tcPr>
            <w:tcW w:type="dxa" w:w="2200"/>
            <w:tcBorders>
              <w:top w:val="single" w:color="2E75B6" w:sz="1"/>
              <w:left w:val="single" w:color="2E75B6" w:sz="1"/>
              <w:bottom w:val="single" w:color="2E75B6" w:sz="1"/>
              <w:right w:val="single" w:color="2E75B6" w:sz="1"/>
            </w:tcBorders>
            <w:shd w:fill="D6E8F7" w:val="clear"/>
            <w:tcMar>
              <w:top w:type="dxa" w:w="100"/>
              <w:left w:type="dxa" w:w="150"/>
              <w:bottom w:type="dxa" w:w="100"/>
              <w:right w:type="dxa" w:w="150"/>
            </w:tcMar>
            <w:vAlign w:val="center"/>
          </w:tcPr>
          <w:p>
            <w:pPr>
              <w:jc w:val="center"/>
            </w:pPr>
            <w:r>
              <w:rPr>
                <w:rFonts w:ascii="Arial" w:cs="Arial" w:eastAsia="Arial" w:hAnsi="Arial"/>
                <w:b/>
                <w:bCs/>
                <w:color w:val="1A3A5C"/>
                <w:sz w:val="20"/>
                <w:szCs w:val="20"/>
              </w:rPr>
              <w:t xml:space="preserve">FastAPI</w:t>
            </w:r>
          </w:p>
          <w:p>
            <w:pPr>
              <w:jc w:val="center"/>
            </w:pPr>
            <w:r>
              <w:rPr>
                <w:rFonts w:ascii="Arial" w:cs="Arial" w:eastAsia="Arial" w:hAnsi="Arial"/>
                <w:color w:val="555555"/>
                <w:sz w:val="18"/>
                <w:szCs w:val="18"/>
              </w:rPr>
              <w:t xml:space="preserve">HF Spaces</w:t>
            </w:r>
          </w:p>
        </w:tc>
        <w:tc>
          <w:tcPr>
            <w:tcW w:type="dxa" w:w="34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jc w:val="center"/>
            </w:pPr>
            <w:r>
              <w:rPr>
                <w:rFonts w:ascii="Arial" w:cs="Arial" w:eastAsia="Arial" w:hAnsi="Arial"/>
                <w:b/>
                <w:bCs/>
                <w:color w:val="2E75B6"/>
                <w:sz w:val="24"/>
                <w:szCs w:val="24"/>
              </w:rPr>
              <w:t xml:space="preserve">→</w:t>
            </w:r>
          </w:p>
        </w:tc>
        <w:tc>
          <w:tcPr>
            <w:tcW w:type="dxa" w:w="2200"/>
            <w:tcBorders>
              <w:top w:val="single" w:color="2E75B6" w:sz="1"/>
              <w:left w:val="single" w:color="2E75B6" w:sz="1"/>
              <w:bottom w:val="single" w:color="2E75B6" w:sz="1"/>
              <w:right w:val="single" w:color="2E75B6" w:sz="1"/>
            </w:tcBorders>
            <w:shd w:fill="D6E8F7" w:val="clear"/>
            <w:tcMar>
              <w:top w:type="dxa" w:w="100"/>
              <w:left w:type="dxa" w:w="150"/>
              <w:bottom w:type="dxa" w:w="100"/>
              <w:right w:type="dxa" w:w="150"/>
            </w:tcMar>
            <w:vAlign w:val="center"/>
          </w:tcPr>
          <w:p>
            <w:pPr>
              <w:jc w:val="center"/>
            </w:pPr>
            <w:r>
              <w:rPr>
                <w:rFonts w:ascii="Arial" w:cs="Arial" w:eastAsia="Arial" w:hAnsi="Arial"/>
                <w:b/>
                <w:bCs/>
                <w:color w:val="1A3A5C"/>
                <w:sz w:val="20"/>
                <w:szCs w:val="20"/>
              </w:rPr>
              <w:t xml:space="preserve">EfficientNet-B0</w:t>
            </w:r>
          </w:p>
          <w:p>
            <w:pPr>
              <w:jc w:val="center"/>
            </w:pPr>
            <w:r>
              <w:rPr>
                <w:rFonts w:ascii="Arial" w:cs="Arial" w:eastAsia="Arial" w:hAnsi="Arial"/>
                <w:color w:val="555555"/>
                <w:sz w:val="18"/>
                <w:szCs w:val="18"/>
              </w:rPr>
              <w:t xml:space="preserve">PyTorch</w:t>
            </w:r>
          </w:p>
        </w:tc>
        <w:tc>
          <w:tcPr>
            <w:tcW w:type="dxa" w:w="340"/>
            <w:tcBorders>
              <w:top w:val="none" w:color="FFFFFF" w:sz="0"/>
              <w:left w:val="none" w:color="FFFFFF" w:sz="0"/>
              <w:bottom w:val="none" w:color="FFFFFF" w:sz="0"/>
              <w:right w:val="none" w:color="FFFFFF" w:sz="0"/>
            </w:tcBorders>
            <w:tcMar>
              <w:top w:type="dxa" w:w="100"/>
              <w:left w:type="dxa" w:w="150"/>
              <w:bottom w:type="dxa" w:w="100"/>
              <w:right w:type="dxa" w:w="150"/>
            </w:tcMar>
            <w:vAlign w:val="center"/>
          </w:tcPr>
          <w:p>
            <w:pPr>
              <w:jc w:val="center"/>
            </w:pPr>
            <w:r>
              <w:rPr>
                <w:rFonts w:ascii="Arial" w:cs="Arial" w:eastAsia="Arial" w:hAnsi="Arial"/>
                <w:b/>
                <w:bCs/>
                <w:color w:val="2E75B6"/>
                <w:sz w:val="24"/>
                <w:szCs w:val="24"/>
              </w:rPr>
              <w:t xml:space="preserve">→</w:t>
            </w:r>
          </w:p>
        </w:tc>
        <w:tc>
          <w:tcPr>
            <w:tcW w:type="dxa" w:w="2080"/>
            <w:tcBorders>
              <w:top w:val="single" w:color="2E75B6" w:sz="1"/>
              <w:left w:val="single" w:color="2E75B6" w:sz="1"/>
              <w:bottom w:val="single" w:color="2E75B6" w:sz="1"/>
              <w:right w:val="single" w:color="2E75B6" w:sz="1"/>
            </w:tcBorders>
            <w:shd w:fill="D6E8F7" w:val="clear"/>
            <w:tcMar>
              <w:top w:type="dxa" w:w="100"/>
              <w:left w:type="dxa" w:w="150"/>
              <w:bottom w:type="dxa" w:w="100"/>
              <w:right w:type="dxa" w:w="150"/>
            </w:tcMar>
            <w:vAlign w:val="center"/>
          </w:tcPr>
          <w:p>
            <w:pPr>
              <w:jc w:val="center"/>
            </w:pPr>
            <w:r>
              <w:rPr>
                <w:rFonts w:ascii="Arial" w:cs="Arial" w:eastAsia="Arial" w:hAnsi="Arial"/>
                <w:b/>
                <w:bCs/>
                <w:color w:val="1A3A5C"/>
                <w:sz w:val="20"/>
                <w:szCs w:val="20"/>
              </w:rPr>
              <w:t xml:space="preserve">JSON Response</w:t>
            </w:r>
          </w:p>
          <w:p>
            <w:pPr>
              <w:jc w:val="center"/>
            </w:pPr>
            <w:r>
              <w:rPr>
                <w:rFonts w:ascii="Arial" w:cs="Arial" w:eastAsia="Arial" w:hAnsi="Arial"/>
                <w:color w:val="555555"/>
                <w:sz w:val="18"/>
                <w:szCs w:val="18"/>
              </w:rPr>
              <w:t xml:space="preserve">Label + Confidence</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Technology Choices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Layer</w:t>
            </w:r>
          </w:p>
        </w:tc>
        <w:tc>
          <w:tcPr>
            <w:tcW w:type="dxa" w:w="20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Technology</w:t>
            </w:r>
          </w:p>
        </w:tc>
        <w:tc>
          <w:tcPr>
            <w:tcW w:type="dxa" w:w="556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ML Framework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PyTorch + torchvision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Dynamic computation graphs, deep integration with medical imaging research, and a robust pretrained model ecosystem.</w:t>
            </w:r>
          </w:p>
        </w:tc>
      </w:tr>
      <w:tr>
        <w:tc>
          <w:tcPr>
            <w:tcW w:type="dxa" w:w="18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Pretrained Model</w:t>
            </w:r>
          </w:p>
        </w:tc>
        <w:tc>
          <w:tcPr>
            <w:tcW w:type="dxa" w:w="20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EfficientNet-B0</w:t>
            </w:r>
          </w:p>
        </w:tc>
        <w:tc>
          <w:tcPr>
            <w:tcW w:type="dxa" w:w="55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Compound scaling across depth, width, and resolution achieves strong accuracy at low parameter count. ImageNet pretrained weights reduce data requirements significantly.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FastAPI (Python)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Asynchronous request handling, automatic OpenAPI/Swagger documentation, and high throughput for binary image classification.</w:t>
            </w:r>
          </w:p>
        </w:tc>
      </w:tr>
      <w:tr>
        <w:tc>
          <w:tcPr>
            <w:tcW w:type="dxa" w:w="18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Frontend</w:t>
            </w:r>
          </w:p>
        </w:tc>
        <w:tc>
          <w:tcPr>
            <w:tcW w:type="dxa" w:w="20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React + Tailwind + Vite</w:t>
            </w:r>
          </w:p>
        </w:tc>
        <w:tc>
          <w:tcPr>
            <w:tcW w:type="dxa" w:w="55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Component reusability, extremely fast build times, clean clinical UI design, and zero backend coupling.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Inference Host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Hugging Face Spaces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Generous free-tier compute with Docker support, automatic HTTPS, and zero cold-start penalty for persistent Spaces.</w:t>
            </w:r>
          </w:p>
        </w:tc>
      </w:tr>
      <w:tr>
        <w:tc>
          <w:tcPr>
            <w:tcW w:type="dxa" w:w="18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Frontend Host</w:t>
            </w:r>
          </w:p>
        </w:tc>
        <w:tc>
          <w:tcPr>
            <w:tcW w:type="dxa" w:w="20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Vercel</w:t>
            </w:r>
          </w:p>
        </w:tc>
        <w:tc>
          <w:tcPr>
            <w:tcW w:type="dxa" w:w="55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Edge CDN delivery, instant GitHub-linked deployments, and automatic HTTPS — ideal for decoupling static UI from compute-heavy inference.</w:t>
            </w:r>
          </w:p>
        </w:tc>
      </w:tr>
    </w:tbl>
    <w:p>
      <w:pPr>
        <w:spacing w:after="0" w:before="120"/>
      </w:pPr>
      <w:r>
        <w:t xml:space="preserve"/>
      </w:r>
    </w:p>
    <w:p>
      <w:pPr>
        <w:pStyle w:val="Heading1"/>
        <w:pBdr>
          <w:bottom w:val="single" w:color="2E75B6" w:sz="6" w:space="1"/>
        </w:pBdr>
        <w:spacing w:after="160" w:before="360"/>
      </w:pPr>
      <w:r>
        <w:rPr>
          <w:rFonts w:ascii="Arial" w:cs="Arial" w:eastAsia="Arial" w:hAnsi="Arial"/>
          <w:b/>
          <w:bCs/>
          <w:color w:val="1A3A5C"/>
          <w:sz w:val="32"/>
          <w:szCs w:val="32"/>
        </w:rPr>
        <w:t xml:space="preserve">2. Dataset Selection &amp; Rationale</w:t>
      </w:r>
    </w:p>
    <w:p>
      <w:pPr>
        <w:pStyle w:val="Heading2"/>
        <w:spacing w:after="100" w:before="280"/>
      </w:pPr>
      <w:r>
        <w:rPr>
          <w:rFonts w:ascii="Arial" w:cs="Arial" w:eastAsia="Arial" w:hAnsi="Arial"/>
          <w:b/>
          <w:bCs/>
          <w:color w:val="2E75B6"/>
          <w:sz w:val="26"/>
          <w:szCs w:val="26"/>
        </w:rPr>
        <w:t xml:space="preserve">Dataset: CBIS-DDSM (Kaggle Variant — awsaf49)</w:t>
      </w:r>
    </w:p>
    <w:p>
      <w:pPr>
        <w:spacing w:after="100" w:before="60"/>
      </w:pPr>
      <w:r>
        <w:rPr>
          <w:rFonts w:ascii="Arial" w:cs="Arial" w:eastAsia="Arial" w:hAnsi="Arial"/>
          <w:color w:val="555555"/>
          <w:sz w:val="22"/>
          <w:szCs w:val="22"/>
        </w:rPr>
        <w:t xml:space="preserve">The model was trained on the Curated Breast Imaging Subset of DDSM (CBIS-DDSM), specifically the pre-processed Kaggle variant containing cropped Region of Interest (ROI) images converted to JPEG format.</w:t>
      </w:r>
    </w:p>
    <w:p>
      <w:pPr>
        <w:spacing w:after="0" w:before="60"/>
      </w:pPr>
      <w:r>
        <w:t xml:space="preserve"/>
      </w:r>
    </w:p>
    <w:p>
      <w:pPr>
        <w:pStyle w:val="Heading2"/>
        <w:spacing w:after="100" w:before="280"/>
      </w:pPr>
      <w:r>
        <w:rPr>
          <w:rFonts w:ascii="Arial" w:cs="Arial" w:eastAsia="Arial" w:hAnsi="Arial"/>
          <w:b/>
          <w:bCs/>
          <w:color w:val="2E75B6"/>
          <w:sz w:val="26"/>
          <w:szCs w:val="26"/>
        </w:rPr>
        <w:t xml:space="preserve">Why CBIS-DDSM?</w:t>
      </w:r>
    </w:p>
    <w:p>
      <w:pPr>
        <w:pStyle w:val="ListParagraph"/>
        <w:numPr>
          <w:ilvl w:val="0"/>
          <w:numId w:val="2"/>
        </w:numPr>
        <w:spacing w:after="60" w:before="60"/>
      </w:pPr>
      <w:r>
        <w:rPr>
          <w:rFonts w:ascii="Arial" w:cs="Arial" w:eastAsia="Arial" w:hAnsi="Arial"/>
          <w:b/>
          <w:bCs/>
          <w:color w:val="000000"/>
          <w:sz w:val="22"/>
          <w:szCs w:val="22"/>
        </w:rPr>
        <w:t xml:space="preserve">One of the most widely cited public mammography benchmarks, with verified pathology labels from biopsy results.</w:t>
      </w:r>
      <w:r>
        <w:rPr>
          <w:rFonts w:ascii="Arial" w:cs="Arial" w:eastAsia="Arial" w:hAnsi="Arial"/>
          <w:color w:val="555555"/>
          <w:sz w:val="22"/>
          <w:szCs w:val="22"/>
        </w:rPr>
        <w:t xml:space="preserve">Standardized &amp; Peer-Reviewed: </w:t>
      </w:r>
    </w:p>
    <w:p>
      <w:pPr>
        <w:pStyle w:val="ListParagraph"/>
        <w:numPr>
          <w:ilvl w:val="0"/>
          <w:numId w:val="2"/>
        </w:numPr>
        <w:spacing w:after="60" w:before="60"/>
      </w:pPr>
      <w:r>
        <w:rPr>
          <w:rFonts w:ascii="Arial" w:cs="Arial" w:eastAsia="Arial" w:hAnsi="Arial"/>
          <w:b/>
          <w:bCs/>
          <w:color w:val="000000"/>
          <w:sz w:val="22"/>
          <w:szCs w:val="22"/>
        </w:rPr>
        <w:t xml:space="preserve">The Kaggle variant eliminates the need for complex DICOM window-leveling on raw 16-bit pixel arrays, enabling focus on model architecture and deployment within the 1-2 day assessment window.</w:t>
      </w:r>
      <w:r>
        <w:rPr>
          <w:rFonts w:ascii="Arial" w:cs="Arial" w:eastAsia="Arial" w:hAnsi="Arial"/>
          <w:color w:val="555555"/>
          <w:sz w:val="22"/>
          <w:szCs w:val="22"/>
        </w:rPr>
        <w:t xml:space="preserve">Pre-processed: </w:t>
      </w:r>
    </w:p>
    <w:p>
      <w:pPr>
        <w:pStyle w:val="ListParagraph"/>
        <w:numPr>
          <w:ilvl w:val="0"/>
          <w:numId w:val="2"/>
        </w:numPr>
        <w:spacing w:after="60" w:before="60"/>
      </w:pPr>
      <w:r>
        <w:rPr>
          <w:rFonts w:ascii="Arial" w:cs="Arial" w:eastAsia="Arial" w:hAnsi="Arial"/>
          <w:b/>
          <w:bCs/>
          <w:color w:val="000000"/>
          <w:sz w:val="22"/>
          <w:szCs w:val="22"/>
        </w:rPr>
        <w:t xml:space="preserve">Images are cropped to the abnormality region, reducing irrelevant background noise and directing model attention to clinically relevant tissue.</w:t>
      </w:r>
      <w:r>
        <w:rPr>
          <w:rFonts w:ascii="Arial" w:cs="Arial" w:eastAsia="Arial" w:hAnsi="Arial"/>
          <w:color w:val="555555"/>
          <w:sz w:val="22"/>
          <w:szCs w:val="22"/>
        </w:rPr>
        <w:t xml:space="preserve">ROI-Focused: </w:t>
      </w:r>
    </w:p>
    <w:p>
      <w:pPr>
        <w:pStyle w:val="ListParagraph"/>
        <w:numPr>
          <w:ilvl w:val="0"/>
          <w:numId w:val="2"/>
        </w:numPr>
        <w:spacing w:after="60" w:before="60"/>
      </w:pPr>
      <w:r>
        <w:rPr>
          <w:rFonts w:ascii="Arial" w:cs="Arial" w:eastAsia="Arial" w:hAnsi="Arial"/>
          <w:b/>
          <w:bCs/>
          <w:color w:val="000000"/>
          <w:sz w:val="22"/>
          <w:szCs w:val="22"/>
        </w:rPr>
        <w:t xml:space="preserve">With a roughly 55/45 benign-to-malignant split, severe class imbalance techniques are unnecessary — though weighted loss was still applied.</w:t>
      </w:r>
      <w:r>
        <w:rPr>
          <w:rFonts w:ascii="Arial" w:cs="Arial" w:eastAsia="Arial" w:hAnsi="Arial"/>
          <w:color w:val="555555"/>
          <w:sz w:val="22"/>
          <w:szCs w:val="22"/>
        </w:rPr>
        <w:t xml:space="preserve">Balanced Binary Labels: </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Class Distribution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1750"/>
      </w:tblGrid>
      <w:tr>
        <w:tc>
          <w:tcPr>
            <w:tcW w:type="dxa" w:w="25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Class</w:t>
            </w:r>
          </w:p>
        </w:tc>
        <w:tc>
          <w:tcPr>
            <w:tcW w:type="dxa" w:w="175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Count</w:t>
            </w:r>
          </w:p>
        </w:tc>
        <w:tc>
          <w:tcPr>
            <w:tcW w:type="dxa" w:w="175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Percentage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Malignant (Label = 1)</w:t>
            </w:r>
          </w:p>
        </w:tc>
        <w:tc>
          <w:tcPr>
            <w:tcW w:type="dxa" w:w="17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~1,456</w:t>
            </w:r>
          </w:p>
        </w:tc>
        <w:tc>
          <w:tcPr>
            <w:tcW w:type="dxa" w:w="17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~40.8%</w:t>
            </w:r>
          </w:p>
        </w:tc>
      </w:tr>
      <w:tr>
        <w:tc>
          <w:tcPr>
            <w:tcW w:type="dxa" w:w="25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1E8449"/>
                <w:sz w:val="20"/>
                <w:szCs w:val="20"/>
              </w:rPr>
              <w:t xml:space="preserve">Benign / Normal (Label = 0)</w:t>
            </w:r>
          </w:p>
        </w:tc>
        <w:tc>
          <w:tcPr>
            <w:tcW w:type="dxa" w:w="175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~2,110</w:t>
            </w:r>
          </w:p>
        </w:tc>
        <w:tc>
          <w:tcPr>
            <w:tcW w:type="dxa" w:w="175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~59.2%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Total</w:t>
            </w:r>
          </w:p>
        </w:tc>
        <w:tc>
          <w:tcPr>
            <w:tcW w:type="dxa" w:w="17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55555"/>
                <w:sz w:val="20"/>
                <w:szCs w:val="20"/>
              </w:rPr>
              <w:t xml:space="preserve">~3,566</w:t>
            </w:r>
          </w:p>
        </w:tc>
        <w:tc>
          <w:tcPr>
            <w:tcW w:type="dxa" w:w="175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55555"/>
                <w:sz w:val="20"/>
                <w:szCs w:val="20"/>
              </w:rPr>
              <w:t xml:space="preserve">100%</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Preprocessing Pipeline</w:t>
      </w:r>
    </w:p>
    <w:p>
      <w:pPr>
        <w:pStyle w:val="ListParagraph"/>
        <w:numPr>
          <w:ilvl w:val="0"/>
          <w:numId w:val="2"/>
        </w:numPr>
        <w:spacing w:after="60" w:before="60"/>
      </w:pPr>
      <w:r>
        <w:rPr>
          <w:rFonts w:ascii="Arial" w:cs="Arial" w:eastAsia="Arial" w:hAnsi="Arial"/>
          <w:color w:val="555555"/>
          <w:sz w:val="22"/>
          <w:szCs w:val="22"/>
        </w:rPr>
        <w:t xml:space="preserve">Resize to 224×224 pixels (EfficientNet-B0 input standard)</w:t>
      </w:r>
    </w:p>
    <w:p>
      <w:pPr>
        <w:pStyle w:val="ListParagraph"/>
        <w:numPr>
          <w:ilvl w:val="0"/>
          <w:numId w:val="2"/>
        </w:numPr>
        <w:spacing w:after="60" w:before="60"/>
      </w:pPr>
      <w:r>
        <w:rPr>
          <w:rFonts w:ascii="Arial" w:cs="Arial" w:eastAsia="Arial" w:hAnsi="Arial"/>
          <w:color w:val="555555"/>
          <w:sz w:val="22"/>
          <w:szCs w:val="22"/>
        </w:rPr>
        <w:t xml:space="preserve">Normalize to ImageNet statistics — mean=[0.485, 0.456, 0.406], std=[0.229, 0.224, 0.225]</w:t>
      </w:r>
    </w:p>
    <w:p>
      <w:pPr>
        <w:pStyle w:val="ListParagraph"/>
        <w:numPr>
          <w:ilvl w:val="0"/>
          <w:numId w:val="2"/>
        </w:numPr>
        <w:spacing w:after="60" w:before="60"/>
      </w:pPr>
      <w:r>
        <w:rPr>
          <w:rFonts w:ascii="Arial" w:cs="Arial" w:eastAsia="Arial" w:hAnsi="Arial"/>
          <w:color w:val="555555"/>
          <w:sz w:val="22"/>
          <w:szCs w:val="22"/>
        </w:rPr>
        <w:t xml:space="preserve">Training augmentations: random horizontal/vertical flips, color jitter (brightness ±0.2, contrast ±0.2)</w:t>
      </w:r>
    </w:p>
    <w:p>
      <w:pPr>
        <w:pStyle w:val="ListParagraph"/>
        <w:numPr>
          <w:ilvl w:val="0"/>
          <w:numId w:val="2"/>
        </w:numPr>
        <w:spacing w:after="60" w:before="60"/>
      </w:pPr>
      <w:r>
        <w:rPr>
          <w:rFonts w:ascii="Arial" w:cs="Arial" w:eastAsia="Arial" w:hAnsi="Arial"/>
          <w:color w:val="555555"/>
          <w:sz w:val="22"/>
          <w:szCs w:val="22"/>
        </w:rPr>
        <w:t xml:space="preserve">No augmentation applied on validation or test sets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Dataset Splits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tblGrid>
      <w:tr>
        <w:tc>
          <w:tcPr>
            <w:tcW w:type="dxa" w:w="20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Split</w:t>
            </w:r>
          </w:p>
        </w:tc>
        <w:tc>
          <w:tcPr>
            <w:tcW w:type="dxa" w:w="15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Images</w:t>
            </w:r>
          </w:p>
        </w:tc>
        <w:tc>
          <w:tcPr>
            <w:tcW w:type="dxa" w:w="15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Training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~2,496</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Weight updates</w:t>
            </w:r>
          </w:p>
        </w:tc>
      </w:tr>
      <w:tr>
        <w:tc>
          <w:tcPr>
            <w:tcW w:type="dxa" w:w="20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Validation (15% of train)</w:t>
            </w:r>
          </w:p>
        </w:tc>
        <w:tc>
          <w:tcPr>
            <w:tcW w:type="dxa" w:w="15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~535</w:t>
            </w:r>
          </w:p>
        </w:tc>
        <w:tc>
          <w:tcPr>
            <w:tcW w:type="dxa" w:w="15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AUC checkpoint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Test (held-out)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535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Final evaluation</w:t>
            </w:r>
          </w:p>
        </w:tc>
      </w:tr>
    </w:tbl>
    <w:p>
      <w:pPr>
        <w:spacing w:after="0" w:before="120"/>
      </w:pPr>
      <w:r>
        <w:t xml:space="preserve"/>
      </w:r>
    </w:p>
    <w:p>
      <w:pPr>
        <w:pStyle w:val="Heading1"/>
        <w:pBdr>
          <w:bottom w:val="single" w:color="2E75B6" w:sz="6" w:space="1"/>
        </w:pBdr>
        <w:spacing w:after="160" w:before="360"/>
      </w:pPr>
      <w:r>
        <w:rPr>
          <w:rFonts w:ascii="Arial" w:cs="Arial" w:eastAsia="Arial" w:hAnsi="Arial"/>
          <w:b/>
          <w:bCs/>
          <w:color w:val="1A3A5C"/>
          <w:sz w:val="32"/>
          <w:szCs w:val="32"/>
        </w:rPr>
        <w:t xml:space="preserve">3. ML Model</w:t>
      </w:r>
    </w:p>
    <w:p>
      <w:pPr>
        <w:pStyle w:val="Heading2"/>
        <w:spacing w:after="100" w:before="280"/>
      </w:pPr>
      <w:r>
        <w:rPr>
          <w:rFonts w:ascii="Arial" w:cs="Arial" w:eastAsia="Arial" w:hAnsi="Arial"/>
          <w:b/>
          <w:bCs/>
          <w:color w:val="2E75B6"/>
          <w:sz w:val="26"/>
          <w:szCs w:val="26"/>
        </w:rPr>
        <w:t xml:space="preserve">Architecture: EfficientNet-B0 with Transfer Learning</w:t>
      </w:r>
    </w:p>
    <w:p>
      <w:pPr>
        <w:spacing w:after="100" w:before="60"/>
      </w:pPr>
      <w:r>
        <w:rPr>
          <w:rFonts w:ascii="Arial" w:cs="Arial" w:eastAsia="Arial" w:hAnsi="Arial"/>
          <w:color w:val="555555"/>
          <w:sz w:val="22"/>
          <w:szCs w:val="22"/>
        </w:rPr>
        <w:t xml:space="preserve">The core classification engine is an EfficientNet-B0 backbone pre-trained on ImageNet (IMAGENET1K_V1 weights). Only the final classifier head was replaced and retrained from scratch; the convolutional feature extractor was fine-tuned end-to-end.</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Classifier Head Modification</w:t>
      </w:r>
    </w:p>
    <w:p>
      <w:pPr>
        <w:pStyle w:val="ListParagraph"/>
        <w:numPr>
          <w:ilvl w:val="0"/>
          <w:numId w:val="2"/>
        </w:numPr>
        <w:spacing w:after="60" w:before="60"/>
      </w:pPr>
      <w:r>
        <w:rPr>
          <w:rFonts w:ascii="Arial" w:cs="Arial" w:eastAsia="Arial" w:hAnsi="Arial"/>
          <w:color w:val="555555"/>
          <w:sz w:val="22"/>
          <w:szCs w:val="22"/>
        </w:rPr>
        <w:t xml:space="preserve">Original head removed and replaced with: Linear(in_features → 1)</w:t>
      </w:r>
    </w:p>
    <w:p>
      <w:pPr>
        <w:pStyle w:val="ListParagraph"/>
        <w:numPr>
          <w:ilvl w:val="0"/>
          <w:numId w:val="2"/>
        </w:numPr>
        <w:spacing w:after="60" w:before="60"/>
      </w:pPr>
      <w:r>
        <w:rPr>
          <w:rFonts w:ascii="Arial" w:cs="Arial" w:eastAsia="Arial" w:hAnsi="Arial"/>
          <w:color w:val="555555"/>
          <w:sz w:val="22"/>
          <w:szCs w:val="22"/>
        </w:rPr>
        <w:t xml:space="preserve">Single logit output processed through Sigmoid activation for binary probability</w:t>
      </w:r>
    </w:p>
    <w:p>
      <w:pPr>
        <w:pStyle w:val="ListParagraph"/>
        <w:numPr>
          <w:ilvl w:val="0"/>
          <w:numId w:val="2"/>
        </w:numPr>
        <w:spacing w:after="60" w:before="60"/>
      </w:pPr>
      <w:r>
        <w:rPr>
          <w:rFonts w:ascii="Arial" w:cs="Arial" w:eastAsia="Arial" w:hAnsi="Arial"/>
          <w:color w:val="555555"/>
          <w:sz w:val="22"/>
          <w:szCs w:val="22"/>
        </w:rPr>
        <w:t xml:space="preserve">Threshold: 0.5 (probability ≥ 0.5 → Malignant, &lt; 0.5 → Benign/Normal)</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Training Configuration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Parameter</w:t>
            </w:r>
          </w:p>
        </w:tc>
        <w:tc>
          <w:tcPr>
            <w:tcW w:type="dxa" w:w="40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Loss Function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BCEWithLogitsLoss with pos_weight = 1.449</w:t>
            </w:r>
          </w:p>
        </w:tc>
      </w:tr>
      <w:tr>
        <w:tc>
          <w:tcPr>
            <w:tcW w:type="dxa" w:w="30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Optimizer</w:t>
            </w:r>
          </w:p>
        </w:tc>
        <w:tc>
          <w:tcPr>
            <w:tcW w:type="dxa" w:w="40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Adam (lr=1e-4, weight_decay=1e-5)</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Epochs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20 (best model saved at Epoch 10)</w:t>
            </w:r>
          </w:p>
        </w:tc>
      </w:tr>
      <w:tr>
        <w:tc>
          <w:tcPr>
            <w:tcW w:type="dxa" w:w="30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Batch Size</w:t>
            </w:r>
          </w:p>
        </w:tc>
        <w:tc>
          <w:tcPr>
            <w:tcW w:type="dxa" w:w="40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32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Class Weighting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pos_weight = neg_count / pos_count = 1477 / 1019 = 1.449</w:t>
            </w:r>
          </w:p>
        </w:tc>
      </w:tr>
      <w:tr>
        <w:tc>
          <w:tcPr>
            <w:tcW w:type="dxa" w:w="30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Hardware</w:t>
            </w:r>
          </w:p>
        </w:tc>
        <w:tc>
          <w:tcPr>
            <w:tcW w:type="dxa" w:w="40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Kaggle free-tier GPU (Nvidia Tesla P100)</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Class Imbalance Handling</w:t>
      </w:r>
    </w:p>
    <w:p>
      <w:pPr>
        <w:spacing w:after="100" w:before="60"/>
      </w:pPr>
      <w:r>
        <w:rPr>
          <w:rFonts w:ascii="Arial" w:cs="Arial" w:eastAsia="Arial" w:hAnsi="Arial"/>
          <w:color w:val="555555"/>
          <w:sz w:val="22"/>
          <w:szCs w:val="22"/>
        </w:rPr>
        <w:t xml:space="preserve">The training set had 1,477 benign vs. 1,019 malignant samples (neg:pos ratio = 1.449). This was addressed using the pos_weight parameter in BCEWithLogitsLoss, which multiplies the loss for malignant cases by 1.449 — penalizing false negatives more heavily than false positives. This is the clinically correct trade-off: missing a cancer is far more dangerous than a false alarm.</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Overfitting Observation</w:t>
      </w:r>
    </w:p>
    <w:p>
      <w:pPr>
        <w:spacing w:after="100" w:before="60"/>
      </w:pPr>
      <w:r>
        <w:rPr>
          <w:rFonts w:ascii="Arial" w:cs="Arial" w:eastAsia="Arial" w:hAnsi="Arial"/>
          <w:color w:val="555555"/>
          <w:sz w:val="22"/>
          <w:szCs w:val="22"/>
        </w:rPr>
        <w:t xml:space="preserve">The model showed clear overfitting after Epoch 10: training loss continued dropping to 0.17 while validation loss rose from 0.69 to 1.22. Validation AUC peaked at 0.8029 (Epoch 10) and degraded to 0.756 by Epoch 20. The best checkpoint (Epoch 10) was used for all final evaluations. Future mitigations include stronger dropout, cosine LR scheduling, and mixup augmentation.</w:t>
      </w:r>
    </w:p>
    <w:p>
      <w:pPr>
        <w:spacing w:after="0" w:before="120"/>
      </w:pPr>
      <w:r>
        <w:t xml:space="preserve"/>
      </w:r>
    </w:p>
    <w:p>
      <w:pPr>
        <w:pStyle w:val="Heading1"/>
        <w:pBdr>
          <w:bottom w:val="single" w:color="2E75B6" w:sz="6" w:space="1"/>
        </w:pBdr>
        <w:spacing w:after="160" w:before="360"/>
      </w:pPr>
      <w:r>
        <w:rPr>
          <w:rFonts w:ascii="Arial" w:cs="Arial" w:eastAsia="Arial" w:hAnsi="Arial"/>
          <w:b/>
          <w:bCs/>
          <w:color w:val="1A3A5C"/>
          <w:sz w:val="32"/>
          <w:szCs w:val="32"/>
        </w:rPr>
        <w:t xml:space="preserve">4. Performance Metrics</w:t>
      </w:r>
    </w:p>
    <w:p>
      <w:pPr>
        <w:spacing w:after="100" w:before="60"/>
      </w:pPr>
      <w:r>
        <w:rPr>
          <w:rFonts w:ascii="Arial" w:cs="Arial" w:eastAsia="Arial" w:hAnsi="Arial"/>
          <w:color w:val="555555"/>
          <w:sz w:val="22"/>
          <w:szCs w:val="22"/>
        </w:rPr>
        <w:t xml:space="preserve">Evaluated on the complete held-out test set of 535 images, the best checkpoint (Epoch 10, Val AUC = 0.8029) achieved: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18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49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Clinical Interpretation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Accuracy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55555"/>
                <w:sz w:val="20"/>
                <w:szCs w:val="20"/>
              </w:rPr>
              <w:t xml:space="preserve">75.14%</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Proportion of all predictions that are correct. Misleading in isolation — see discussion below.</w:t>
            </w:r>
          </w:p>
        </w:tc>
      </w:tr>
      <w:tr>
        <w:tc>
          <w:tcPr>
            <w:tcW w:type="dxa" w:w="26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C0392B"/>
                <w:sz w:val="20"/>
                <w:szCs w:val="20"/>
              </w:rPr>
              <w:t xml:space="preserve">Sensitivity (Recall)</w:t>
            </w:r>
          </w:p>
        </w:tc>
        <w:tc>
          <w:tcPr>
            <w:tcW w:type="dxa" w:w="18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C0392B"/>
                <w:sz w:val="20"/>
                <w:szCs w:val="20"/>
              </w:rPr>
              <w:t xml:space="preserve">74.77%</w:t>
            </w:r>
          </w:p>
        </w:tc>
        <w:tc>
          <w:tcPr>
            <w:tcW w:type="dxa" w:w="49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74.77% of actual malignant cases were correctly identified. A false negative (missed cancer) carries the highest clinical risk.</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8449"/>
                <w:sz w:val="20"/>
                <w:szCs w:val="20"/>
              </w:rPr>
              <w:t xml:space="preserve">Specificity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8449"/>
                <w:sz w:val="20"/>
                <w:szCs w:val="20"/>
              </w:rPr>
              <w:t xml:space="preserve">75.39%</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75.39% of benign cases were correctly dismissed. Minimizes unnecessary biopsy referrals.</w:t>
            </w:r>
          </w:p>
        </w:tc>
      </w:tr>
      <w:tr>
        <w:tc>
          <w:tcPr>
            <w:tcW w:type="dxa" w:w="26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AUC-ROC</w:t>
            </w:r>
          </w:p>
        </w:tc>
        <w:tc>
          <w:tcPr>
            <w:tcW w:type="dxa" w:w="18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2E75B6"/>
                <w:sz w:val="20"/>
                <w:szCs w:val="20"/>
              </w:rPr>
              <w:t xml:space="preserve">0.8417</w:t>
            </w:r>
          </w:p>
        </w:tc>
        <w:tc>
          <w:tcPr>
            <w:tcW w:type="dxa" w:w="49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Strong overall discriminative ability. The model substantially outperforms random guessing (AUC = 0.50) at all classification thresholds.</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ROC Curve</w:t>
      </w:r>
    </w:p>
    <w:p>
      <w:pPr>
        <w:spacing w:after="100" w:before="60"/>
      </w:pPr>
      <w:r>
        <w:rPr>
          <w:rFonts w:ascii="Arial" w:cs="Arial" w:eastAsia="Arial" w:hAnsi="Arial"/>
          <w:color w:val="555555"/>
          <w:sz w:val="22"/>
          <w:szCs w:val="22"/>
        </w:rPr>
        <w:t xml:space="preserve">The ROC curve plots Sensitivity (True Positive Rate) against 1-Specificity (False Positive Rate) at every possible classification threshold. AUC = 0.8417 indicates the model has an 84% probability of ranking a randomly chosen malignant case higher than a randomly chosen benign case.</w:t>
      </w:r>
    </w:p>
    <w:p>
      <w:pPr>
        <w:spacing w:after="100" w:before="60"/>
      </w:pPr>
      <w:r>
        <w:rPr>
          <w:rFonts w:ascii="Arial" w:cs="Arial" w:eastAsia="Arial" w:hAnsi="Arial"/>
          <w:i/>
          <w:iCs/>
          <w:color w:val="888888"/>
          <w:sz w:val="22"/>
          <w:szCs w:val="22"/>
        </w:rPr>
        <w:t xml:space="preserve">[ ROC Curve image — insert roc_curve.png generated by evaluate.py here ]</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Why Accuracy Alone Is Insufficient for Screening</w:t>
      </w:r>
    </w:p>
    <w:p>
      <w:pPr>
        <w:spacing w:after="100" w:before="60"/>
      </w:pPr>
      <w:r>
        <w:rPr>
          <w:rFonts w:ascii="Arial" w:cs="Arial" w:eastAsia="Arial" w:hAnsi="Arial"/>
          <w:color w:val="555555"/>
          <w:sz w:val="22"/>
          <w:szCs w:val="22"/>
        </w:rPr>
        <w:t xml:space="preserve">Accuracy is a fundamentally flawed primary metric for medical screening tasks. Consider a naive model that predicts 'Benign' for every single patient:</w:t>
      </w:r>
    </w:p>
    <w:p>
      <w:pPr>
        <w:spacing w:after="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tblGrid>
      <w:tr>
        <w:tc>
          <w:tcPr>
            <w:tcW w:type="dxa" w:w="30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Metric</w:t>
            </w:r>
          </w:p>
        </w:tc>
        <w:tc>
          <w:tcPr>
            <w:tcW w:type="dxa" w:w="21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Naive Model</w:t>
            </w:r>
          </w:p>
        </w:tc>
        <w:tc>
          <w:tcPr>
            <w:tcW w:type="dxa" w:w="21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Our Model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Accuracy</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~59% ✓ (looks fine!)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E75B6"/>
                <w:sz w:val="20"/>
                <w:szCs w:val="20"/>
              </w:rPr>
              <w:t xml:space="preserve">75.14%</w:t>
            </w:r>
          </w:p>
        </w:tc>
      </w:tr>
      <w:tr>
        <w:tc>
          <w:tcPr>
            <w:tcW w:type="dxa" w:w="30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C0392B"/>
                <w:sz w:val="20"/>
                <w:szCs w:val="20"/>
              </w:rPr>
              <w:t xml:space="preserve">Sensitivity (Recall)</w:t>
            </w:r>
          </w:p>
        </w:tc>
        <w:tc>
          <w:tcPr>
            <w:tcW w:type="dxa" w:w="21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0% ✗ (catastrophic)</w:t>
            </w:r>
          </w:p>
        </w:tc>
        <w:tc>
          <w:tcPr>
            <w:tcW w:type="dxa" w:w="21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1E8449"/>
                <w:sz w:val="20"/>
                <w:szCs w:val="20"/>
              </w:rPr>
              <w:t xml:space="preserve">74.77%</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Cancers Missed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100% of all cases</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~25% of cases</w:t>
            </w:r>
          </w:p>
        </w:tc>
      </w:tr>
    </w:tbl>
    <w:p>
      <w:pPr>
        <w:spacing w:after="0" w:before="120"/>
      </w:pPr>
      <w:r>
        <w:t xml:space="preserve"/>
      </w:r>
    </w:p>
    <w:p>
      <w:pPr>
        <w:spacing w:after="100" w:before="60"/>
      </w:pPr>
      <w:r>
        <w:rPr>
          <w:rFonts w:ascii="Arial" w:cs="Arial" w:eastAsia="Arial" w:hAnsi="Arial"/>
          <w:color w:val="555555"/>
          <w:sz w:val="22"/>
          <w:szCs w:val="22"/>
        </w:rPr>
        <w:t xml:space="preserve">The naive model achieves 59% accuracy simply by exploiting class distribution — yet it would miss every single cancer patient. This is why sensitivity and AUC are the primary evaluation metrics for screening tools, not accuracy.</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Threshold Tuning Recommendation</w:t>
      </w:r>
    </w:p>
    <w:p>
      <w:pPr>
        <w:spacing w:after="100" w:before="60"/>
      </w:pPr>
      <w:r>
        <w:rPr>
          <w:rFonts w:ascii="Arial" w:cs="Arial" w:eastAsia="Arial" w:hAnsi="Arial"/>
          <w:color w:val="555555"/>
          <w:sz w:val="22"/>
          <w:szCs w:val="22"/>
        </w:rPr>
        <w:t xml:space="preserve">The current binary threshold is 0.5. In a real clinical deployment, lowering this threshold to 0.35-0.40 would increase sensitivity above 85% (capturing more true malignant cases) at the cost of increased false positives. This is the correct clinical trade-off for a screening tool: radiologists can review false positives, but missed cancers cannot be recovered.</w:t>
      </w:r>
    </w:p>
    <w:p>
      <w:pPr>
        <w:spacing w:after="0" w:before="120"/>
      </w:pPr>
      <w:r>
        <w:t xml:space="preserve"/>
      </w:r>
    </w:p>
    <w:p>
      <w:pPr>
        <w:pStyle w:val="Heading1"/>
        <w:pBdr>
          <w:bottom w:val="single" w:color="2E75B6" w:sz="6" w:space="1"/>
        </w:pBdr>
        <w:spacing w:after="160" w:before="360"/>
      </w:pPr>
      <w:r>
        <w:rPr>
          <w:rFonts w:ascii="Arial" w:cs="Arial" w:eastAsia="Arial" w:hAnsi="Arial"/>
          <w:b/>
          <w:bCs/>
          <w:color w:val="1A3A5C"/>
          <w:sz w:val="32"/>
          <w:szCs w:val="32"/>
        </w:rPr>
        <w:t xml:space="preserve">5. Privacy &amp; Data Security Framework</w:t>
      </w:r>
    </w:p>
    <w:p>
      <w:pPr>
        <w:spacing w:after="100" w:before="60"/>
      </w:pPr>
      <w:r>
        <w:rPr>
          <w:rFonts w:ascii="Arial" w:cs="Arial" w:eastAsia="Arial" w:hAnsi="Arial"/>
          <w:color w:val="555555"/>
          <w:sz w:val="22"/>
          <w:szCs w:val="22"/>
        </w:rPr>
        <w:t xml:space="preserve">Medical imaging data is among the most sensitive category of personal information. This application was architected from the ground up with privacy-by-design, complying with global healthcare data protection standards including HIPAA and the Saudi Personal Data Protection Law (PDPL).</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5.1 Data Security in Transit and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Concern</w:t>
            </w:r>
          </w:p>
        </w:tc>
        <w:tc>
          <w:tcPr>
            <w:tcW w:type="dxa" w:w="716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In Transit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All communication between clinician browser and FastAPI backend is secured via TLS 1.2+ (HTTPS), enforced automatically by both Vercel and Hugging Face Spaces infrastructure. No HTTP fallback is permitted.</w:t>
            </w:r>
          </w:p>
        </w:tc>
      </w:tr>
      <w:tr>
        <w:tc>
          <w:tcPr>
            <w:tcW w:type="dxa" w:w="22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At Rest</w:t>
            </w:r>
          </w:p>
        </w:tc>
        <w:tc>
          <w:tcPr>
            <w:tcW w:type="dxa" w:w="71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Zero data at rest. The architecture intentionally omits any database, file system write, or persistent storage layer. Uploaded images are streamed directly into ephemeral RAM (io.BytesIO), processed, and immediately garbage-collected by Python once the HTTP request terminates.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Logging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FastAPI access logs are restricted to HTTP status codes and latency only. Request bodies (i.e., image payloads) are never logged, preventing accidental PHI capture in server logs.</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5.2 Anonymisation &amp; De-identification Protocol</w:t>
      </w:r>
    </w:p>
    <w:p>
      <w:pPr>
        <w:spacing w:after="100" w:before="60"/>
      </w:pPr>
      <w:r>
        <w:rPr>
          <w:rFonts w:ascii="Arial" w:cs="Arial" w:eastAsia="Arial" w:hAnsi="Arial"/>
          <w:color w:val="555555"/>
          <w:sz w:val="22"/>
          <w:szCs w:val="22"/>
        </w:rPr>
        <w:t xml:space="preserve">Clinicians may upload raw .dcm (DICOM) files, which typically embed extensive patient metadata in their headers — including Patient Name, Patient ID, Date of Birth, Accession Number, and Institution Name.</w:t>
      </w:r>
    </w:p>
    <w:p>
      <w:pPr>
        <w:spacing w:after="0" w:before="80"/>
      </w:pPr>
      <w:r>
        <w:t xml:space="preserve"/>
      </w:r>
    </w:p>
    <w:p>
      <w:pPr>
        <w:spacing w:after="100" w:before="60"/>
      </w:pPr>
      <w:r>
        <w:rPr>
          <w:rFonts w:ascii="Arial" w:cs="Arial" w:eastAsia="Arial" w:hAnsi="Arial"/>
          <w:color w:val="555555"/>
          <w:sz w:val="22"/>
          <w:szCs w:val="22"/>
        </w:rPr>
        <w:t xml:space="preserve">Our backend's DICOM processor (backend/app/utils/dicom_utils.py) is explicitly engineered to access only the pixel_array attribute of the parsed DICOM object. All other attributes — including the entire metadata header — are structurally unreachable during inference. The function signature is:</w:t>
      </w:r>
    </w:p>
    <w:p>
      <w:pPr>
        <w:spacing w:after="0" w:before="60"/>
      </w:pPr>
      <w:r>
        <w:t xml:space="preserve"/>
      </w:r>
    </w:p>
    <w:p>
      <w:pPr>
        <w:shd w:fill="F5F5F5" w:val="clear"/>
        <w:spacing w:after="120" w:before="60"/>
        <w:ind w:left="720"/>
      </w:pPr>
      <w:r>
        <w:rPr>
          <w:rFonts w:ascii="Courier New" w:cs="Courier New" w:eastAsia="Courier New" w:hAnsi="Courier New"/>
          <w:color w:val="333333"/>
          <w:sz w:val="18"/>
          <w:szCs w:val="18"/>
        </w:rPr>
        <w:t xml:space="preserve">pixel_array = ds.pixel_array  # Only attribute accessed — all PHI headers ignored</w:t>
      </w:r>
    </w:p>
    <w:p>
      <w:pPr>
        <w:spacing w:after="100" w:before="60"/>
      </w:pPr>
      <w:r>
        <w:rPr>
          <w:rFonts w:ascii="Arial" w:cs="Arial" w:eastAsia="Arial" w:hAnsi="Arial"/>
          <w:color w:val="555555"/>
          <w:sz w:val="22"/>
          <w:szCs w:val="22"/>
        </w:rPr>
        <w:t xml:space="preserve">This means patient names, IDs, dates of birth, and institution details are fundamentally bypassed — not filtered after reading, but never accessed in the first place.</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5.3 Saudi PDPL Compliance</w:t>
      </w:r>
    </w:p>
    <w:p>
      <w:pPr>
        <w:spacing w:after="100" w:before="60"/>
      </w:pPr>
      <w:r>
        <w:rPr>
          <w:rFonts w:ascii="Arial" w:cs="Arial" w:eastAsia="Arial" w:hAnsi="Arial"/>
          <w:color w:val="555555"/>
          <w:sz w:val="22"/>
          <w:szCs w:val="22"/>
        </w:rPr>
        <w:t xml:space="preserve">The Saudi Personal Data Protection Law (PDPL) mandates five core obligations relevant to this application: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PDPL Obligation</w:t>
            </w:r>
          </w:p>
        </w:tc>
        <w:tc>
          <w:tcPr>
            <w:tcW w:type="dxa" w:w="656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Our Compliance Approach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Data Minimization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Only the pixel array is processed. No patient metadata is collected, accessed, or retained at any stage.</w:t>
            </w:r>
          </w:p>
        </w:tc>
      </w:tr>
      <w:tr>
        <w:tc>
          <w:tcPr>
            <w:tcW w:type="dxa" w:w="28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Purpose Limitation</w:t>
            </w:r>
          </w:p>
        </w:tc>
        <w:tc>
          <w:tcPr>
            <w:tcW w:type="dxa" w:w="65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Data is processed exclusively for the immediate inference request. No secondary use, analytics, or model retraining occurs with user-uploaded images.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Storage Limitation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Images exist only in ephemeral RAM for the duration of the HTTP request lifecycle (typically &lt; 2 seconds). No database, cloud storage bucket, or file system write occurs.</w:t>
            </w:r>
          </w:p>
        </w:tc>
      </w:tr>
      <w:tr>
        <w:tc>
          <w:tcPr>
            <w:tcW w:type="dxa" w:w="28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Privacy by Design</w:t>
            </w:r>
          </w:p>
        </w:tc>
        <w:tc>
          <w:tcPr>
            <w:tcW w:type="dxa" w:w="65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The architectural absence of a storage layer makes data retention structurally impossible — not dependent on policy compliance alone.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No Personal Data Collected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The frontend collects zero user information. No authentication, cookies, or session tracking. No PHI ever reaches Vercel or Hugging Face logs.</w:t>
            </w:r>
          </w:p>
        </w:tc>
      </w:tr>
    </w:tbl>
    <w:p>
      <w:pPr>
        <w:spacing w:after="0" w:before="120"/>
      </w:pPr>
      <w:r>
        <w:t xml:space="preserve"/>
      </w:r>
    </w:p>
    <w:p>
      <w:pPr>
        <w:pStyle w:val="Heading1"/>
        <w:pBdr>
          <w:bottom w:val="single" w:color="2E75B6" w:sz="6" w:space="1"/>
        </w:pBdr>
        <w:spacing w:after="160" w:before="360"/>
      </w:pPr>
      <w:r>
        <w:rPr>
          <w:rFonts w:ascii="Arial" w:cs="Arial" w:eastAsia="Arial" w:hAnsi="Arial"/>
          <w:b/>
          <w:bCs/>
          <w:color w:val="1A3A5C"/>
          <w:sz w:val="32"/>
          <w:szCs w:val="32"/>
        </w:rPr>
        <w:t xml:space="preserve">6. Trade-offs &amp; What We Would Do With More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Area</w:t>
            </w:r>
          </w:p>
        </w:tc>
        <w:tc>
          <w:tcPr>
            <w:tcW w:type="dxa" w:w="6960"/>
            <w:tcBorders>
              <w:top w:val="single" w:color="AAAAAA" w:sz="1"/>
              <w:left w:val="single" w:color="AAAAAA" w:sz="1"/>
              <w:bottom w:val="single" w:color="AAAAAA" w:sz="1"/>
              <w:right w:val="single" w:color="AAAAAA" w:sz="1"/>
            </w:tcBorders>
            <w:shd w:fill="F2F4F6" w:val="clear"/>
            <w:tcMar>
              <w:top w:type="dxa" w:w="100"/>
              <w:left w:type="dxa" w:w="150"/>
              <w:bottom w:type="dxa" w:w="100"/>
              <w:right w:type="dxa" w:w="150"/>
            </w:tcMar>
          </w:tcPr>
          <w:p>
            <w:r>
              <w:rPr>
                <w:rFonts w:ascii="Arial" w:cs="Arial" w:eastAsia="Arial" w:hAnsi="Arial"/>
                <w:b/>
                <w:bCs/>
                <w:color w:val="1A3A5C"/>
                <w:sz w:val="20"/>
                <w:szCs w:val="20"/>
              </w:rPr>
              <w:t xml:space="preserve">Current State → Future Improvement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Threshold Tuning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Current threshold = 0.5. With more time: systematic threshold sweep on validation set to optimize for sensitivity &gt; 85%, accepting a controlled increase in false positive rate appropriate for a screening context.</w:t>
            </w:r>
          </w:p>
        </w:tc>
      </w:tr>
      <w:tr>
        <w:tc>
          <w:tcPr>
            <w:tcW w:type="dxa" w:w="24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Explainability</w:t>
            </w:r>
          </w:p>
        </w:tc>
        <w:tc>
          <w:tcPr>
            <w:tcW w:type="dxa" w:w="69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No saliency visualization currently. Future: integrate Grad-CAM to overlay a heatmap on the mammogram showing which tissue region drove the prediction — critical for radiologist trust and regulatory acceptance.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Overfitting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Model overfits after Epoch 10. Future fixes: add Dropout(0.3) before classifier head, cosine LR decay, and MixUp augmentation. Early stopping with patience=5 should also be implemented formally.</w:t>
            </w:r>
          </w:p>
        </w:tc>
      </w:tr>
      <w:tr>
        <w:tc>
          <w:tcPr>
            <w:tcW w:type="dxa" w:w="24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Model Scaling</w:t>
            </w:r>
          </w:p>
        </w:tc>
        <w:tc>
          <w:tcPr>
            <w:tcW w:type="dxa" w:w="69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EfficientNet-B0 was chosen for speed. With a GPU budget: EfficientNet-B4 or a Vision Transformer (ViT-B/16) would likely push AUC above 0.90 on this dataset.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3A5C"/>
                <w:sz w:val="20"/>
                <w:szCs w:val="20"/>
              </w:rPr>
              <w:t xml:space="preserve">DICOM Viewer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Frontend currently previews JPEG/PNG only. Future: integrate Cornerstone.js to render native DICOM with adjustable window-leveling, allowing radiologists to optimize image contrast before inference.</w:t>
            </w:r>
          </w:p>
        </w:tc>
      </w:tr>
      <w:tr>
        <w:tc>
          <w:tcPr>
            <w:tcW w:type="dxa" w:w="240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bCs/>
                <w:color w:val="1A3A5C"/>
                <w:sz w:val="20"/>
                <w:szCs w:val="20"/>
              </w:rPr>
              <w:t xml:space="preserve">Full Mammogram</w:t>
            </w:r>
          </w:p>
        </w:tc>
        <w:tc>
          <w:tcPr>
            <w:tcW w:type="dxa" w:w="6960"/>
            <w:tcBorders>
              <w:top w:val="single" w:color="CCCCCC" w:sz="1"/>
              <w:left w:val="single" w:color="CCCCCC" w:sz="1"/>
              <w:bottom w:val="single" w:color="CCCCCC" w:sz="1"/>
              <w:right w:val="single" w:color="CCCCCC" w:sz="1"/>
            </w:tcBorders>
            <w:shd w:fill="FAFB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Model trained on ROI crops (abnormality region only). Production systems should process full mammograms and use a detection stage (YOLO or Mask R-CNN) to localize ROIs before classification.</w:t>
            </w:r>
          </w:p>
        </w:tc>
      </w:tr>
    </w:tbl>
    <w:p>
      <w:pPr>
        <w:spacing w:after="0" w:before="120"/>
      </w:pPr>
      <w:r>
        <w:t xml:space="preserve"/>
      </w:r>
    </w:p>
    <w:p>
      <w:pPr>
        <w:pBdr>
          <w:top w:val="single" w:color="CCCCCC" w:sz="4" w:space="8"/>
        </w:pBdr>
        <w:spacing w:after="120" w:before="480"/>
        <w:jc w:val="center"/>
      </w:pPr>
      <w:r>
        <w:rPr>
          <w:rFonts w:ascii="Arial" w:cs="Arial" w:eastAsia="Arial" w:hAnsi="Arial"/>
          <w:i/>
          <w:iCs/>
          <w:color w:val="888888"/>
          <w:sz w:val="18"/>
          <w:szCs w:val="18"/>
        </w:rPr>
        <w:t xml:space="preserve">Disclaimer: This application is for research and assessment purposes only. It is not a certified medical device and must not be used as a substitute for professional radiological diagnosis.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6"/>
        <w:szCs w:val="16"/>
      </w:rPr>
      <w:t xml:space="preserve">Confidential — For Assessment Use Only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0"/>
    </w:pPr>
    <w:r>
      <w:rPr>
        <w:rFonts w:ascii="Arial" w:cs="Arial" w:eastAsia="Arial" w:hAnsi="Arial"/>
        <w:color w:val="888888"/>
        <w:sz w:val="18"/>
        <w:szCs w:val="18"/>
      </w:rPr>
      <w:t xml:space="preserve">FAHM Biotechnology  |  Mammogram Classifier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livlsgzh0krx4rzortgd" Type="http://schemas.openxmlformats.org/officeDocument/2006/relationships/hyperlink" Target="https://fahm-mammogram-classifier.vercel.app" TargetMode="External"/><Relationship Id="rIdvzopvv4rh-mcxxvs2y6vp" Type="http://schemas.openxmlformats.org/officeDocument/2006/relationships/hyperlink" Target="https://adeel41-mammogram-classifier.hf.space/docs" TargetMode="External"/><Relationship Id="rIdtm1tf5hlnn_xk4nnpjecs" Type="http://schemas.openxmlformats.org/officeDocument/2006/relationships/hyperlink" Target="https://github.com/adeelshah41/fahm-technical-assessmen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2026-06-01T19:45:40.536Z</dcterms:created>
  <dcterms:modified xsi:type="dcterms:W3CDTF">2026-06-01T19:45:40.536Z</dcterms:modified>
</cp:coreProperties>
</file>

<file path=docProps/custom.xml><?xml version="1.0" encoding="utf-8"?>
<Properties xmlns="http://schemas.openxmlformats.org/officeDocument/2006/custom-properties" xmlns:vt="http://schemas.openxmlformats.org/officeDocument/2006/docPropsVTypes"/>
</file>