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26be2af73df4628" /><Relationship Type="http://schemas.openxmlformats.org/officeDocument/2006/relationships/officeDocument" Target="/word/document.xml" Id="R345b6c464b314d5d" /><Relationship Type="http://schemas.microsoft.com/office/2011/relationships/webextensiontaskpanes" Target="/word/webextensions/taskpanes.xml" Id="R303d20909a624208" /><Relationship Type="http://schemas.openxmlformats.org/package/2006/relationships/metadata/core-properties" Target="/package/services/metadata/core-properties/2f2ec86eee904ade86d662c41a14e3ca.psmdcp" Id="R8864462df04c428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0cae3d360a34580" /><Relationship Type="http://schemas.openxmlformats.org/officeDocument/2006/relationships/webSettings" Target="/word/webSettings.xml" Id="R5fb17e57299c40b9" /><Relationship Type="http://schemas.openxmlformats.org/officeDocument/2006/relationships/fontTable" Target="/word/fontTable.xml" Id="R2d3ae6e458f14a58" /><Relationship Type="http://schemas.openxmlformats.org/officeDocument/2006/relationships/settings" Target="/word/settings.xml" Id="R0d34934c220b4d72" /><Relationship Type="http://schemas.openxmlformats.org/officeDocument/2006/relationships/styles" Target="/word/styles.xml" Id="Ref9b55da648a475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bbc58b8d3644e5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bbc58b8d3644e5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8691d65-965a-440b-8bd9-e474e1e674b8}">
  <we:reference id="50f759f1-688d-436b-aae3-fa4ea79a994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